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8F14EC" w14:paraId="424C24B2" w14:textId="77777777" w:rsidTr="00F01738">
        <w:trPr>
          <w:trHeight w:hRule="exact" w:val="851"/>
        </w:trPr>
        <w:tc>
          <w:tcPr>
            <w:tcW w:w="1276" w:type="dxa"/>
            <w:tcBorders>
              <w:bottom w:val="single" w:sz="4" w:space="0" w:color="auto"/>
            </w:tcBorders>
          </w:tcPr>
          <w:p w14:paraId="4A6EF6AD" w14:textId="77777777" w:rsidR="00132EA9" w:rsidRPr="008F14EC" w:rsidRDefault="00132EA9" w:rsidP="005B4A3F">
            <w:bookmarkStart w:id="0" w:name="_GoBack"/>
            <w:bookmarkEnd w:id="0"/>
          </w:p>
        </w:tc>
        <w:tc>
          <w:tcPr>
            <w:tcW w:w="2268" w:type="dxa"/>
            <w:tcBorders>
              <w:bottom w:val="single" w:sz="4" w:space="0" w:color="auto"/>
            </w:tcBorders>
            <w:vAlign w:val="bottom"/>
          </w:tcPr>
          <w:p w14:paraId="1DFA19F9" w14:textId="77777777" w:rsidR="00132EA9" w:rsidRPr="008F14EC" w:rsidRDefault="00132EA9" w:rsidP="00F01738">
            <w:pPr>
              <w:spacing w:after="80" w:line="300" w:lineRule="exact"/>
              <w:rPr>
                <w:sz w:val="28"/>
              </w:rPr>
            </w:pPr>
            <w:r w:rsidRPr="008F14EC">
              <w:rPr>
                <w:sz w:val="28"/>
              </w:rPr>
              <w:t>Nations Unies</w:t>
            </w:r>
          </w:p>
        </w:tc>
        <w:tc>
          <w:tcPr>
            <w:tcW w:w="6095" w:type="dxa"/>
            <w:gridSpan w:val="2"/>
            <w:tcBorders>
              <w:bottom w:val="single" w:sz="4" w:space="0" w:color="auto"/>
            </w:tcBorders>
            <w:vAlign w:val="bottom"/>
          </w:tcPr>
          <w:p w14:paraId="1EC3381B" w14:textId="77777777" w:rsidR="00132EA9" w:rsidRPr="008F14EC" w:rsidRDefault="005B4A3F" w:rsidP="005B4A3F">
            <w:pPr>
              <w:jc w:val="right"/>
            </w:pPr>
            <w:r w:rsidRPr="008F14EC">
              <w:rPr>
                <w:sz w:val="40"/>
              </w:rPr>
              <w:t>ST</w:t>
            </w:r>
            <w:r w:rsidRPr="008F14EC">
              <w:t>/SG/AC.10/C.3/2019/60</w:t>
            </w:r>
          </w:p>
        </w:tc>
      </w:tr>
      <w:tr w:rsidR="00132EA9" w:rsidRPr="008F14EC" w14:paraId="086640BA" w14:textId="77777777" w:rsidTr="00F01738">
        <w:trPr>
          <w:trHeight w:hRule="exact" w:val="2835"/>
        </w:trPr>
        <w:tc>
          <w:tcPr>
            <w:tcW w:w="1276" w:type="dxa"/>
            <w:tcBorders>
              <w:top w:val="single" w:sz="4" w:space="0" w:color="auto"/>
              <w:bottom w:val="single" w:sz="12" w:space="0" w:color="auto"/>
            </w:tcBorders>
          </w:tcPr>
          <w:p w14:paraId="7E28A60A" w14:textId="77777777" w:rsidR="00132EA9" w:rsidRPr="008F14EC" w:rsidRDefault="00132EA9" w:rsidP="00F01738">
            <w:pPr>
              <w:spacing w:before="120"/>
              <w:jc w:val="center"/>
            </w:pPr>
            <w:r w:rsidRPr="008F14EC">
              <w:rPr>
                <w:noProof/>
                <w:lang w:eastAsia="fr-CH"/>
              </w:rPr>
              <w:drawing>
                <wp:inline distT="0" distB="0" distL="0" distR="0" wp14:anchorId="624909D7" wp14:editId="270B771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76C49E" w14:textId="77777777" w:rsidR="00132EA9" w:rsidRPr="008F14EC" w:rsidRDefault="00132EA9" w:rsidP="00F01738">
            <w:pPr>
              <w:spacing w:before="120" w:line="420" w:lineRule="exact"/>
              <w:rPr>
                <w:b/>
                <w:sz w:val="40"/>
                <w:szCs w:val="40"/>
              </w:rPr>
            </w:pPr>
            <w:r w:rsidRPr="008F14EC">
              <w:rPr>
                <w:b/>
                <w:sz w:val="40"/>
                <w:szCs w:val="40"/>
              </w:rPr>
              <w:t>Secrétariat</w:t>
            </w:r>
          </w:p>
        </w:tc>
        <w:tc>
          <w:tcPr>
            <w:tcW w:w="2835" w:type="dxa"/>
            <w:tcBorders>
              <w:top w:val="single" w:sz="4" w:space="0" w:color="auto"/>
              <w:bottom w:val="single" w:sz="12" w:space="0" w:color="auto"/>
            </w:tcBorders>
          </w:tcPr>
          <w:p w14:paraId="7F61CC51" w14:textId="77777777" w:rsidR="00132EA9" w:rsidRPr="008F14EC" w:rsidRDefault="005B4A3F" w:rsidP="00F01738">
            <w:pPr>
              <w:spacing w:before="240"/>
            </w:pPr>
            <w:r w:rsidRPr="008F14EC">
              <w:t xml:space="preserve">Distr. </w:t>
            </w:r>
            <w:proofErr w:type="gramStart"/>
            <w:r w:rsidRPr="008F14EC">
              <w:t>générale</w:t>
            </w:r>
            <w:proofErr w:type="gramEnd"/>
          </w:p>
          <w:p w14:paraId="65E8476B" w14:textId="77777777" w:rsidR="005B4A3F" w:rsidRPr="008F14EC" w:rsidRDefault="005B4A3F" w:rsidP="005B4A3F">
            <w:pPr>
              <w:spacing w:line="240" w:lineRule="exact"/>
            </w:pPr>
            <w:r w:rsidRPr="008F14EC">
              <w:t>9 septembre 2019</w:t>
            </w:r>
          </w:p>
          <w:p w14:paraId="1B08C7CA" w14:textId="77777777" w:rsidR="005B4A3F" w:rsidRPr="008F14EC" w:rsidRDefault="005B4A3F" w:rsidP="005B4A3F">
            <w:pPr>
              <w:spacing w:line="240" w:lineRule="exact"/>
            </w:pPr>
            <w:r w:rsidRPr="008F14EC">
              <w:t>Français</w:t>
            </w:r>
          </w:p>
          <w:p w14:paraId="3AE543C9" w14:textId="77777777" w:rsidR="005B4A3F" w:rsidRPr="008F14EC" w:rsidRDefault="005B4A3F" w:rsidP="005B4A3F">
            <w:pPr>
              <w:spacing w:line="240" w:lineRule="exact"/>
            </w:pPr>
            <w:r w:rsidRPr="008F14EC">
              <w:t>Original</w:t>
            </w:r>
            <w:r w:rsidR="008F14EC" w:rsidRPr="008F14EC">
              <w:t> :</w:t>
            </w:r>
            <w:r w:rsidRPr="008F14EC">
              <w:t xml:space="preserve"> anglais</w:t>
            </w:r>
          </w:p>
        </w:tc>
      </w:tr>
    </w:tbl>
    <w:p w14:paraId="55CDD6B7" w14:textId="77777777" w:rsidR="008F14EC" w:rsidRPr="008F14EC" w:rsidRDefault="008F14EC" w:rsidP="008F14EC">
      <w:pPr>
        <w:spacing w:before="120"/>
        <w:rPr>
          <w:b/>
          <w:sz w:val="24"/>
          <w:szCs w:val="24"/>
        </w:rPr>
      </w:pPr>
      <w:r w:rsidRPr="008F14EC">
        <w:rPr>
          <w:b/>
          <w:bCs/>
          <w:sz w:val="24"/>
          <w:szCs w:val="24"/>
        </w:rPr>
        <w:t xml:space="preserve">Comité d’experts du transport des marchandises dangereuses </w:t>
      </w:r>
      <w:r w:rsidRPr="008F14EC">
        <w:rPr>
          <w:b/>
          <w:bCs/>
          <w:sz w:val="24"/>
          <w:szCs w:val="24"/>
        </w:rPr>
        <w:br/>
        <w:t xml:space="preserve">et du Système général harmonisé de classification </w:t>
      </w:r>
      <w:r w:rsidRPr="008F14EC">
        <w:rPr>
          <w:b/>
          <w:bCs/>
          <w:sz w:val="24"/>
          <w:szCs w:val="24"/>
        </w:rPr>
        <w:br/>
        <w:t>et d’étiquetage des produits chimiques</w:t>
      </w:r>
    </w:p>
    <w:p w14:paraId="54B31EB1" w14:textId="77777777" w:rsidR="008F14EC" w:rsidRPr="008F14EC" w:rsidRDefault="008F14EC" w:rsidP="008F14EC">
      <w:pPr>
        <w:spacing w:before="120"/>
        <w:outlineLvl w:val="0"/>
        <w:rPr>
          <w:b/>
        </w:rPr>
      </w:pPr>
      <w:r w:rsidRPr="008F14EC">
        <w:rPr>
          <w:b/>
          <w:bCs/>
        </w:rPr>
        <w:t>Sous-Comité d’experts du transport des marchandises dangereuses</w:t>
      </w:r>
    </w:p>
    <w:p w14:paraId="76AD61EF" w14:textId="77777777" w:rsidR="008F14EC" w:rsidRPr="008F14EC" w:rsidRDefault="008F14EC" w:rsidP="008F14EC">
      <w:pPr>
        <w:spacing w:before="120"/>
        <w:outlineLvl w:val="0"/>
        <w:rPr>
          <w:b/>
        </w:rPr>
      </w:pPr>
      <w:r w:rsidRPr="008F14EC">
        <w:rPr>
          <w:b/>
          <w:bCs/>
        </w:rPr>
        <w:t>Cinquante-sixième session</w:t>
      </w:r>
    </w:p>
    <w:p w14:paraId="749314C4" w14:textId="77777777" w:rsidR="008F14EC" w:rsidRPr="008F14EC" w:rsidRDefault="008F14EC" w:rsidP="008F14EC">
      <w:pPr>
        <w:outlineLvl w:val="0"/>
        <w:rPr>
          <w:color w:val="333333"/>
        </w:rPr>
      </w:pPr>
      <w:r w:rsidRPr="008F14EC">
        <w:t>Genève, 2-11 décembre 2019</w:t>
      </w:r>
    </w:p>
    <w:p w14:paraId="4990A8A6" w14:textId="77777777" w:rsidR="008F14EC" w:rsidRPr="008F14EC" w:rsidRDefault="008F14EC" w:rsidP="008F14EC">
      <w:r w:rsidRPr="008F14EC">
        <w:t>Point 4 a) de l’ordre du jour provisoire</w:t>
      </w:r>
    </w:p>
    <w:p w14:paraId="4DA2D57A" w14:textId="77777777" w:rsidR="008F14EC" w:rsidRPr="008F14EC" w:rsidRDefault="008F14EC" w:rsidP="008F14EC">
      <w:pPr>
        <w:rPr>
          <w:b/>
          <w:bCs/>
        </w:rPr>
      </w:pPr>
      <w:r w:rsidRPr="008F14EC">
        <w:rPr>
          <w:b/>
          <w:bCs/>
        </w:rPr>
        <w:t>Systèmes de stockage de l’électricité : épreuves pour batteries au lithium</w:t>
      </w:r>
    </w:p>
    <w:p w14:paraId="7AE475BE" w14:textId="77777777" w:rsidR="008F14EC" w:rsidRPr="008F14EC" w:rsidRDefault="008F14EC" w:rsidP="008F14EC">
      <w:pPr>
        <w:pStyle w:val="HChG"/>
      </w:pPr>
      <w:r w:rsidRPr="008F14EC">
        <w:tab/>
      </w:r>
      <w:r w:rsidRPr="008F14EC">
        <w:tab/>
        <w:t>Précisions concernant l’instruction d’emballage P903</w:t>
      </w:r>
    </w:p>
    <w:p w14:paraId="298604B8" w14:textId="77777777" w:rsidR="008F14EC" w:rsidRPr="008F14EC" w:rsidRDefault="008F14EC" w:rsidP="008F14EC">
      <w:pPr>
        <w:pStyle w:val="H1G"/>
      </w:pPr>
      <w:r w:rsidRPr="008F14EC">
        <w:tab/>
      </w:r>
      <w:r w:rsidRPr="008F14EC">
        <w:tab/>
        <w:t xml:space="preserve">Communication de la Rechargeable Battery Association (PRBA) </w:t>
      </w:r>
      <w:r w:rsidRPr="008F14EC">
        <w:br/>
      </w:r>
      <w:proofErr w:type="gramStart"/>
      <w:r w:rsidRPr="008F14EC">
        <w:t>et</w:t>
      </w:r>
      <w:proofErr w:type="gramEnd"/>
      <w:r w:rsidRPr="008F14EC">
        <w:t xml:space="preserve"> de l’Advanced Rechargeable &amp; Lithium Batteries Association (RECHARGE)</w:t>
      </w:r>
      <w:r w:rsidRPr="008F14EC">
        <w:rPr>
          <w:rStyle w:val="FootnoteReference"/>
          <w:b w:val="0"/>
          <w:sz w:val="20"/>
          <w:vertAlign w:val="baseline"/>
        </w:rPr>
        <w:footnoteReference w:customMarkFollows="1" w:id="2"/>
        <w:t>*</w:t>
      </w:r>
      <w:bookmarkStart w:id="1" w:name="_Hlk18677153"/>
      <w:bookmarkEnd w:id="1"/>
    </w:p>
    <w:p w14:paraId="156FC2B7" w14:textId="77777777" w:rsidR="008F14EC" w:rsidRPr="008F14EC" w:rsidRDefault="008F14EC" w:rsidP="008F14EC">
      <w:pPr>
        <w:pStyle w:val="HChG"/>
      </w:pPr>
      <w:r w:rsidRPr="008F14EC">
        <w:tab/>
      </w:r>
      <w:r w:rsidRPr="008F14EC">
        <w:tab/>
        <w:t>Introduction</w:t>
      </w:r>
    </w:p>
    <w:p w14:paraId="7B8D9EF9" w14:textId="77777777" w:rsidR="008F14EC" w:rsidRPr="008F14EC" w:rsidRDefault="008F14EC" w:rsidP="008F14EC">
      <w:pPr>
        <w:pStyle w:val="SingleTxtG"/>
      </w:pPr>
      <w:r w:rsidRPr="008F14EC">
        <w:t>1.</w:t>
      </w:r>
      <w:r w:rsidRPr="008F14EC">
        <w:tab/>
        <w:t>Comme il est expliqué dans le document informel INF.25 soumis à la cinquante-cinquième session, du fait que dans l’instruction d’emballage P903, les emballages extérieurs robustes sont autorisés pour les batteries ou les assemblages de batteries d’une masse brute égale ou supérieure à 12</w:t>
      </w:r>
      <w:r>
        <w:t> </w:t>
      </w:r>
      <w:r w:rsidRPr="008F14EC">
        <w:t>kg, certaines autorités compétentes se méprennent sur les prescriptions de cette instruction. En outre, le libellé de l’instruction P903 n’est pas conforme au texte correspondant des Instructions techniques de l’Organisation de l’aviation civile internationale (OACI), ce qui a jeté la confusion parmi certaines autorités compétentes délivrant des autorisations au titre de l’instruction d’emballage 965 desdites Instructions techniques (sect</w:t>
      </w:r>
      <w:r>
        <w:t>. </w:t>
      </w:r>
      <w:r w:rsidRPr="008F14EC">
        <w:t>IA). Le présent document tient compte des observations formulées par les membres du Sous-Comité en réponse au document UN/SCETDG/55/INF.25 et fournit des précisions concernant l’application de la disposition de l’instruction d’emballage P903 relative aux batteries ou aux assemblages de batteries au lithium de plus de 12 kg dotés d’une enveloppe extérieure résistante aux chocs.</w:t>
      </w:r>
    </w:p>
    <w:p w14:paraId="0318B504" w14:textId="77777777" w:rsidR="008F14EC" w:rsidRPr="008F14EC" w:rsidRDefault="008F14EC" w:rsidP="008F14EC">
      <w:pPr>
        <w:pStyle w:val="SingleTxtG"/>
      </w:pPr>
      <w:r w:rsidRPr="008F14EC">
        <w:t>2.</w:t>
      </w:r>
      <w:r w:rsidRPr="008F14EC">
        <w:tab/>
        <w:t>La structure du paragraphe 2 de l’instruction d’emballage P903 est en majeure partie à l’origine de la confusion quant à la manière dont les fabricants de batteries doivent appliquer cette disposition lorsqu’ils expédient un assemblage de batteries. Les acteurs du secteur ont toujours supposé que, lorsque des modules de batterie étaient connectés électriquement pour former un ensemble, il n’était pas nécessaire que ces modules pèsent chacun plus de 12 kg ou qu’ils aient une enveloppe extérieure résistante aux chocs, à condition que l’ensemble réponde à ces deux critères.</w:t>
      </w:r>
    </w:p>
    <w:p w14:paraId="65E505FC" w14:textId="77777777" w:rsidR="008F14EC" w:rsidRPr="008F14EC" w:rsidRDefault="008F14EC" w:rsidP="008F14EC">
      <w:pPr>
        <w:pStyle w:val="SingleTxtG"/>
      </w:pPr>
      <w:r w:rsidRPr="008F14EC">
        <w:lastRenderedPageBreak/>
        <w:t>3.</w:t>
      </w:r>
      <w:r w:rsidRPr="008F14EC">
        <w:tab/>
        <w:t xml:space="preserve">PRBA et RECHARGE croient comprendre qu’une autorité compétente interprète le paragraphe 2 de l’instruction d’emballage P903 comme exigeant que l’assemblage </w:t>
      </w:r>
      <w:r w:rsidRPr="008F14EC">
        <w:rPr>
          <w:i/>
          <w:iCs/>
          <w:u w:val="single"/>
        </w:rPr>
        <w:t xml:space="preserve">et </w:t>
      </w:r>
      <w:r w:rsidRPr="008F14EC">
        <w:t xml:space="preserve">les modules de batterie qui constituent l’assemblage soient </w:t>
      </w:r>
      <w:r w:rsidRPr="008F14EC">
        <w:rPr>
          <w:i/>
          <w:u w:val="single"/>
        </w:rPr>
        <w:t xml:space="preserve">tous </w:t>
      </w:r>
      <w:r w:rsidRPr="008F14EC">
        <w:t>d’une masse brute égale ou supérieure à 12 kg et aient des enveloppes extérieures robustes et résistantes aux chocs. Les auteurs pensent qu’il s’agit d’une interprétation erronée. Afin de préciser cette disposition, ils proposent d’apporter les modifications mineures ci-après au paragraphe 2 de l’instruction d’emballage P903.</w:t>
      </w:r>
      <w:bookmarkStart w:id="2" w:name="_Hlk11073961"/>
    </w:p>
    <w:p w14:paraId="1E2382D9" w14:textId="77777777" w:rsidR="008F14EC" w:rsidRPr="008F14EC" w:rsidRDefault="008F14EC" w:rsidP="008F14EC">
      <w:pPr>
        <w:pStyle w:val="HChG"/>
      </w:pPr>
      <w:r w:rsidRPr="008F14EC">
        <w:tab/>
      </w:r>
      <w:r w:rsidRPr="008F14EC">
        <w:tab/>
        <w:t>Proposition</w:t>
      </w:r>
      <w:bookmarkEnd w:id="2"/>
    </w:p>
    <w:p w14:paraId="535F7155" w14:textId="77777777" w:rsidR="008F14EC" w:rsidRPr="008F14EC" w:rsidRDefault="008F14EC" w:rsidP="008F14EC">
      <w:pPr>
        <w:pStyle w:val="SingleTxtG"/>
      </w:pPr>
      <w:r w:rsidRPr="008F14EC">
        <w:t>4.</w:t>
      </w:r>
      <w:r w:rsidRPr="008F14EC">
        <w:tab/>
        <w:t>Modifier le paragraphe 2) de l’instruction d’emballage P903 pour lire comme suit :</w:t>
      </w:r>
    </w:p>
    <w:p w14:paraId="0F8BB40E" w14:textId="77777777" w:rsidR="008F14EC" w:rsidRPr="008F14EC" w:rsidRDefault="008F14EC" w:rsidP="008F14EC">
      <w:pPr>
        <w:pStyle w:val="SingleTxtG"/>
        <w:ind w:left="1701"/>
      </w:pPr>
      <w:r w:rsidRPr="008F14EC">
        <w:t xml:space="preserve">« En outre, pour </w:t>
      </w:r>
      <w:proofErr w:type="gramStart"/>
      <w:r w:rsidRPr="008F14EC">
        <w:rPr>
          <w:strike/>
        </w:rPr>
        <w:t xml:space="preserve">les </w:t>
      </w:r>
      <w:r w:rsidRPr="008F14EC">
        <w:rPr>
          <w:bCs/>
          <w:u w:val="single"/>
        </w:rPr>
        <w:t>une</w:t>
      </w:r>
      <w:proofErr w:type="gramEnd"/>
      <w:r w:rsidRPr="008F14EC">
        <w:rPr>
          <w:bCs/>
        </w:rPr>
        <w:t xml:space="preserve"> </w:t>
      </w:r>
      <w:r w:rsidRPr="008F14EC">
        <w:t>pile</w:t>
      </w:r>
      <w:r w:rsidRPr="008F14EC">
        <w:rPr>
          <w:strike/>
        </w:rPr>
        <w:t>s</w:t>
      </w:r>
      <w:r w:rsidRPr="008F14EC">
        <w:t xml:space="preserve"> ou </w:t>
      </w:r>
      <w:r w:rsidRPr="008F14EC">
        <w:rPr>
          <w:strike/>
        </w:rPr>
        <w:t xml:space="preserve">les </w:t>
      </w:r>
      <w:r w:rsidRPr="008F14EC">
        <w:rPr>
          <w:bCs/>
          <w:u w:val="single"/>
        </w:rPr>
        <w:t>une</w:t>
      </w:r>
      <w:r w:rsidRPr="008F14EC">
        <w:rPr>
          <w:bCs/>
        </w:rPr>
        <w:t xml:space="preserve"> </w:t>
      </w:r>
      <w:r w:rsidRPr="008F14EC">
        <w:t>batterie</w:t>
      </w:r>
      <w:r w:rsidRPr="008F14EC">
        <w:rPr>
          <w:strike/>
        </w:rPr>
        <w:t>s</w:t>
      </w:r>
      <w:r w:rsidRPr="008F14EC">
        <w:t xml:space="preserve"> </w:t>
      </w:r>
      <w:r w:rsidRPr="008F14EC">
        <w:rPr>
          <w:u w:val="single"/>
        </w:rPr>
        <w:t xml:space="preserve">(y compris un assemblage de batteries) </w:t>
      </w:r>
      <w:r w:rsidRPr="008F14EC">
        <w:t>d’une masse brute égale ou supérieure à 12 kg avec une enveloppe extérieure robuste et résistante aux chocs</w:t>
      </w:r>
      <w:r w:rsidRPr="008F14EC">
        <w:rPr>
          <w:strike/>
        </w:rPr>
        <w:t>, ainsi que pour les assemblages de telles piles ou batteries</w:t>
      </w:r>
      <w:r w:rsidRPr="008F14EC">
        <w:t> :</w:t>
      </w:r>
    </w:p>
    <w:p w14:paraId="7D873F52" w14:textId="77777777" w:rsidR="008F14EC" w:rsidRPr="008F14EC" w:rsidRDefault="008F14EC" w:rsidP="008F14EC">
      <w:pPr>
        <w:pStyle w:val="SingleTxtG"/>
        <w:ind w:left="1701" w:firstLine="567"/>
      </w:pPr>
      <w:r w:rsidRPr="008F14EC">
        <w:t>a)</w:t>
      </w:r>
      <w:r w:rsidRPr="008F14EC">
        <w:tab/>
        <w:t>Emballages extérieurs robustes ;</w:t>
      </w:r>
    </w:p>
    <w:p w14:paraId="48951C82" w14:textId="77777777" w:rsidR="008F14EC" w:rsidRPr="008F14EC" w:rsidRDefault="008F14EC" w:rsidP="008F14EC">
      <w:pPr>
        <w:pStyle w:val="SingleTxtG"/>
        <w:ind w:left="1701" w:firstLine="567"/>
      </w:pPr>
      <w:r w:rsidRPr="008F14EC">
        <w:t>b)</w:t>
      </w:r>
      <w:r w:rsidRPr="008F14EC">
        <w:tab/>
        <w:t xml:space="preserve">Enveloppes de protection (par exemple harasses complètement fermées ou harasses en bois) ; </w:t>
      </w:r>
      <w:proofErr w:type="gramStart"/>
      <w:r w:rsidRPr="008F14EC">
        <w:t>ou</w:t>
      </w:r>
      <w:proofErr w:type="gramEnd"/>
    </w:p>
    <w:p w14:paraId="1B737A79" w14:textId="77777777" w:rsidR="008F14EC" w:rsidRPr="008F14EC" w:rsidRDefault="008F14EC" w:rsidP="008F14EC">
      <w:pPr>
        <w:pStyle w:val="SingleTxtG"/>
        <w:ind w:left="1701" w:firstLine="567"/>
      </w:pPr>
      <w:r w:rsidRPr="008F14EC">
        <w:t>c)</w:t>
      </w:r>
      <w:r w:rsidRPr="008F14EC">
        <w:tab/>
        <w:t>Palettes ou autres dispositifs de manutention. ».</w:t>
      </w:r>
    </w:p>
    <w:p w14:paraId="382E463B" w14:textId="77777777" w:rsidR="005B4A3F" w:rsidRPr="008F14EC" w:rsidRDefault="008F14EC" w:rsidP="008F14EC">
      <w:pPr>
        <w:pStyle w:val="SingleTxtG"/>
        <w:spacing w:before="240" w:after="0"/>
        <w:jc w:val="center"/>
        <w:rPr>
          <w:u w:val="single"/>
        </w:rPr>
      </w:pPr>
      <w:r w:rsidRPr="008F14EC">
        <w:rPr>
          <w:u w:val="single"/>
        </w:rPr>
        <w:tab/>
      </w:r>
      <w:r w:rsidRPr="008F14EC">
        <w:rPr>
          <w:u w:val="single"/>
        </w:rPr>
        <w:tab/>
      </w:r>
      <w:r w:rsidRPr="008F14EC">
        <w:rPr>
          <w:u w:val="single"/>
        </w:rPr>
        <w:tab/>
      </w:r>
    </w:p>
    <w:sectPr w:rsidR="005B4A3F" w:rsidRPr="008F14EC" w:rsidSect="005B4A3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CE030" w14:textId="77777777" w:rsidR="00E0795A" w:rsidRDefault="00E0795A" w:rsidP="00F95C08">
      <w:pPr>
        <w:spacing w:line="240" w:lineRule="auto"/>
      </w:pPr>
    </w:p>
  </w:endnote>
  <w:endnote w:type="continuationSeparator" w:id="0">
    <w:p w14:paraId="07C2FB28" w14:textId="77777777" w:rsidR="00E0795A" w:rsidRPr="00AC3823" w:rsidRDefault="00E0795A" w:rsidP="00AC3823">
      <w:pPr>
        <w:pStyle w:val="Footer"/>
      </w:pPr>
    </w:p>
  </w:endnote>
  <w:endnote w:type="continuationNotice" w:id="1">
    <w:p w14:paraId="053FD735" w14:textId="77777777" w:rsidR="00E0795A" w:rsidRDefault="00E079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5661" w14:textId="77777777" w:rsidR="005B4A3F" w:rsidRPr="005B4A3F" w:rsidRDefault="005B4A3F" w:rsidP="005B4A3F">
    <w:pPr>
      <w:pStyle w:val="Footer"/>
      <w:tabs>
        <w:tab w:val="right" w:pos="9638"/>
      </w:tabs>
    </w:pPr>
    <w:r w:rsidRPr="005B4A3F">
      <w:rPr>
        <w:b/>
        <w:sz w:val="18"/>
      </w:rPr>
      <w:fldChar w:fldCharType="begin"/>
    </w:r>
    <w:r w:rsidRPr="005B4A3F">
      <w:rPr>
        <w:b/>
        <w:sz w:val="18"/>
      </w:rPr>
      <w:instrText xml:space="preserve"> PAGE  \* MERGEFORMAT </w:instrText>
    </w:r>
    <w:r w:rsidRPr="005B4A3F">
      <w:rPr>
        <w:b/>
        <w:sz w:val="18"/>
      </w:rPr>
      <w:fldChar w:fldCharType="separate"/>
    </w:r>
    <w:r w:rsidRPr="005B4A3F">
      <w:rPr>
        <w:b/>
        <w:noProof/>
        <w:sz w:val="18"/>
      </w:rPr>
      <w:t>2</w:t>
    </w:r>
    <w:r w:rsidRPr="005B4A3F">
      <w:rPr>
        <w:b/>
        <w:sz w:val="18"/>
      </w:rPr>
      <w:fldChar w:fldCharType="end"/>
    </w:r>
    <w:r>
      <w:rPr>
        <w:b/>
        <w:sz w:val="18"/>
      </w:rPr>
      <w:tab/>
    </w:r>
    <w:r>
      <w:t>GE.19-15352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351A" w14:textId="77777777" w:rsidR="005B4A3F" w:rsidRPr="005B4A3F" w:rsidRDefault="005B4A3F" w:rsidP="005B4A3F">
    <w:pPr>
      <w:pStyle w:val="Footer"/>
      <w:tabs>
        <w:tab w:val="right" w:pos="9638"/>
      </w:tabs>
      <w:rPr>
        <w:b/>
        <w:sz w:val="18"/>
      </w:rPr>
    </w:pPr>
    <w:r>
      <w:t>GE.19-15352</w:t>
    </w:r>
    <w:r>
      <w:tab/>
    </w:r>
    <w:r w:rsidRPr="005B4A3F">
      <w:rPr>
        <w:b/>
        <w:sz w:val="18"/>
      </w:rPr>
      <w:fldChar w:fldCharType="begin"/>
    </w:r>
    <w:r w:rsidRPr="005B4A3F">
      <w:rPr>
        <w:b/>
        <w:sz w:val="18"/>
      </w:rPr>
      <w:instrText xml:space="preserve"> PAGE  \* MERGEFORMAT </w:instrText>
    </w:r>
    <w:r w:rsidRPr="005B4A3F">
      <w:rPr>
        <w:b/>
        <w:sz w:val="18"/>
      </w:rPr>
      <w:fldChar w:fldCharType="separate"/>
    </w:r>
    <w:r w:rsidRPr="005B4A3F">
      <w:rPr>
        <w:b/>
        <w:noProof/>
        <w:sz w:val="18"/>
      </w:rPr>
      <w:t>3</w:t>
    </w:r>
    <w:r w:rsidRPr="005B4A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2800" w14:textId="77777777" w:rsidR="0068456F" w:rsidRPr="005B4A3F" w:rsidRDefault="005B4A3F" w:rsidP="005B4A3F">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02967110" wp14:editId="607C18A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15352  (</w:t>
    </w:r>
    <w:proofErr w:type="gramEnd"/>
    <w:r>
      <w:rPr>
        <w:sz w:val="20"/>
      </w:rPr>
      <w:t>F)    091019    091019</w:t>
    </w:r>
    <w:r>
      <w:rPr>
        <w:sz w:val="20"/>
      </w:rPr>
      <w:br/>
    </w:r>
    <w:r w:rsidRPr="005B4A3F">
      <w:rPr>
        <w:rFonts w:ascii="C39T30Lfz" w:hAnsi="C39T30Lfz"/>
        <w:sz w:val="56"/>
      </w:rPr>
      <w:t></w:t>
    </w:r>
    <w:r w:rsidRPr="005B4A3F">
      <w:rPr>
        <w:rFonts w:ascii="C39T30Lfz" w:hAnsi="C39T30Lfz"/>
        <w:sz w:val="56"/>
      </w:rPr>
      <w:t></w:t>
    </w:r>
    <w:r w:rsidRPr="005B4A3F">
      <w:rPr>
        <w:rFonts w:ascii="C39T30Lfz" w:hAnsi="C39T30Lfz"/>
        <w:sz w:val="56"/>
      </w:rPr>
      <w:t></w:t>
    </w:r>
    <w:r w:rsidRPr="005B4A3F">
      <w:rPr>
        <w:rFonts w:ascii="C39T30Lfz" w:hAnsi="C39T30Lfz"/>
        <w:sz w:val="56"/>
      </w:rPr>
      <w:t></w:t>
    </w:r>
    <w:r w:rsidRPr="005B4A3F">
      <w:rPr>
        <w:rFonts w:ascii="C39T30Lfz" w:hAnsi="C39T30Lfz"/>
        <w:sz w:val="56"/>
      </w:rPr>
      <w:t></w:t>
    </w:r>
    <w:r w:rsidRPr="005B4A3F">
      <w:rPr>
        <w:rFonts w:ascii="C39T30Lfz" w:hAnsi="C39T30Lfz"/>
        <w:sz w:val="56"/>
      </w:rPr>
      <w:t></w:t>
    </w:r>
    <w:r w:rsidRPr="005B4A3F">
      <w:rPr>
        <w:rFonts w:ascii="C39T30Lfz" w:hAnsi="C39T30Lfz"/>
        <w:sz w:val="56"/>
      </w:rPr>
      <w:t></w:t>
    </w:r>
    <w:r w:rsidRPr="005B4A3F">
      <w:rPr>
        <w:rFonts w:ascii="C39T30Lfz" w:hAnsi="C39T30Lfz"/>
        <w:sz w:val="56"/>
      </w:rPr>
      <w:t></w:t>
    </w:r>
    <w:r w:rsidRPr="005B4A3F">
      <w:rPr>
        <w:rFonts w:ascii="C39T30Lfz" w:hAnsi="C39T30Lfz"/>
        <w:sz w:val="56"/>
      </w:rPr>
      <w:t></w:t>
    </w:r>
    <w:r>
      <w:rPr>
        <w:noProof/>
        <w:sz w:val="20"/>
      </w:rPr>
      <w:drawing>
        <wp:anchor distT="0" distB="0" distL="114300" distR="114300" simplePos="0" relativeHeight="251658240" behindDoc="0" locked="0" layoutInCell="1" allowOverlap="1" wp14:anchorId="13CA8E19" wp14:editId="5CBA0DE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6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6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9EDFA" w14:textId="77777777" w:rsidR="00E0795A" w:rsidRPr="00AC3823" w:rsidRDefault="00E0795A" w:rsidP="00AC3823">
      <w:pPr>
        <w:pStyle w:val="Footer"/>
        <w:tabs>
          <w:tab w:val="right" w:pos="2155"/>
        </w:tabs>
        <w:spacing w:after="80" w:line="240" w:lineRule="atLeast"/>
        <w:ind w:left="680"/>
        <w:rPr>
          <w:u w:val="single"/>
        </w:rPr>
      </w:pPr>
      <w:r>
        <w:rPr>
          <w:u w:val="single"/>
        </w:rPr>
        <w:tab/>
      </w:r>
    </w:p>
  </w:footnote>
  <w:footnote w:type="continuationSeparator" w:id="0">
    <w:p w14:paraId="3360514F" w14:textId="77777777" w:rsidR="00E0795A" w:rsidRPr="00AC3823" w:rsidRDefault="00E0795A" w:rsidP="00AC3823">
      <w:pPr>
        <w:pStyle w:val="Footer"/>
        <w:tabs>
          <w:tab w:val="right" w:pos="2155"/>
        </w:tabs>
        <w:spacing w:after="80" w:line="240" w:lineRule="atLeast"/>
        <w:ind w:left="680"/>
        <w:rPr>
          <w:u w:val="single"/>
        </w:rPr>
      </w:pPr>
      <w:r>
        <w:rPr>
          <w:u w:val="single"/>
        </w:rPr>
        <w:tab/>
      </w:r>
    </w:p>
  </w:footnote>
  <w:footnote w:type="continuationNotice" w:id="1">
    <w:p w14:paraId="7EB18849" w14:textId="77777777" w:rsidR="00E0795A" w:rsidRPr="00AC3823" w:rsidRDefault="00E0795A">
      <w:pPr>
        <w:spacing w:line="240" w:lineRule="auto"/>
        <w:rPr>
          <w:sz w:val="2"/>
          <w:szCs w:val="2"/>
        </w:rPr>
      </w:pPr>
    </w:p>
  </w:footnote>
  <w:footnote w:id="2">
    <w:p w14:paraId="68B33E70" w14:textId="77777777" w:rsidR="008F14EC" w:rsidRPr="000469BD" w:rsidRDefault="008F14EC" w:rsidP="008F14EC">
      <w:pPr>
        <w:pStyle w:val="FootnoteText"/>
      </w:pPr>
      <w:r w:rsidRPr="008F14EC">
        <w:rPr>
          <w:sz w:val="20"/>
          <w:lang w:val="fr-FR"/>
        </w:rPr>
        <w:tab/>
        <w:t>*</w:t>
      </w:r>
      <w:r w:rsidRPr="008F14EC">
        <w:rPr>
          <w:sz w:val="20"/>
          <w:lang w:val="fr-FR"/>
        </w:rPr>
        <w:tab/>
      </w:r>
      <w:r>
        <w:rPr>
          <w:lang w:val="fr-FR"/>
        </w:rPr>
        <w:t>Conformément au programme de travail du Sous-Comité pour la période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D50C" w14:textId="42BD8A01" w:rsidR="005B4A3F" w:rsidRPr="005B4A3F" w:rsidRDefault="006D69FD">
    <w:pPr>
      <w:pStyle w:val="Header"/>
    </w:pPr>
    <w:r>
      <w:fldChar w:fldCharType="begin"/>
    </w:r>
    <w:r>
      <w:instrText xml:space="preserve"> TITLE  \* MERGEFORMAT </w:instrText>
    </w:r>
    <w:r>
      <w:fldChar w:fldCharType="separate"/>
    </w:r>
    <w:r>
      <w:t>ST/SG/AC.10/C.3/2019/60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6AD7" w14:textId="283639ED" w:rsidR="005B4A3F" w:rsidRPr="005B4A3F" w:rsidRDefault="006D69FD" w:rsidP="005B4A3F">
    <w:pPr>
      <w:pStyle w:val="Header"/>
      <w:jc w:val="right"/>
    </w:pPr>
    <w:r>
      <w:fldChar w:fldCharType="begin"/>
    </w:r>
    <w:r>
      <w:instrText xml:space="preserve"> TITLE  \* MERGEFORMAT </w:instrText>
    </w:r>
    <w:r>
      <w:fldChar w:fldCharType="separate"/>
    </w:r>
    <w:r>
      <w:t>ST/SG/AC.10/C.3/2019/60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lvlOverride w:ilvl="0">
      <w:lvl w:ilvl="0" w:tplc="18B07A14">
        <w:start w:val="1"/>
        <w:numFmt w:val="decimal"/>
        <w:lvlText w:val="%1."/>
        <w:lvlJc w:val="left"/>
        <w:pPr>
          <w:ind w:left="1689" w:hanging="555"/>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5A"/>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5B4A3F"/>
    <w:rsid w:val="0068456F"/>
    <w:rsid w:val="006D69FD"/>
    <w:rsid w:val="0071601D"/>
    <w:rsid w:val="007A62E6"/>
    <w:rsid w:val="0080684C"/>
    <w:rsid w:val="00871C75"/>
    <w:rsid w:val="008776DC"/>
    <w:rsid w:val="008B40CD"/>
    <w:rsid w:val="008F14EC"/>
    <w:rsid w:val="009705C8"/>
    <w:rsid w:val="009C1CF4"/>
    <w:rsid w:val="00A12B78"/>
    <w:rsid w:val="00A30353"/>
    <w:rsid w:val="00A37702"/>
    <w:rsid w:val="00AC3823"/>
    <w:rsid w:val="00AE323C"/>
    <w:rsid w:val="00B00181"/>
    <w:rsid w:val="00B00B0D"/>
    <w:rsid w:val="00B765F7"/>
    <w:rsid w:val="00BA0CA9"/>
    <w:rsid w:val="00BC6B98"/>
    <w:rsid w:val="00C02897"/>
    <w:rsid w:val="00D3439C"/>
    <w:rsid w:val="00DB1831"/>
    <w:rsid w:val="00DD3BFD"/>
    <w:rsid w:val="00DF6678"/>
    <w:rsid w:val="00E0795A"/>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28FA5"/>
  <w15:docId w15:val="{E6254D1B-002C-4201-9A63-D609259A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8F14EC"/>
    <w:rPr>
      <w:rFonts w:ascii="Times New Roman" w:eastAsiaTheme="minorHAnsi" w:hAnsi="Times New Roman" w:cs="Times New Roman"/>
      <w:b/>
      <w:sz w:val="24"/>
      <w:szCs w:val="20"/>
      <w:lang w:eastAsia="en-US"/>
    </w:rPr>
  </w:style>
  <w:style w:type="character" w:customStyle="1" w:styleId="HChGChar">
    <w:name w:val="_ H _Ch_G Char"/>
    <w:link w:val="HChG"/>
    <w:rsid w:val="008F14EC"/>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8F14E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2987</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ST/SG/AC.10/C.3/2019/60</vt:lpstr>
      <vt:lpstr>ST/SG/AC.10/C.3/2019/60</vt:lpstr>
    </vt:vector>
  </TitlesOfParts>
  <Company>DCM</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ST/SG/AC.10/C.3/2019/60</dc:title>
  <dc:subject/>
  <dc:creator>Nicolas MORIN</dc:creator>
  <cp:keywords/>
  <cp:lastModifiedBy>Laurence Berthet</cp:lastModifiedBy>
  <cp:revision>3</cp:revision>
  <cp:lastPrinted>2019-10-29T14:28:00Z</cp:lastPrinted>
  <dcterms:created xsi:type="dcterms:W3CDTF">2019-10-29T14:28:00Z</dcterms:created>
  <dcterms:modified xsi:type="dcterms:W3CDTF">2019-10-29T14:30:00Z</dcterms:modified>
</cp:coreProperties>
</file>