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4F62A888" w:rsidR="005E0F7B" w:rsidRDefault="005E0F7B" w:rsidP="00027D20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B161C8">
              <w:t>9</w:t>
            </w:r>
            <w:r w:rsidR="00EB5EFC">
              <w:t>/</w:t>
            </w:r>
            <w:r w:rsidR="00FD4249">
              <w:t>53</w:t>
            </w:r>
          </w:p>
        </w:tc>
      </w:tr>
      <w:tr w:rsidR="005E0F7B" w:rsidRPr="005E0F7B" w14:paraId="077A4DB1" w14:textId="77777777" w:rsidTr="00D95400">
        <w:trPr>
          <w:trHeight w:val="2684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01CA84BB" w:rsidR="005E0F7B" w:rsidRDefault="00FD21A9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738D2D2A" w:rsidR="005E0F7B" w:rsidRPr="005C67A3" w:rsidRDefault="00E041AB">
            <w:pPr>
              <w:suppressAutoHyphens w:val="0"/>
            </w:pPr>
            <w:r>
              <w:t>10</w:t>
            </w:r>
            <w:r w:rsidR="00FD4249">
              <w:t xml:space="preserve"> September</w:t>
            </w:r>
            <w:r w:rsidR="00B161C8">
              <w:t xml:space="preserve"> 2019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p w14:paraId="0110929B" w14:textId="77777777"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Sub-Committee of Experts on the Transport of Dangerous Goods</w:t>
      </w:r>
    </w:p>
    <w:p w14:paraId="49F33798" w14:textId="5519DCAB" w:rsidR="00AC47CB" w:rsidRPr="00432930" w:rsidRDefault="00AC47CB" w:rsidP="00AC47CB">
      <w:pPr>
        <w:spacing w:before="120"/>
        <w:rPr>
          <w:b/>
        </w:rPr>
      </w:pPr>
      <w:r>
        <w:rPr>
          <w:b/>
        </w:rPr>
        <w:t>Fifty-</w:t>
      </w:r>
      <w:r w:rsidR="0050497A">
        <w:rPr>
          <w:b/>
        </w:rPr>
        <w:t>six</w:t>
      </w:r>
      <w:r w:rsidR="00EE08B7">
        <w:rPr>
          <w:b/>
        </w:rPr>
        <w:t>th</w:t>
      </w:r>
      <w:r>
        <w:rPr>
          <w:b/>
        </w:rPr>
        <w:t xml:space="preserve"> session</w:t>
      </w:r>
    </w:p>
    <w:p w14:paraId="22C42D8D" w14:textId="348E97C6" w:rsidR="005446ED" w:rsidRDefault="00AC47CB" w:rsidP="00AC47CB">
      <w:pPr>
        <w:rPr>
          <w:b/>
        </w:rPr>
      </w:pPr>
      <w:r>
        <w:t xml:space="preserve">Geneva, </w:t>
      </w:r>
      <w:r w:rsidR="0050497A">
        <w:t>2-11</w:t>
      </w:r>
      <w:r w:rsidR="00EE08B7">
        <w:t xml:space="preserve"> </w:t>
      </w:r>
      <w:r w:rsidR="0050497A">
        <w:t>December</w:t>
      </w:r>
      <w:r w:rsidR="00EE08B7">
        <w:t xml:space="preserve"> 2019</w:t>
      </w:r>
      <w:r>
        <w:rPr>
          <w:color w:val="333333"/>
        </w:rPr>
        <w:br/>
      </w:r>
      <w:r w:rsidR="00A065BA" w:rsidRPr="009D3AC0">
        <w:t xml:space="preserve">Item </w:t>
      </w:r>
      <w:r w:rsidR="00D95400">
        <w:t>10</w:t>
      </w:r>
      <w:r w:rsidR="00A065BA" w:rsidRPr="009D3AC0">
        <w:t xml:space="preserve"> </w:t>
      </w:r>
      <w:r w:rsidR="00D95400">
        <w:t>(</w:t>
      </w:r>
      <w:r w:rsidR="009D576F">
        <w:t>c</w:t>
      </w:r>
      <w:r w:rsidR="00D95400">
        <w:t xml:space="preserve">) </w:t>
      </w:r>
      <w:r w:rsidR="00A065BA" w:rsidRPr="009D3AC0">
        <w:t>of the provisional agenda</w:t>
      </w:r>
    </w:p>
    <w:p w14:paraId="214806AF" w14:textId="17723647" w:rsidR="00DE0613" w:rsidRPr="009D576F" w:rsidRDefault="00FD4249" w:rsidP="00AC47CB">
      <w:pPr>
        <w:rPr>
          <w:b/>
          <w:bCs/>
        </w:rPr>
      </w:pPr>
      <w:r w:rsidRPr="00FD4249">
        <w:rPr>
          <w:b/>
          <w:bCs/>
        </w:rPr>
        <w:t xml:space="preserve">Issues relating to the Globally Harmonized System of Classification </w:t>
      </w:r>
      <w:r w:rsidRPr="00FD4249">
        <w:rPr>
          <w:b/>
          <w:bCs/>
        </w:rPr>
        <w:br/>
        <w:t>and Labelling of Chemicals:</w:t>
      </w:r>
      <w:r>
        <w:br/>
      </w:r>
      <w:r>
        <w:rPr>
          <w:b/>
          <w:bCs/>
        </w:rPr>
        <w:t>u</w:t>
      </w:r>
      <w:r w:rsidR="009D576F" w:rsidRPr="009D576F">
        <w:rPr>
          <w:b/>
          <w:bCs/>
        </w:rPr>
        <w:t>pdating of references to OECD Guidelines</w:t>
      </w:r>
    </w:p>
    <w:p w14:paraId="46A5CACD" w14:textId="0E2AE2DD" w:rsidR="00B161C8" w:rsidRDefault="00B161C8" w:rsidP="00B161C8">
      <w:pPr>
        <w:pStyle w:val="HChG"/>
        <w:rPr>
          <w:bCs/>
        </w:rPr>
      </w:pPr>
      <w:r>
        <w:tab/>
      </w:r>
      <w:r>
        <w:tab/>
      </w:r>
      <w:r w:rsidR="0050497A">
        <w:t>Minor r</w:t>
      </w:r>
      <w:r>
        <w:t>evision of paragraph 2.8.3.2</w:t>
      </w:r>
    </w:p>
    <w:p w14:paraId="0861B628" w14:textId="1F7BC40E" w:rsidR="00B161C8" w:rsidRDefault="00B161C8" w:rsidP="00B161C8">
      <w:pPr>
        <w:pStyle w:val="H1G"/>
      </w:pPr>
      <w:r>
        <w:tab/>
      </w:r>
      <w:r>
        <w:tab/>
        <w:t xml:space="preserve">Transmitted by the </w:t>
      </w:r>
      <w:r w:rsidR="009D576F">
        <w:t>European Union</w:t>
      </w:r>
      <w:r w:rsidR="0050497A">
        <w:t xml:space="preserve"> and the </w:t>
      </w:r>
      <w:r w:rsidR="00617186">
        <w:t>Netherlands</w:t>
      </w:r>
      <w:r w:rsidR="00FD4249">
        <w:rPr>
          <w:rStyle w:val="FootnoteReference"/>
        </w:rPr>
        <w:footnoteReference w:customMarkFollows="1" w:id="2"/>
        <w:t>*</w:t>
      </w:r>
    </w:p>
    <w:p w14:paraId="3AC6BDFA" w14:textId="591E2471" w:rsidR="00B161C8" w:rsidRDefault="00B161C8" w:rsidP="00B161C8">
      <w:pPr>
        <w:pStyle w:val="HChG"/>
        <w:rPr>
          <w:bCs/>
        </w:rPr>
      </w:pPr>
      <w:r>
        <w:tab/>
      </w:r>
      <w:r>
        <w:tab/>
        <w:t>Introduction</w:t>
      </w:r>
    </w:p>
    <w:p w14:paraId="3912A37A" w14:textId="7A7A70E0" w:rsidR="009D43AB" w:rsidRPr="00FD4249" w:rsidRDefault="00B161C8" w:rsidP="00FD4249">
      <w:pPr>
        <w:pStyle w:val="SingleTxtG"/>
        <w:numPr>
          <w:ilvl w:val="0"/>
          <w:numId w:val="49"/>
        </w:numPr>
        <w:ind w:left="1134" w:firstLine="0"/>
      </w:pPr>
      <w:r w:rsidRPr="00FD4249">
        <w:t>The E</w:t>
      </w:r>
      <w:r w:rsidR="009D576F" w:rsidRPr="00FD4249">
        <w:t>uropean</w:t>
      </w:r>
      <w:r w:rsidRPr="00FD4249">
        <w:t xml:space="preserve"> Commission wishes to thank all delegates that contributed to finalise and agreed to the adoption of paragraph 2.8.3.2 based on the proposal </w:t>
      </w:r>
      <w:r w:rsidR="009D576F" w:rsidRPr="00FD4249">
        <w:t xml:space="preserve">in document </w:t>
      </w:r>
      <w:r w:rsidR="0050497A" w:rsidRPr="00FD4249">
        <w:t xml:space="preserve">ST/SG/AC.10/C.3/2019/1 </w:t>
      </w:r>
      <w:r w:rsidR="009D576F" w:rsidRPr="00FD4249">
        <w:t xml:space="preserve">considered </w:t>
      </w:r>
      <w:r w:rsidR="0050497A" w:rsidRPr="00FD4249">
        <w:t>at the fifty-fif</w:t>
      </w:r>
      <w:r w:rsidRPr="00FD4249">
        <w:t>th session.</w:t>
      </w:r>
    </w:p>
    <w:p w14:paraId="55E90FD8" w14:textId="1B1649F4" w:rsidR="00B161C8" w:rsidRPr="009D43AB" w:rsidRDefault="00EE08B7" w:rsidP="009D43AB">
      <w:pPr>
        <w:pStyle w:val="SingleTxtG"/>
        <w:numPr>
          <w:ilvl w:val="0"/>
          <w:numId w:val="49"/>
        </w:numPr>
        <w:ind w:left="1134" w:firstLine="0"/>
        <w:rPr>
          <w:b/>
          <w:bCs/>
        </w:rPr>
      </w:pPr>
      <w:r w:rsidRPr="00AD338B">
        <w:rPr>
          <w:lang w:eastAsia="en-GB"/>
        </w:rPr>
        <w:t xml:space="preserve">In Annex I to the </w:t>
      </w:r>
      <w:r w:rsidR="009D576F">
        <w:t>r</w:t>
      </w:r>
      <w:r w:rsidRPr="00AD338B">
        <w:t>eport of the Sub-Committee of Experts on the Transport of Dangerous Goods on its fifty-f</w:t>
      </w:r>
      <w:r w:rsidR="0050497A">
        <w:t>if</w:t>
      </w:r>
      <w:r w:rsidRPr="00AD338B">
        <w:t>th session</w:t>
      </w:r>
      <w:r w:rsidRPr="00AD338B">
        <w:rPr>
          <w:lang w:eastAsia="en-GB"/>
        </w:rPr>
        <w:t xml:space="preserve"> (</w:t>
      </w:r>
      <w:r w:rsidRPr="00AD338B">
        <w:t>ST/SG/AC.10/C.3/1</w:t>
      </w:r>
      <w:r w:rsidR="000819BC">
        <w:t>10</w:t>
      </w:r>
      <w:r w:rsidRPr="00AD338B">
        <w:t xml:space="preserve">) the following </w:t>
      </w:r>
      <w:r w:rsidR="000819BC">
        <w:t xml:space="preserve">draft </w:t>
      </w:r>
      <w:r w:rsidRPr="00AD338B">
        <w:t>amendment</w:t>
      </w:r>
      <w:r>
        <w:t>s</w:t>
      </w:r>
      <w:r w:rsidRPr="00AD338B">
        <w:t xml:space="preserve"> to paragraph 2.8.3.2 to the </w:t>
      </w:r>
      <w:r w:rsidR="000819BC" w:rsidRPr="00AD338B">
        <w:t>twent</w:t>
      </w:r>
      <w:r w:rsidR="000819BC">
        <w:t xml:space="preserve">y-first </w:t>
      </w:r>
      <w:r w:rsidRPr="00AD338B">
        <w:t>revised edition of the Recommendations on the Transport of Dangerous Goods, Model R</w:t>
      </w:r>
      <w:r w:rsidR="000819BC">
        <w:t>egulations (ST/SG/AC.10/1/Rev.21</w:t>
      </w:r>
      <w:r w:rsidRPr="00AD338B">
        <w:t>), w</w:t>
      </w:r>
      <w:r w:rsidR="009D576F">
        <w:t>ere</w:t>
      </w:r>
      <w:r w:rsidRPr="00AD338B">
        <w:t xml:space="preserve"> included</w:t>
      </w:r>
      <w:r>
        <w:t>:</w:t>
      </w:r>
    </w:p>
    <w:p w14:paraId="18D4429C" w14:textId="2C800C19" w:rsidR="000819BC" w:rsidRDefault="00FD4249" w:rsidP="00FD4249">
      <w:pPr>
        <w:pStyle w:val="SingleTxtG"/>
        <w:tabs>
          <w:tab w:val="left" w:pos="2552"/>
        </w:tabs>
        <w:ind w:left="1701"/>
      </w:pPr>
      <w:r>
        <w:t>“</w:t>
      </w:r>
      <w:r w:rsidR="000819BC">
        <w:t>2.8.3.2</w:t>
      </w:r>
      <w:r w:rsidR="000819BC">
        <w:tab/>
        <w:t>In the second sentence, replace “OECD Test Guidelines</w:t>
      </w:r>
      <w:r w:rsidR="000819BC">
        <w:rPr>
          <w:vertAlign w:val="superscript"/>
        </w:rPr>
        <w:t>1,2,3,4</w:t>
      </w:r>
      <w:r w:rsidR="000819BC">
        <w:t>” by “OECD Test Guidelines Nos. 404</w:t>
      </w:r>
      <w:r w:rsidR="000819BC">
        <w:rPr>
          <w:vertAlign w:val="superscript"/>
        </w:rPr>
        <w:t>1</w:t>
      </w:r>
      <w:r w:rsidR="000819BC">
        <w:t>, 435</w:t>
      </w:r>
      <w:r w:rsidR="000819BC">
        <w:rPr>
          <w:vertAlign w:val="superscript"/>
        </w:rPr>
        <w:t>2</w:t>
      </w:r>
      <w:r w:rsidR="000819BC">
        <w:t>, 431</w:t>
      </w:r>
      <w:r w:rsidR="000819BC">
        <w:rPr>
          <w:vertAlign w:val="superscript"/>
        </w:rPr>
        <w:t>3</w:t>
      </w:r>
      <w:r w:rsidR="000819BC">
        <w:t xml:space="preserve"> or 430</w:t>
      </w:r>
      <w:r w:rsidR="000819BC">
        <w:rPr>
          <w:vertAlign w:val="superscript"/>
        </w:rPr>
        <w:t>4</w:t>
      </w:r>
      <w:r w:rsidR="000819BC">
        <w:t>”. In the third sentence, replace “OECD Test Guidelines</w:t>
      </w:r>
      <w:r w:rsidR="000819BC">
        <w:rPr>
          <w:vertAlign w:val="superscript"/>
        </w:rPr>
        <w:t>1,2,3,4</w:t>
      </w:r>
      <w:r w:rsidR="000819BC">
        <w:t>” by “one of these or non-classified in accordance with OECD Test Guideline No. 439</w:t>
      </w:r>
      <w:r w:rsidR="000819BC">
        <w:rPr>
          <w:vertAlign w:val="superscript"/>
        </w:rPr>
        <w:t>5</w:t>
      </w:r>
      <w:r w:rsidR="000819BC">
        <w:t>,</w:t>
      </w:r>
      <w:r w:rsidR="000819BC">
        <w:rPr>
          <w:lang w:val="en-US"/>
        </w:rPr>
        <w:t>”. In the fourth sentence, delete “</w:t>
      </w:r>
      <w:r w:rsidR="000819BC">
        <w:rPr>
          <w:i/>
          <w:iCs/>
          <w:lang w:val="en-US"/>
        </w:rPr>
        <w:t>in vitro</w:t>
      </w:r>
      <w:r w:rsidR="000819BC">
        <w:rPr>
          <w:lang w:val="en-US"/>
        </w:rPr>
        <w:t>”. At the end, add the following new sentence: “</w:t>
      </w:r>
      <w:r w:rsidR="000819BC">
        <w:t>If the test results indicate that the substance or mixture is corrosive, but the test method does not allow discrimination between packing groups, it shall be assigned to packing group I if no further tests indicate a different result.”.</w:t>
      </w:r>
    </w:p>
    <w:p w14:paraId="220C0A2E" w14:textId="70CA0F89" w:rsidR="000819BC" w:rsidRDefault="000819BC" w:rsidP="000819BC">
      <w:pPr>
        <w:pStyle w:val="SingleTxtG"/>
        <w:ind w:left="1701"/>
      </w:pPr>
      <w:r>
        <w:lastRenderedPageBreak/>
        <w:t>Add a footnote</w:t>
      </w:r>
      <w:r w:rsidRPr="00E041AB">
        <w:rPr>
          <w:vertAlign w:val="superscript"/>
        </w:rPr>
        <w:t>5</w:t>
      </w:r>
      <w:r>
        <w:t xml:space="preserve"> to read</w:t>
      </w:r>
      <w:r w:rsidR="00E041AB">
        <w:t>:</w:t>
      </w:r>
      <w:r>
        <w:t xml:space="preserve"> “</w:t>
      </w:r>
      <w:r>
        <w:rPr>
          <w:vertAlign w:val="superscript"/>
        </w:rPr>
        <w:t>5</w:t>
      </w:r>
      <w:r>
        <w:t xml:space="preserve"> </w:t>
      </w:r>
      <w:r>
        <w:rPr>
          <w:i/>
          <w:iCs/>
        </w:rPr>
        <w:t>OECD Guideline for the testing of chemicals No. 439 “In Vitro Skin Irritation: Reconstructed Human Epidermis Test Method” 2015</w:t>
      </w:r>
      <w:r>
        <w:t>.</w:t>
      </w:r>
      <w:r w:rsidR="00FD4249">
        <w:t>”</w:t>
      </w:r>
    </w:p>
    <w:p w14:paraId="7F2BD642" w14:textId="3CA8518F" w:rsidR="00E5530A" w:rsidRDefault="000819BC" w:rsidP="009D43AB">
      <w:pPr>
        <w:pStyle w:val="SingleTxtG"/>
        <w:numPr>
          <w:ilvl w:val="0"/>
          <w:numId w:val="49"/>
        </w:numPr>
        <w:ind w:left="1134" w:firstLine="0"/>
      </w:pPr>
      <w:r>
        <w:rPr>
          <w:lang w:eastAsia="en-GB"/>
        </w:rPr>
        <w:t xml:space="preserve">After </w:t>
      </w:r>
      <w:r w:rsidR="00736567">
        <w:rPr>
          <w:lang w:eastAsia="en-GB"/>
        </w:rPr>
        <w:t xml:space="preserve">intersessional </w:t>
      </w:r>
      <w:r>
        <w:rPr>
          <w:lang w:eastAsia="en-GB"/>
        </w:rPr>
        <w:t xml:space="preserve">discussion between European </w:t>
      </w:r>
      <w:r w:rsidR="00E5530A">
        <w:rPr>
          <w:lang w:eastAsia="en-GB"/>
        </w:rPr>
        <w:t>Commission</w:t>
      </w:r>
      <w:r w:rsidR="0009548F">
        <w:rPr>
          <w:lang w:eastAsia="en-GB"/>
        </w:rPr>
        <w:t>, the Netherlands</w:t>
      </w:r>
      <w:r w:rsidR="00E5530A">
        <w:rPr>
          <w:lang w:eastAsia="en-GB"/>
        </w:rPr>
        <w:t xml:space="preserve"> </w:t>
      </w:r>
      <w:r>
        <w:rPr>
          <w:lang w:eastAsia="en-GB"/>
        </w:rPr>
        <w:t xml:space="preserve">and the United States </w:t>
      </w:r>
      <w:r w:rsidR="00E041AB">
        <w:rPr>
          <w:lang w:eastAsia="en-GB"/>
        </w:rPr>
        <w:t xml:space="preserve">of America </w:t>
      </w:r>
      <w:r w:rsidR="00E5530A">
        <w:rPr>
          <w:lang w:eastAsia="en-GB"/>
        </w:rPr>
        <w:t xml:space="preserve">concerning </w:t>
      </w:r>
      <w:r>
        <w:rPr>
          <w:lang w:eastAsia="en-GB"/>
        </w:rPr>
        <w:t>the text</w:t>
      </w:r>
      <w:r w:rsidR="00E5530A">
        <w:rPr>
          <w:lang w:eastAsia="en-GB"/>
        </w:rPr>
        <w:t xml:space="preserve"> of the last sentence</w:t>
      </w:r>
      <w:r>
        <w:rPr>
          <w:lang w:eastAsia="en-GB"/>
        </w:rPr>
        <w:t xml:space="preserve"> in </w:t>
      </w:r>
      <w:r w:rsidR="00E5530A">
        <w:rPr>
          <w:lang w:eastAsia="en-GB"/>
        </w:rPr>
        <w:t xml:space="preserve">the </w:t>
      </w:r>
      <w:r>
        <w:t xml:space="preserve">draft </w:t>
      </w:r>
      <w:r w:rsidRPr="00AD338B">
        <w:t>amendment</w:t>
      </w:r>
      <w:r>
        <w:t>s</w:t>
      </w:r>
      <w:r w:rsidRPr="00AD338B">
        <w:t xml:space="preserve"> to paragraph 2.8.3.2 </w:t>
      </w:r>
      <w:r>
        <w:t>in the report,</w:t>
      </w:r>
      <w:r w:rsidR="00E5530A">
        <w:t xml:space="preserve"> it was acknowledged that "further" in that context could be interpreted that you </w:t>
      </w:r>
      <w:r w:rsidR="00736567">
        <w:t xml:space="preserve">might </w:t>
      </w:r>
      <w:r w:rsidR="00E5530A">
        <w:t xml:space="preserve">need to </w:t>
      </w:r>
      <w:r w:rsidR="00736567">
        <w:t>carry out</w:t>
      </w:r>
      <w:r w:rsidR="0009548F">
        <w:t xml:space="preserve"> </w:t>
      </w:r>
      <w:r w:rsidR="00E5530A">
        <w:t>further testing. However, it is not intended to encourage further testing.</w:t>
      </w:r>
    </w:p>
    <w:p w14:paraId="6FACF77F" w14:textId="16CF2A56" w:rsidR="00E5530A" w:rsidRPr="008850C9" w:rsidRDefault="00FD4249" w:rsidP="00FD4249">
      <w:pPr>
        <w:pStyle w:val="HChG"/>
      </w:pPr>
      <w:r>
        <w:tab/>
      </w:r>
      <w:r>
        <w:tab/>
      </w:r>
      <w:r w:rsidR="00E5530A">
        <w:t>Proposal</w:t>
      </w:r>
    </w:p>
    <w:p w14:paraId="52A73C21" w14:textId="0314A295" w:rsidR="00B161C8" w:rsidRDefault="00E041AB" w:rsidP="009D43AB">
      <w:pPr>
        <w:pStyle w:val="SingleTxtG"/>
        <w:numPr>
          <w:ilvl w:val="0"/>
          <w:numId w:val="49"/>
        </w:numPr>
        <w:ind w:left="1134" w:firstLine="0"/>
        <w:rPr>
          <w:lang w:eastAsia="en-GB"/>
        </w:rPr>
      </w:pPr>
      <w:r>
        <w:t>The European Union a</w:t>
      </w:r>
      <w:bookmarkStart w:id="0" w:name="_GoBack"/>
      <w:bookmarkEnd w:id="0"/>
      <w:r>
        <w:t>nd the Netherlands</w:t>
      </w:r>
      <w:r w:rsidR="000819BC">
        <w:t xml:space="preserve"> </w:t>
      </w:r>
      <w:r w:rsidR="00EC3800">
        <w:t xml:space="preserve">therefore </w:t>
      </w:r>
      <w:r w:rsidR="000819BC">
        <w:t>suggest</w:t>
      </w:r>
      <w:r w:rsidR="00E5530A">
        <w:t xml:space="preserve"> </w:t>
      </w:r>
      <w:proofErr w:type="gramStart"/>
      <w:r w:rsidR="000819BC">
        <w:t>to make</w:t>
      </w:r>
      <w:proofErr w:type="gramEnd"/>
      <w:r w:rsidR="000819BC">
        <w:t xml:space="preserve"> the following revision to the newly introduced sentence at the end of the paragraph</w:t>
      </w:r>
      <w:r w:rsidR="00EC3800">
        <w:t xml:space="preserve"> 2.8.3.2</w:t>
      </w:r>
      <w:r w:rsidR="00617186">
        <w:t xml:space="preserve"> (</w:t>
      </w:r>
      <w:r w:rsidR="00617186" w:rsidRPr="009D43AB">
        <w:rPr>
          <w:strike/>
        </w:rPr>
        <w:t>stricken out</w:t>
      </w:r>
      <w:r w:rsidR="00617186">
        <w:t xml:space="preserve"> text is deleted, </w:t>
      </w:r>
      <w:r w:rsidR="0009548F">
        <w:rPr>
          <w:b/>
        </w:rPr>
        <w:t>bold</w:t>
      </w:r>
      <w:r w:rsidR="00617186">
        <w:t xml:space="preserve"> text is added)</w:t>
      </w:r>
      <w:r w:rsidR="00EE08B7" w:rsidRPr="00955A91">
        <w:rPr>
          <w:lang w:eastAsia="en-GB"/>
        </w:rPr>
        <w:t>:</w:t>
      </w:r>
    </w:p>
    <w:p w14:paraId="7A8F1F88" w14:textId="48326DF5" w:rsidR="000819BC" w:rsidRDefault="000819BC" w:rsidP="00FD4249">
      <w:pPr>
        <w:pStyle w:val="SingleTxtG"/>
        <w:ind w:left="1701"/>
      </w:pPr>
      <w:r>
        <w:rPr>
          <w:lang w:val="en-US"/>
        </w:rPr>
        <w:t>“</w:t>
      </w:r>
      <w:r>
        <w:t xml:space="preserve">If the test results indicate that the substance or mixture is corrosive, but the test method does not allow discrimination between packing groups, it shall be assigned to packing group I if no </w:t>
      </w:r>
      <w:r w:rsidRPr="005D5D4B">
        <w:rPr>
          <w:strike/>
        </w:rPr>
        <w:t>further tests</w:t>
      </w:r>
      <w:r>
        <w:t xml:space="preserve"> </w:t>
      </w:r>
      <w:r w:rsidR="005D5D4B" w:rsidRPr="005D5D4B">
        <w:rPr>
          <w:b/>
        </w:rPr>
        <w:t>other test results</w:t>
      </w:r>
      <w:r w:rsidR="005D5D4B">
        <w:t xml:space="preserve"> </w:t>
      </w:r>
      <w:r>
        <w:t xml:space="preserve">indicate a different </w:t>
      </w:r>
      <w:r w:rsidRPr="00172389">
        <w:rPr>
          <w:strike/>
        </w:rPr>
        <w:t>result</w:t>
      </w:r>
      <w:r w:rsidR="00172389">
        <w:rPr>
          <w:strike/>
        </w:rPr>
        <w:t xml:space="preserve"> </w:t>
      </w:r>
      <w:r w:rsidR="00061322">
        <w:rPr>
          <w:b/>
        </w:rPr>
        <w:t>packing group</w:t>
      </w:r>
      <w:r>
        <w:t>.”</w:t>
      </w:r>
    </w:p>
    <w:p w14:paraId="377A3C83" w14:textId="416913F4" w:rsidR="00EE08B7" w:rsidRPr="00FD4249" w:rsidRDefault="000819BC" w:rsidP="00FD4249">
      <w:pPr>
        <w:spacing w:before="240"/>
        <w:jc w:val="center"/>
        <w:rPr>
          <w:u w:val="single"/>
        </w:rPr>
      </w:pPr>
      <w:r>
        <w:tab/>
      </w:r>
      <w:r w:rsidR="00FD4249">
        <w:rPr>
          <w:u w:val="single"/>
        </w:rPr>
        <w:tab/>
      </w:r>
      <w:r w:rsidR="00FD4249">
        <w:rPr>
          <w:u w:val="single"/>
        </w:rPr>
        <w:tab/>
      </w:r>
      <w:r w:rsidR="00FD4249">
        <w:rPr>
          <w:u w:val="single"/>
        </w:rPr>
        <w:tab/>
      </w:r>
    </w:p>
    <w:p w14:paraId="0846FED5" w14:textId="2A208403" w:rsidR="00EE08B7" w:rsidRPr="00AA4102" w:rsidRDefault="00EE08B7" w:rsidP="000819BC">
      <w:pPr>
        <w:pStyle w:val="SingleTxtG"/>
        <w:rPr>
          <w:u w:val="single"/>
        </w:rPr>
      </w:pPr>
      <w:r>
        <w:tab/>
      </w:r>
    </w:p>
    <w:p w14:paraId="07BDF8D8" w14:textId="1E002022" w:rsidR="00EE08B7" w:rsidRDefault="00EE08B7" w:rsidP="00AC47CB">
      <w:pPr>
        <w:rPr>
          <w:b/>
          <w:bCs/>
        </w:rPr>
      </w:pPr>
    </w:p>
    <w:p w14:paraId="05DD6B88" w14:textId="1A72F635" w:rsidR="00EE08B7" w:rsidRDefault="00EE08B7" w:rsidP="00AC47CB">
      <w:pPr>
        <w:rPr>
          <w:b/>
          <w:bCs/>
        </w:rPr>
      </w:pPr>
    </w:p>
    <w:p w14:paraId="475C12C4" w14:textId="77777777" w:rsidR="00EE08B7" w:rsidRDefault="00EE08B7" w:rsidP="00AC47CB">
      <w:pPr>
        <w:rPr>
          <w:b/>
          <w:bCs/>
        </w:rPr>
      </w:pPr>
    </w:p>
    <w:p w14:paraId="49D9F6FB" w14:textId="77777777" w:rsidR="00B161C8" w:rsidRPr="009D1A63" w:rsidRDefault="00B161C8" w:rsidP="00AC47CB">
      <w:pPr>
        <w:rPr>
          <w:b/>
          <w:bCs/>
        </w:rPr>
      </w:pPr>
    </w:p>
    <w:sectPr w:rsidR="00B161C8" w:rsidRPr="009D1A63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50D3" w14:textId="77777777" w:rsidR="00611940" w:rsidRDefault="00611940"/>
  </w:endnote>
  <w:endnote w:type="continuationSeparator" w:id="0">
    <w:p w14:paraId="1655E04E" w14:textId="77777777" w:rsidR="00611940" w:rsidRDefault="00611940"/>
  </w:endnote>
  <w:endnote w:type="continuationNotice" w:id="1">
    <w:p w14:paraId="24FF0C46" w14:textId="77777777" w:rsidR="00611940" w:rsidRDefault="0061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2F8E7C88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9D43AB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1A5DE68D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0819BC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891E" w14:textId="77777777" w:rsidR="00611940" w:rsidRPr="000B175B" w:rsidRDefault="006119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60E244" w14:textId="77777777" w:rsidR="00611940" w:rsidRPr="00FC68B7" w:rsidRDefault="006119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26CBD0" w14:textId="77777777" w:rsidR="00611940" w:rsidRDefault="00611940"/>
  </w:footnote>
  <w:footnote w:id="2">
    <w:p w14:paraId="2A8DA89A" w14:textId="68C6A341" w:rsidR="00FD4249" w:rsidRPr="00FD4249" w:rsidRDefault="00FD4249" w:rsidP="00FD4249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  <w:t>In accordance with the programme of work of the Sub-Committee for 2019–2020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7CD26BF7" w:rsidR="00100242" w:rsidRPr="00432CFD" w:rsidRDefault="00A065BA">
    <w:pPr>
      <w:pStyle w:val="Header"/>
      <w:rPr>
        <w:lang w:val="fr-CH"/>
      </w:rPr>
    </w:pPr>
    <w:r>
      <w:rPr>
        <w:lang w:val="fr-CH"/>
      </w:rPr>
      <w:t>ST/SG/AC.10/C.3/201</w:t>
    </w:r>
    <w:r w:rsidR="00EE08B7">
      <w:rPr>
        <w:lang w:val="fr-CH"/>
      </w:rPr>
      <w:t>9</w:t>
    </w:r>
    <w:r>
      <w:rPr>
        <w:lang w:val="fr-CH"/>
      </w:rPr>
      <w:t>/</w:t>
    </w:r>
    <w:r w:rsidR="00FD4249">
      <w:rPr>
        <w:lang w:val="fr-CH"/>
      </w:rPr>
      <w:t>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5D8AE2B3" w:rsidR="00100242" w:rsidRPr="009D58C1" w:rsidRDefault="00100242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ST/SG/AC.10/C.3/201</w:t>
    </w:r>
    <w:r w:rsidR="00EE08B7">
      <w:rPr>
        <w:lang w:val="fr-CH"/>
      </w:rPr>
      <w:t>9</w:t>
    </w:r>
    <w:r>
      <w:rPr>
        <w:lang w:val="fr-CH"/>
      </w:rPr>
      <w:t>/</w:t>
    </w:r>
    <w:r w:rsidR="00EE08B7">
      <w:rPr>
        <w:lang w:val="fr-CH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2B613818" w:rsidR="00100242" w:rsidRPr="002E10DE" w:rsidRDefault="00100242" w:rsidP="002E10DE">
    <w:pPr>
      <w:pStyle w:val="Header"/>
      <w:pBdr>
        <w:bottom w:val="single" w:sz="8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EC1861"/>
    <w:multiLevelType w:val="hybridMultilevel"/>
    <w:tmpl w:val="823EF5E6"/>
    <w:lvl w:ilvl="0" w:tplc="3D18170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8"/>
  </w:num>
  <w:num w:numId="13">
    <w:abstractNumId w:val="13"/>
  </w:num>
  <w:num w:numId="14">
    <w:abstractNumId w:val="42"/>
  </w:num>
  <w:num w:numId="15">
    <w:abstractNumId w:val="47"/>
  </w:num>
  <w:num w:numId="16">
    <w:abstractNumId w:val="28"/>
  </w:num>
  <w:num w:numId="17">
    <w:abstractNumId w:val="25"/>
  </w:num>
  <w:num w:numId="18">
    <w:abstractNumId w:val="45"/>
  </w:num>
  <w:num w:numId="19">
    <w:abstractNumId w:val="19"/>
  </w:num>
  <w:num w:numId="20">
    <w:abstractNumId w:val="15"/>
  </w:num>
  <w:num w:numId="21">
    <w:abstractNumId w:val="26"/>
  </w:num>
  <w:num w:numId="22">
    <w:abstractNumId w:val="11"/>
  </w:num>
  <w:num w:numId="23">
    <w:abstractNumId w:val="32"/>
  </w:num>
  <w:num w:numId="24">
    <w:abstractNumId w:val="16"/>
  </w:num>
  <w:num w:numId="25">
    <w:abstractNumId w:val="21"/>
  </w:num>
  <w:num w:numId="26">
    <w:abstractNumId w:val="36"/>
  </w:num>
  <w:num w:numId="27">
    <w:abstractNumId w:val="43"/>
  </w:num>
  <w:num w:numId="28">
    <w:abstractNumId w:val="22"/>
  </w:num>
  <w:num w:numId="29">
    <w:abstractNumId w:val="24"/>
  </w:num>
  <w:num w:numId="30">
    <w:abstractNumId w:val="38"/>
  </w:num>
  <w:num w:numId="31">
    <w:abstractNumId w:val="20"/>
  </w:num>
  <w:num w:numId="32">
    <w:abstractNumId w:val="23"/>
  </w:num>
  <w:num w:numId="33">
    <w:abstractNumId w:val="35"/>
  </w:num>
  <w:num w:numId="34">
    <w:abstractNumId w:val="48"/>
  </w:num>
  <w:num w:numId="35">
    <w:abstractNumId w:val="44"/>
  </w:num>
  <w:num w:numId="36">
    <w:abstractNumId w:val="39"/>
  </w:num>
  <w:num w:numId="37">
    <w:abstractNumId w:val="14"/>
  </w:num>
  <w:num w:numId="38">
    <w:abstractNumId w:val="29"/>
  </w:num>
  <w:num w:numId="39">
    <w:abstractNumId w:val="33"/>
  </w:num>
  <w:num w:numId="40">
    <w:abstractNumId w:val="31"/>
  </w:num>
  <w:num w:numId="41">
    <w:abstractNumId w:val="10"/>
  </w:num>
  <w:num w:numId="42">
    <w:abstractNumId w:val="17"/>
  </w:num>
  <w:num w:numId="43">
    <w:abstractNumId w:val="41"/>
  </w:num>
  <w:num w:numId="44">
    <w:abstractNumId w:val="34"/>
  </w:num>
  <w:num w:numId="45">
    <w:abstractNumId w:val="37"/>
  </w:num>
  <w:num w:numId="46">
    <w:abstractNumId w:val="30"/>
  </w:num>
  <w:num w:numId="47">
    <w:abstractNumId w:val="12"/>
  </w:num>
  <w:num w:numId="48">
    <w:abstractNumId w:val="27"/>
  </w:num>
  <w:num w:numId="49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LW_DocType" w:val="NORMAL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D20"/>
    <w:rsid w:val="00027FBE"/>
    <w:rsid w:val="00031FF3"/>
    <w:rsid w:val="00034B57"/>
    <w:rsid w:val="00037FD8"/>
    <w:rsid w:val="00044B65"/>
    <w:rsid w:val="00044DE9"/>
    <w:rsid w:val="00050F6B"/>
    <w:rsid w:val="00051062"/>
    <w:rsid w:val="000540AC"/>
    <w:rsid w:val="00056542"/>
    <w:rsid w:val="00060E74"/>
    <w:rsid w:val="00061322"/>
    <w:rsid w:val="00062F47"/>
    <w:rsid w:val="00064A74"/>
    <w:rsid w:val="000675CC"/>
    <w:rsid w:val="00071BCB"/>
    <w:rsid w:val="00072C8C"/>
    <w:rsid w:val="0007360D"/>
    <w:rsid w:val="00074065"/>
    <w:rsid w:val="00075CEC"/>
    <w:rsid w:val="000819BC"/>
    <w:rsid w:val="00086FBE"/>
    <w:rsid w:val="000900D2"/>
    <w:rsid w:val="00091419"/>
    <w:rsid w:val="000931C0"/>
    <w:rsid w:val="0009548F"/>
    <w:rsid w:val="000A25EF"/>
    <w:rsid w:val="000A47C9"/>
    <w:rsid w:val="000A57F2"/>
    <w:rsid w:val="000A68A0"/>
    <w:rsid w:val="000B0A3E"/>
    <w:rsid w:val="000B175B"/>
    <w:rsid w:val="000B3A0F"/>
    <w:rsid w:val="000C0BD8"/>
    <w:rsid w:val="000C16D8"/>
    <w:rsid w:val="000C52A3"/>
    <w:rsid w:val="000D21CE"/>
    <w:rsid w:val="000D2DB2"/>
    <w:rsid w:val="000E0415"/>
    <w:rsid w:val="000E2643"/>
    <w:rsid w:val="000F2380"/>
    <w:rsid w:val="000F5031"/>
    <w:rsid w:val="00100242"/>
    <w:rsid w:val="00105D5C"/>
    <w:rsid w:val="0010735D"/>
    <w:rsid w:val="00112E9B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72389"/>
    <w:rsid w:val="00186AE8"/>
    <w:rsid w:val="0018709C"/>
    <w:rsid w:val="00191FC2"/>
    <w:rsid w:val="00196F27"/>
    <w:rsid w:val="001A0D51"/>
    <w:rsid w:val="001B1A57"/>
    <w:rsid w:val="001B4B04"/>
    <w:rsid w:val="001C08BC"/>
    <w:rsid w:val="001C35FF"/>
    <w:rsid w:val="001C3F03"/>
    <w:rsid w:val="001C4992"/>
    <w:rsid w:val="001C6663"/>
    <w:rsid w:val="001C70FB"/>
    <w:rsid w:val="001C7895"/>
    <w:rsid w:val="001D26DF"/>
    <w:rsid w:val="001D2FDC"/>
    <w:rsid w:val="001D510E"/>
    <w:rsid w:val="001E2485"/>
    <w:rsid w:val="001E5B82"/>
    <w:rsid w:val="001F7DAC"/>
    <w:rsid w:val="00204D75"/>
    <w:rsid w:val="002054BE"/>
    <w:rsid w:val="0020640F"/>
    <w:rsid w:val="00211E0B"/>
    <w:rsid w:val="00212046"/>
    <w:rsid w:val="002213FA"/>
    <w:rsid w:val="0022446F"/>
    <w:rsid w:val="002262D3"/>
    <w:rsid w:val="0023076B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670BD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F8"/>
    <w:rsid w:val="002A6E0B"/>
    <w:rsid w:val="002A7BC0"/>
    <w:rsid w:val="002B1A41"/>
    <w:rsid w:val="002B1CDA"/>
    <w:rsid w:val="002B26CF"/>
    <w:rsid w:val="002C56EC"/>
    <w:rsid w:val="002C638D"/>
    <w:rsid w:val="002D30CC"/>
    <w:rsid w:val="002D767C"/>
    <w:rsid w:val="002E0A46"/>
    <w:rsid w:val="002E10DE"/>
    <w:rsid w:val="002F0ACF"/>
    <w:rsid w:val="002F4A03"/>
    <w:rsid w:val="002F7AAF"/>
    <w:rsid w:val="002F7F51"/>
    <w:rsid w:val="00301F46"/>
    <w:rsid w:val="003107FA"/>
    <w:rsid w:val="00316CDE"/>
    <w:rsid w:val="003229D8"/>
    <w:rsid w:val="00323B8F"/>
    <w:rsid w:val="00350C40"/>
    <w:rsid w:val="00363CCA"/>
    <w:rsid w:val="00364DED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17928"/>
    <w:rsid w:val="00423C23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65F54"/>
    <w:rsid w:val="00471D64"/>
    <w:rsid w:val="00474B1C"/>
    <w:rsid w:val="0048040E"/>
    <w:rsid w:val="004815BC"/>
    <w:rsid w:val="00486F0C"/>
    <w:rsid w:val="004906B4"/>
    <w:rsid w:val="00495374"/>
    <w:rsid w:val="00496E22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C23"/>
    <w:rsid w:val="004E795A"/>
    <w:rsid w:val="004F6F26"/>
    <w:rsid w:val="004F74FA"/>
    <w:rsid w:val="00503B9C"/>
    <w:rsid w:val="0050497A"/>
    <w:rsid w:val="005123DA"/>
    <w:rsid w:val="00515F83"/>
    <w:rsid w:val="00516993"/>
    <w:rsid w:val="00517A3F"/>
    <w:rsid w:val="005203EB"/>
    <w:rsid w:val="00522D44"/>
    <w:rsid w:val="00524600"/>
    <w:rsid w:val="00526FC3"/>
    <w:rsid w:val="00527910"/>
    <w:rsid w:val="00532908"/>
    <w:rsid w:val="00534DA8"/>
    <w:rsid w:val="005420F2"/>
    <w:rsid w:val="005446ED"/>
    <w:rsid w:val="00547520"/>
    <w:rsid w:val="0055208D"/>
    <w:rsid w:val="00553BE1"/>
    <w:rsid w:val="00553F25"/>
    <w:rsid w:val="00555BB3"/>
    <w:rsid w:val="005616F9"/>
    <w:rsid w:val="00572388"/>
    <w:rsid w:val="005725A0"/>
    <w:rsid w:val="0057266D"/>
    <w:rsid w:val="00573567"/>
    <w:rsid w:val="00574827"/>
    <w:rsid w:val="005851CE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4CA"/>
    <w:rsid w:val="005D5D4B"/>
    <w:rsid w:val="005D5E45"/>
    <w:rsid w:val="005E0F7B"/>
    <w:rsid w:val="005E482E"/>
    <w:rsid w:val="005E5BFE"/>
    <w:rsid w:val="005F4BFD"/>
    <w:rsid w:val="00601025"/>
    <w:rsid w:val="006014D2"/>
    <w:rsid w:val="00606BD8"/>
    <w:rsid w:val="00611940"/>
    <w:rsid w:val="006119AE"/>
    <w:rsid w:val="00611FC4"/>
    <w:rsid w:val="0061691B"/>
    <w:rsid w:val="00617186"/>
    <w:rsid w:val="006176FB"/>
    <w:rsid w:val="0063419C"/>
    <w:rsid w:val="00637B5F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1744"/>
    <w:rsid w:val="0068403D"/>
    <w:rsid w:val="00684E8C"/>
    <w:rsid w:val="00693B78"/>
    <w:rsid w:val="0069492F"/>
    <w:rsid w:val="00696595"/>
    <w:rsid w:val="00697525"/>
    <w:rsid w:val="006A7392"/>
    <w:rsid w:val="006B23FD"/>
    <w:rsid w:val="006B7933"/>
    <w:rsid w:val="006C0D34"/>
    <w:rsid w:val="006C1CA0"/>
    <w:rsid w:val="006C7E11"/>
    <w:rsid w:val="006D247B"/>
    <w:rsid w:val="006D5191"/>
    <w:rsid w:val="006D5879"/>
    <w:rsid w:val="006D5B21"/>
    <w:rsid w:val="006E564B"/>
    <w:rsid w:val="006E6FBD"/>
    <w:rsid w:val="006F4D74"/>
    <w:rsid w:val="007012C4"/>
    <w:rsid w:val="0070311F"/>
    <w:rsid w:val="00704A7F"/>
    <w:rsid w:val="007102D9"/>
    <w:rsid w:val="00711910"/>
    <w:rsid w:val="00715BEE"/>
    <w:rsid w:val="007227B6"/>
    <w:rsid w:val="00725848"/>
    <w:rsid w:val="0072613D"/>
    <w:rsid w:val="0072632A"/>
    <w:rsid w:val="0073039D"/>
    <w:rsid w:val="0073057C"/>
    <w:rsid w:val="007319D5"/>
    <w:rsid w:val="00731BEA"/>
    <w:rsid w:val="00736567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6CA4"/>
    <w:rsid w:val="00777356"/>
    <w:rsid w:val="00780921"/>
    <w:rsid w:val="0078270D"/>
    <w:rsid w:val="007857CD"/>
    <w:rsid w:val="00790791"/>
    <w:rsid w:val="00791404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3337A"/>
    <w:rsid w:val="00841AB4"/>
    <w:rsid w:val="00846136"/>
    <w:rsid w:val="00853FAE"/>
    <w:rsid w:val="008548B3"/>
    <w:rsid w:val="008554E7"/>
    <w:rsid w:val="00855967"/>
    <w:rsid w:val="00861ACC"/>
    <w:rsid w:val="00866523"/>
    <w:rsid w:val="00871FD5"/>
    <w:rsid w:val="00874782"/>
    <w:rsid w:val="00874C3C"/>
    <w:rsid w:val="00880DE7"/>
    <w:rsid w:val="008828E0"/>
    <w:rsid w:val="00884B25"/>
    <w:rsid w:val="008850C9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B3C"/>
    <w:rsid w:val="008F596C"/>
    <w:rsid w:val="008F671F"/>
    <w:rsid w:val="009019F7"/>
    <w:rsid w:val="00904592"/>
    <w:rsid w:val="00905511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1A63"/>
    <w:rsid w:val="009D43AB"/>
    <w:rsid w:val="009D576F"/>
    <w:rsid w:val="009D58C1"/>
    <w:rsid w:val="009E52A7"/>
    <w:rsid w:val="009F0F06"/>
    <w:rsid w:val="00A04323"/>
    <w:rsid w:val="00A065BA"/>
    <w:rsid w:val="00A120B4"/>
    <w:rsid w:val="00A1427D"/>
    <w:rsid w:val="00A176C2"/>
    <w:rsid w:val="00A23A0D"/>
    <w:rsid w:val="00A250A4"/>
    <w:rsid w:val="00A27434"/>
    <w:rsid w:val="00A27707"/>
    <w:rsid w:val="00A31946"/>
    <w:rsid w:val="00A40024"/>
    <w:rsid w:val="00A43E9C"/>
    <w:rsid w:val="00A47B65"/>
    <w:rsid w:val="00A60EB5"/>
    <w:rsid w:val="00A67BA6"/>
    <w:rsid w:val="00A72F22"/>
    <w:rsid w:val="00A7341F"/>
    <w:rsid w:val="00A748A6"/>
    <w:rsid w:val="00A74F3D"/>
    <w:rsid w:val="00A75282"/>
    <w:rsid w:val="00A75EC9"/>
    <w:rsid w:val="00A879A4"/>
    <w:rsid w:val="00A96FB2"/>
    <w:rsid w:val="00AA4102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F2A45"/>
    <w:rsid w:val="00AF2B6B"/>
    <w:rsid w:val="00AF3B55"/>
    <w:rsid w:val="00B045D1"/>
    <w:rsid w:val="00B051DB"/>
    <w:rsid w:val="00B062A6"/>
    <w:rsid w:val="00B07928"/>
    <w:rsid w:val="00B161C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55639"/>
    <w:rsid w:val="00B6429F"/>
    <w:rsid w:val="00B656F0"/>
    <w:rsid w:val="00B67E62"/>
    <w:rsid w:val="00B725B8"/>
    <w:rsid w:val="00B73FEA"/>
    <w:rsid w:val="00B74841"/>
    <w:rsid w:val="00B81E12"/>
    <w:rsid w:val="00B83CFE"/>
    <w:rsid w:val="00B85580"/>
    <w:rsid w:val="00B91DEF"/>
    <w:rsid w:val="00B920A4"/>
    <w:rsid w:val="00B93068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E3C13"/>
    <w:rsid w:val="00BE447C"/>
    <w:rsid w:val="00BE5B7F"/>
    <w:rsid w:val="00BE618E"/>
    <w:rsid w:val="00BF5AF1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2887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A1183"/>
    <w:rsid w:val="00CA1F88"/>
    <w:rsid w:val="00CA516D"/>
    <w:rsid w:val="00CB03EB"/>
    <w:rsid w:val="00CB26B3"/>
    <w:rsid w:val="00CB51FE"/>
    <w:rsid w:val="00CB656D"/>
    <w:rsid w:val="00CC2702"/>
    <w:rsid w:val="00CC78A6"/>
    <w:rsid w:val="00CD20A1"/>
    <w:rsid w:val="00CD3225"/>
    <w:rsid w:val="00CD5332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5400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F2772"/>
    <w:rsid w:val="00DF3CF2"/>
    <w:rsid w:val="00DF453A"/>
    <w:rsid w:val="00DF498E"/>
    <w:rsid w:val="00DF662C"/>
    <w:rsid w:val="00E000AD"/>
    <w:rsid w:val="00E041AB"/>
    <w:rsid w:val="00E07564"/>
    <w:rsid w:val="00E1169F"/>
    <w:rsid w:val="00E130AB"/>
    <w:rsid w:val="00E147D5"/>
    <w:rsid w:val="00E14CFE"/>
    <w:rsid w:val="00E23AA7"/>
    <w:rsid w:val="00E241E1"/>
    <w:rsid w:val="00E26278"/>
    <w:rsid w:val="00E328FE"/>
    <w:rsid w:val="00E335A4"/>
    <w:rsid w:val="00E35C1C"/>
    <w:rsid w:val="00E41283"/>
    <w:rsid w:val="00E43CE3"/>
    <w:rsid w:val="00E549B7"/>
    <w:rsid w:val="00E5530A"/>
    <w:rsid w:val="00E5644E"/>
    <w:rsid w:val="00E608E4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227D"/>
    <w:rsid w:val="00E96630"/>
    <w:rsid w:val="00EA392B"/>
    <w:rsid w:val="00EA772F"/>
    <w:rsid w:val="00EB18D7"/>
    <w:rsid w:val="00EB30C3"/>
    <w:rsid w:val="00EB5CDE"/>
    <w:rsid w:val="00EB5EFC"/>
    <w:rsid w:val="00EB6832"/>
    <w:rsid w:val="00EB70E2"/>
    <w:rsid w:val="00EB7515"/>
    <w:rsid w:val="00EC3800"/>
    <w:rsid w:val="00EC5BC7"/>
    <w:rsid w:val="00EC7146"/>
    <w:rsid w:val="00ED3E5E"/>
    <w:rsid w:val="00ED6D82"/>
    <w:rsid w:val="00ED7A2A"/>
    <w:rsid w:val="00EE08B7"/>
    <w:rsid w:val="00EE5771"/>
    <w:rsid w:val="00EE639C"/>
    <w:rsid w:val="00EF0B5A"/>
    <w:rsid w:val="00EF1D7F"/>
    <w:rsid w:val="00EF2383"/>
    <w:rsid w:val="00EF497D"/>
    <w:rsid w:val="00EF683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37E61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63B76"/>
    <w:rsid w:val="00F701A2"/>
    <w:rsid w:val="00F70522"/>
    <w:rsid w:val="00F7224B"/>
    <w:rsid w:val="00F729F2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A0C66"/>
    <w:rsid w:val="00FA3925"/>
    <w:rsid w:val="00FA55D1"/>
    <w:rsid w:val="00FB016C"/>
    <w:rsid w:val="00FB09F1"/>
    <w:rsid w:val="00FB2719"/>
    <w:rsid w:val="00FC0F37"/>
    <w:rsid w:val="00FC2B0A"/>
    <w:rsid w:val="00FC5E08"/>
    <w:rsid w:val="00FC68B7"/>
    <w:rsid w:val="00FD199B"/>
    <w:rsid w:val="00FD21A9"/>
    <w:rsid w:val="00FD4249"/>
    <w:rsid w:val="00FD59E3"/>
    <w:rsid w:val="00FD6B2B"/>
    <w:rsid w:val="00FE26FA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8A794F"/>
  <w15:docId w15:val="{996A8CCD-6C43-49FF-920A-7BC0A5E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8733-A475-4A51-BEF3-0854B97A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2437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ST/SG/AC.10/C.3/2018/XX</vt:lpstr>
    </vt:vector>
  </TitlesOfParts>
  <Company>CSD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ST/SG/AC.10/C.3/2018/XX</dc:title>
  <dc:creator>IME (D Boston)</dc:creator>
  <cp:lastModifiedBy>Laurence Berthet</cp:lastModifiedBy>
  <cp:revision>5</cp:revision>
  <cp:lastPrinted>2019-09-10T06:29:00Z</cp:lastPrinted>
  <dcterms:created xsi:type="dcterms:W3CDTF">2019-09-06T13:51:00Z</dcterms:created>
  <dcterms:modified xsi:type="dcterms:W3CDTF">2019-09-10T06:29:00Z</dcterms:modified>
</cp:coreProperties>
</file>