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14:paraId="6E9AF95D" w14:textId="77777777" w:rsidTr="009F0F06">
        <w:trPr>
          <w:trHeight w:val="851"/>
        </w:trPr>
        <w:tc>
          <w:tcPr>
            <w:tcW w:w="1259" w:type="dxa"/>
            <w:tcBorders>
              <w:top w:val="nil"/>
              <w:left w:val="nil"/>
              <w:bottom w:val="single" w:sz="4" w:space="0" w:color="auto"/>
              <w:right w:val="nil"/>
            </w:tcBorders>
          </w:tcPr>
          <w:p w14:paraId="6239ECEF"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343883B"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30CE1F7E" w14:textId="442F50C7" w:rsidR="00446DE4" w:rsidRPr="006500BA" w:rsidRDefault="007744BA" w:rsidP="00C17B59">
            <w:pPr>
              <w:jc w:val="right"/>
            </w:pPr>
            <w:r w:rsidRPr="007744BA">
              <w:rPr>
                <w:sz w:val="40"/>
              </w:rPr>
              <w:t>ST</w:t>
            </w:r>
            <w:r>
              <w:t>/SG/AC.10/C.3/201</w:t>
            </w:r>
            <w:r w:rsidR="00C17B59">
              <w:t>9</w:t>
            </w:r>
            <w:r>
              <w:t>/</w:t>
            </w:r>
            <w:r w:rsidR="005D5923">
              <w:t>52</w:t>
            </w:r>
          </w:p>
        </w:tc>
      </w:tr>
      <w:tr w:rsidR="003107FA" w:rsidRPr="006500BA" w14:paraId="2FC9360E" w14:textId="77777777" w:rsidTr="009F0F06">
        <w:trPr>
          <w:trHeight w:val="2835"/>
        </w:trPr>
        <w:tc>
          <w:tcPr>
            <w:tcW w:w="1259" w:type="dxa"/>
            <w:tcBorders>
              <w:top w:val="single" w:sz="4" w:space="0" w:color="auto"/>
              <w:left w:val="nil"/>
              <w:bottom w:val="single" w:sz="12" w:space="0" w:color="auto"/>
              <w:right w:val="nil"/>
            </w:tcBorders>
          </w:tcPr>
          <w:p w14:paraId="4A5D67C2" w14:textId="77777777" w:rsidR="003107FA" w:rsidRPr="006500BA" w:rsidRDefault="00EB4961" w:rsidP="002B1CDA">
            <w:pPr>
              <w:spacing w:before="120"/>
              <w:jc w:val="center"/>
            </w:pPr>
            <w:r>
              <w:rPr>
                <w:noProof/>
                <w:lang w:val="en-US"/>
              </w:rPr>
              <w:drawing>
                <wp:inline distT="0" distB="0" distL="0" distR="0" wp14:anchorId="5ACFAA25" wp14:editId="6BBF369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C626ACB" w14:textId="77777777" w:rsidR="003107FA" w:rsidRPr="00956E87" w:rsidRDefault="00D96CC5" w:rsidP="001633FB">
            <w:pPr>
              <w:spacing w:before="120" w:line="420" w:lineRule="exact"/>
              <w:rPr>
                <w:b/>
                <w:sz w:val="40"/>
                <w:szCs w:val="40"/>
              </w:rPr>
            </w:pPr>
            <w:r w:rsidRPr="00956E87">
              <w:rPr>
                <w:b/>
                <w:sz w:val="40"/>
                <w:szCs w:val="40"/>
              </w:rPr>
              <w:t>Secretariat</w:t>
            </w:r>
          </w:p>
        </w:tc>
        <w:tc>
          <w:tcPr>
            <w:tcW w:w="2930" w:type="dxa"/>
            <w:tcBorders>
              <w:top w:val="single" w:sz="4" w:space="0" w:color="auto"/>
              <w:left w:val="nil"/>
              <w:bottom w:val="single" w:sz="12" w:space="0" w:color="auto"/>
              <w:right w:val="nil"/>
            </w:tcBorders>
          </w:tcPr>
          <w:p w14:paraId="66A7EE79" w14:textId="77777777" w:rsidR="003107FA" w:rsidRPr="00956E87" w:rsidRDefault="007744BA" w:rsidP="007744BA">
            <w:pPr>
              <w:spacing w:before="240" w:line="240" w:lineRule="exact"/>
            </w:pPr>
            <w:r w:rsidRPr="00956E87">
              <w:t>Distr.: General</w:t>
            </w:r>
          </w:p>
          <w:p w14:paraId="53747431" w14:textId="5A9F47A1" w:rsidR="007744BA" w:rsidRPr="00956E87" w:rsidRDefault="00D9049C" w:rsidP="007744BA">
            <w:pPr>
              <w:spacing w:line="240" w:lineRule="exact"/>
            </w:pPr>
            <w:r>
              <w:t>10</w:t>
            </w:r>
            <w:r w:rsidR="00C36226" w:rsidRPr="00956E87">
              <w:t xml:space="preserve"> </w:t>
            </w:r>
            <w:r w:rsidR="005E774E">
              <w:t>Septe</w:t>
            </w:r>
            <w:r w:rsidR="00A64765">
              <w:t>m</w:t>
            </w:r>
            <w:r w:rsidR="005E774E">
              <w:t>ber</w:t>
            </w:r>
            <w:r w:rsidR="000D2231" w:rsidRPr="00956E87">
              <w:t xml:space="preserve"> 2019</w:t>
            </w:r>
          </w:p>
          <w:p w14:paraId="0046BE8D" w14:textId="284DE7DD" w:rsidR="007744BA" w:rsidRPr="00956E87" w:rsidRDefault="007744BA" w:rsidP="007744BA">
            <w:pPr>
              <w:spacing w:line="240" w:lineRule="exact"/>
            </w:pPr>
          </w:p>
          <w:p w14:paraId="3508DB13" w14:textId="77777777" w:rsidR="007744BA" w:rsidRPr="00956E87" w:rsidRDefault="007744BA" w:rsidP="000D2231">
            <w:pPr>
              <w:spacing w:line="240" w:lineRule="exact"/>
            </w:pPr>
            <w:r w:rsidRPr="00956E87">
              <w:t>Original: English</w:t>
            </w:r>
          </w:p>
        </w:tc>
      </w:tr>
    </w:tbl>
    <w:p w14:paraId="552B8A41"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263D149" w14:textId="77777777" w:rsidR="009F0F06" w:rsidRPr="006500BA" w:rsidRDefault="009F0F06" w:rsidP="00E436B1">
      <w:pPr>
        <w:spacing w:before="120"/>
        <w:outlineLvl w:val="0"/>
        <w:rPr>
          <w:rFonts w:ascii="Helv" w:hAnsi="Helv" w:cs="Helv"/>
          <w:b/>
          <w:color w:val="000000"/>
        </w:rPr>
      </w:pPr>
      <w:r w:rsidRPr="006500BA">
        <w:rPr>
          <w:b/>
        </w:rPr>
        <w:t xml:space="preserve">Sub-Committee of Experts on the </w:t>
      </w:r>
      <w:r w:rsidR="00CD3225">
        <w:rPr>
          <w:b/>
        </w:rPr>
        <w:t>Transport of Dangerous Goods</w:t>
      </w:r>
    </w:p>
    <w:p w14:paraId="4A607FB0" w14:textId="678FDCF5" w:rsidR="007744BA" w:rsidRPr="007B2B1F" w:rsidRDefault="00C17B59" w:rsidP="00E436B1">
      <w:pPr>
        <w:spacing w:before="120"/>
        <w:outlineLvl w:val="0"/>
        <w:rPr>
          <w:b/>
        </w:rPr>
      </w:pPr>
      <w:r>
        <w:rPr>
          <w:b/>
        </w:rPr>
        <w:t>Fifty-</w:t>
      </w:r>
      <w:r w:rsidR="005E774E">
        <w:rPr>
          <w:b/>
        </w:rPr>
        <w:t>sixth</w:t>
      </w:r>
      <w:r w:rsidR="007744BA" w:rsidRPr="007B2B1F">
        <w:rPr>
          <w:b/>
        </w:rPr>
        <w:t xml:space="preserve"> session</w:t>
      </w:r>
    </w:p>
    <w:p w14:paraId="4B8C4BBE" w14:textId="77777777" w:rsidR="005E774E" w:rsidRPr="007B2B1F" w:rsidRDefault="005E774E" w:rsidP="005E774E">
      <w:r w:rsidRPr="007B2B1F">
        <w:t xml:space="preserve">Geneva, </w:t>
      </w:r>
      <w:r>
        <w:t>2-11</w:t>
      </w:r>
      <w:r w:rsidRPr="007B2B1F">
        <w:t xml:space="preserve"> </w:t>
      </w:r>
      <w:r>
        <w:t>December 2019</w:t>
      </w:r>
    </w:p>
    <w:p w14:paraId="2E6A325A" w14:textId="6A1C98A0" w:rsidR="00B54685" w:rsidRPr="00A9268A" w:rsidRDefault="00B54685" w:rsidP="00B54685">
      <w:pPr>
        <w:pStyle w:val="NormalWeb"/>
        <w:rPr>
          <w:lang w:val="en-US"/>
        </w:rPr>
      </w:pPr>
      <w:r w:rsidRPr="00A9268A">
        <w:rPr>
          <w:rFonts w:ascii="TimesNewRomanPSMT" w:hAnsi="TimesNewRomanPSMT" w:cs="TimesNewRomanPSMT"/>
          <w:sz w:val="20"/>
          <w:szCs w:val="20"/>
          <w:lang w:val="en-US"/>
        </w:rPr>
        <w:t>Item 5</w:t>
      </w:r>
      <w:r w:rsidR="005D5923">
        <w:rPr>
          <w:rFonts w:ascii="TimesNewRomanPSMT" w:hAnsi="TimesNewRomanPSMT" w:cs="TimesNewRomanPSMT"/>
          <w:sz w:val="20"/>
          <w:szCs w:val="20"/>
          <w:lang w:val="en-US"/>
        </w:rPr>
        <w:t xml:space="preserve"> </w:t>
      </w:r>
      <w:r w:rsidRPr="00A9268A">
        <w:rPr>
          <w:rFonts w:ascii="TimesNewRomanPSMT" w:hAnsi="TimesNewRomanPSMT" w:cs="TimesNewRomanPSMT"/>
          <w:sz w:val="20"/>
          <w:szCs w:val="20"/>
          <w:lang w:val="en-US"/>
        </w:rPr>
        <w:t>(b) of the provisional agenda</w:t>
      </w:r>
      <w:r w:rsidRPr="00A9268A">
        <w:rPr>
          <w:rFonts w:ascii="TimesNewRomanPSMT" w:hAnsi="TimesNewRomanPSMT" w:cs="TimesNewRomanPSMT"/>
          <w:sz w:val="20"/>
          <w:szCs w:val="20"/>
          <w:lang w:val="en-US"/>
        </w:rPr>
        <w:br/>
      </w:r>
      <w:r w:rsidRPr="00A9268A">
        <w:rPr>
          <w:rFonts w:ascii="TimesNewRomanPS" w:hAnsi="TimesNewRomanPS"/>
          <w:b/>
          <w:bCs/>
          <w:sz w:val="20"/>
          <w:szCs w:val="20"/>
          <w:lang w:val="en-US"/>
        </w:rPr>
        <w:t xml:space="preserve">Transport of gases: miscellaneous </w:t>
      </w:r>
    </w:p>
    <w:p w14:paraId="7E32CDF2" w14:textId="1D172DC0" w:rsidR="00CB1F7D" w:rsidRPr="005D5D19" w:rsidRDefault="00A60F48" w:rsidP="00E436B1">
      <w:pPr>
        <w:pStyle w:val="HChG"/>
        <w:outlineLvl w:val="0"/>
      </w:pPr>
      <w:r>
        <w:tab/>
      </w:r>
      <w:r>
        <w:tab/>
      </w:r>
      <w:r w:rsidR="00CB1F7D">
        <w:t>Provisions for pressure receptacles and their closures</w:t>
      </w:r>
      <w:r w:rsidR="005E774E">
        <w:t xml:space="preserve"> – Amendments to </w:t>
      </w:r>
      <w:r w:rsidR="004460E5">
        <w:t>document</w:t>
      </w:r>
      <w:bookmarkStart w:id="0" w:name="_GoBack"/>
      <w:bookmarkEnd w:id="0"/>
      <w:r w:rsidR="005E774E">
        <w:t xml:space="preserve"> </w:t>
      </w:r>
      <w:r w:rsidR="005E774E" w:rsidRPr="005E774E">
        <w:t>ST/SG/AC.10/C.3/2019/21</w:t>
      </w:r>
    </w:p>
    <w:p w14:paraId="7E13ADD4" w14:textId="5FEF8281" w:rsidR="00CB1F7D" w:rsidRPr="003E79FB" w:rsidRDefault="00CB1F7D" w:rsidP="00CB1F7D">
      <w:pPr>
        <w:pStyle w:val="H1G"/>
        <w:jc w:val="both"/>
      </w:pPr>
      <w:r w:rsidRPr="003E79FB">
        <w:tab/>
      </w:r>
      <w:r w:rsidRPr="003E79FB">
        <w:tab/>
        <w:t>Transmitted by the European Industrial Gases Association (EIGA), the Compressed Gases Association (CGA) and the European Cylinder Makers Association (ECMA)</w:t>
      </w:r>
      <w:r w:rsidR="005D5923">
        <w:rPr>
          <w:rStyle w:val="FootnoteReference"/>
        </w:rPr>
        <w:footnoteReference w:customMarkFollows="1" w:id="2"/>
        <w:t>*</w:t>
      </w:r>
    </w:p>
    <w:p w14:paraId="54009407" w14:textId="77777777" w:rsidR="007744BA" w:rsidRPr="00CB1F7D" w:rsidRDefault="00CB1F7D" w:rsidP="00E436B1">
      <w:pPr>
        <w:pStyle w:val="HChG"/>
        <w:outlineLvl w:val="0"/>
        <w:rPr>
          <w:lang w:val="x-none"/>
        </w:rPr>
      </w:pPr>
      <w:r>
        <w:rPr>
          <w:lang w:val="x-none"/>
        </w:rPr>
        <w:tab/>
      </w:r>
      <w:r>
        <w:rPr>
          <w:lang w:val="x-none"/>
        </w:rPr>
        <w:tab/>
      </w:r>
      <w:r w:rsidRPr="00CB1F7D">
        <w:rPr>
          <w:lang w:val="x-none"/>
        </w:rPr>
        <w:t>Introduction</w:t>
      </w:r>
    </w:p>
    <w:p w14:paraId="353BADAE" w14:textId="08FC50C0" w:rsidR="00CB1F7D" w:rsidRDefault="00CB1F7D" w:rsidP="00CB1F7D">
      <w:pPr>
        <w:pStyle w:val="SingleTxtG"/>
      </w:pPr>
      <w:r>
        <w:t>1.</w:t>
      </w:r>
      <w:r>
        <w:tab/>
      </w:r>
      <w:r w:rsidR="005E774E">
        <w:t xml:space="preserve">The working group which prepared </w:t>
      </w:r>
      <w:r w:rsidR="005D5923">
        <w:t>document ST/SG/AC.10/C.3/</w:t>
      </w:r>
      <w:r w:rsidR="005E774E">
        <w:t>2019/21 was encouraged by the positive response from all delegations wh</w:t>
      </w:r>
      <w:r w:rsidR="00367B16">
        <w:t>o</w:t>
      </w:r>
      <w:r w:rsidR="005E774E">
        <w:t xml:space="preserve"> spoke at the fifty-fifth session. However, a few comments and questions have led to a review of the proposals and some changes have been agreed by the working group</w:t>
      </w:r>
      <w:r w:rsidR="00367B16">
        <w:t>.</w:t>
      </w:r>
    </w:p>
    <w:p w14:paraId="64F63B11" w14:textId="25BE6A73" w:rsidR="0010254F" w:rsidRPr="00A64765" w:rsidRDefault="0010254F" w:rsidP="0010254F">
      <w:pPr>
        <w:pStyle w:val="HChG"/>
        <w:outlineLvl w:val="0"/>
      </w:pPr>
      <w:r>
        <w:rPr>
          <w:lang w:val="x-none"/>
        </w:rPr>
        <w:tab/>
      </w:r>
      <w:r>
        <w:rPr>
          <w:lang w:val="x-none"/>
        </w:rPr>
        <w:tab/>
      </w:r>
      <w:r w:rsidRPr="0010254F">
        <w:rPr>
          <w:lang w:val="x-none"/>
        </w:rPr>
        <w:t>Amendments</w:t>
      </w:r>
      <w:r w:rsidR="00A64765">
        <w:t xml:space="preserve"> to </w:t>
      </w:r>
      <w:r w:rsidR="00D9049C">
        <w:t>document</w:t>
      </w:r>
      <w:r w:rsidR="00A64765">
        <w:t xml:space="preserve"> </w:t>
      </w:r>
      <w:r w:rsidR="00D9049C">
        <w:t>ST/SG/AC.10/C.3/</w:t>
      </w:r>
      <w:r w:rsidR="00A64765">
        <w:t>2019/21</w:t>
      </w:r>
    </w:p>
    <w:p w14:paraId="4088F5EB" w14:textId="35F99C58" w:rsidR="00BA58E6" w:rsidRDefault="00CB1F7D" w:rsidP="00CB1F7D">
      <w:pPr>
        <w:pStyle w:val="SingleTxtG"/>
      </w:pPr>
      <w:r w:rsidRPr="00CB1F7D">
        <w:t>2.</w:t>
      </w:r>
      <w:r w:rsidRPr="00CB1F7D">
        <w:tab/>
      </w:r>
      <w:r w:rsidR="008B6D5E">
        <w:t>4.1.6.1.6</w:t>
      </w:r>
      <w:r w:rsidR="00D9049C">
        <w:t>:</w:t>
      </w:r>
      <w:r w:rsidR="008B6D5E">
        <w:t xml:space="preserve"> </w:t>
      </w:r>
      <w:r w:rsidR="00DD4A9B">
        <w:t xml:space="preserve">The text proposed </w:t>
      </w:r>
      <w:r w:rsidR="00E8160B">
        <w:t xml:space="preserve">in </w:t>
      </w:r>
      <w:r w:rsidR="005D5923">
        <w:t xml:space="preserve">document ST/SG/AC.10/C.3/2019/21 </w:t>
      </w:r>
      <w:r w:rsidR="00DD4A9B">
        <w:t xml:space="preserve">is </w:t>
      </w:r>
      <w:proofErr w:type="gramStart"/>
      <w:r w:rsidR="00BA58E6">
        <w:t>satisfactory</w:t>
      </w:r>
      <w:r w:rsidR="00DD4A9B">
        <w:t>, but</w:t>
      </w:r>
      <w:proofErr w:type="gramEnd"/>
      <w:r w:rsidR="00DD4A9B">
        <w:t xml:space="preserve"> had been misunderstood by one commenter. We believe this is due to the lack of clarity in the </w:t>
      </w:r>
      <w:r w:rsidR="00BA58E6">
        <w:t>explanation given in the</w:t>
      </w:r>
      <w:r w:rsidR="00DD4A9B">
        <w:t xml:space="preserve"> box</w:t>
      </w:r>
      <w:r w:rsidR="00D9049C">
        <w:t>.</w:t>
      </w:r>
    </w:p>
    <w:p w14:paraId="054F60E5" w14:textId="77777777" w:rsidR="005D5923" w:rsidRDefault="005D5923">
      <w:pPr>
        <w:suppressAutoHyphens w:val="0"/>
        <w:spacing w:line="240" w:lineRule="auto"/>
      </w:pPr>
      <w:r>
        <w:br w:type="page"/>
      </w:r>
    </w:p>
    <w:p w14:paraId="2AC72E69" w14:textId="6FE4A2F9" w:rsidR="00BA58E6" w:rsidRDefault="00D9049C" w:rsidP="00CB1F7D">
      <w:pPr>
        <w:pStyle w:val="SingleTxtG"/>
      </w:pPr>
      <w:r>
        <w:lastRenderedPageBreak/>
        <w:t>I</w:t>
      </w:r>
      <w:r w:rsidR="00BA58E6">
        <w:t xml:space="preserve">n the box </w:t>
      </w:r>
      <w:r>
        <w:t>after</w:t>
      </w:r>
      <w:r w:rsidR="00BA58E6">
        <w:t xml:space="preserve"> 4.1.6.1.6 </w:t>
      </w:r>
      <w:r>
        <w:t>replace the text by:</w:t>
      </w:r>
    </w:p>
    <w:p w14:paraId="37679CC9" w14:textId="55831D69" w:rsidR="008B6D5E" w:rsidRPr="00681D45" w:rsidRDefault="008B6D5E" w:rsidP="008B6D5E">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ind w:left="1134" w:right="1134"/>
        <w:jc w:val="both"/>
        <w:rPr>
          <w:rFonts w:ascii="TimesNewRomanPSMT" w:hAnsi="TimesNewRomanPSMT" w:cs="TimesNewRomanPSMT"/>
          <w:lang w:val="en-US" w:eastAsia="de-DE"/>
        </w:rPr>
      </w:pPr>
      <w:r w:rsidRPr="008B6D5E">
        <w:rPr>
          <w:rFonts w:ascii="TimesNewRomanPSMT" w:hAnsi="TimesNewRomanPSMT" w:cs="TimesNewRomanPSMT"/>
          <w:lang w:val="en-US" w:eastAsia="de-DE"/>
        </w:rPr>
        <w:t xml:space="preserve">Pressure receptacles are made of components and sometimes it is necessary to use a component with a lower rating. One possibility is that a bundle of cylinders contains a cylinder with a lower rating, but there are other examples such as a </w:t>
      </w:r>
      <w:proofErr w:type="gramStart"/>
      <w:r w:rsidRPr="008B6D5E">
        <w:rPr>
          <w:rFonts w:ascii="TimesNewRomanPSMT" w:hAnsi="TimesNewRomanPSMT" w:cs="TimesNewRomanPSMT"/>
          <w:lang w:val="en-US" w:eastAsia="de-DE"/>
        </w:rPr>
        <w:t>300 bar</w:t>
      </w:r>
      <w:proofErr w:type="gramEnd"/>
      <w:r w:rsidRPr="008B6D5E">
        <w:rPr>
          <w:rFonts w:ascii="TimesNewRomanPSMT" w:hAnsi="TimesNewRomanPSMT" w:cs="TimesNewRomanPSMT"/>
          <w:lang w:val="en-US" w:eastAsia="de-DE"/>
        </w:rPr>
        <w:t xml:space="preserve"> cylinder shell fitted with a 200 bar valve. The additional text in the first sentence establishes this circumstance </w:t>
      </w:r>
      <w:r>
        <w:rPr>
          <w:rFonts w:ascii="TimesNewRomanPSMT" w:hAnsi="TimesNewRomanPSMT" w:cs="TimesNewRomanPSMT"/>
          <w:lang w:val="en-US" w:eastAsia="de-DE"/>
        </w:rPr>
        <w:t xml:space="preserve">in general </w:t>
      </w:r>
      <w:r w:rsidRPr="008B6D5E">
        <w:rPr>
          <w:rFonts w:ascii="TimesNewRomanPSMT" w:hAnsi="TimesNewRomanPSMT" w:cs="TimesNewRomanPSMT"/>
          <w:lang w:val="en-US" w:eastAsia="de-DE"/>
        </w:rPr>
        <w:t>and the precaution of lowering the filling pressure. The second sentence limits the options on choice of component to preserve safety of the package. The final sentence on bundles of cylinders becomes redundant.</w:t>
      </w:r>
    </w:p>
    <w:p w14:paraId="687CDAF0" w14:textId="3D4027FC" w:rsidR="007F58C4" w:rsidRPr="003E79FB" w:rsidRDefault="001416C1" w:rsidP="005D5923">
      <w:pPr>
        <w:pStyle w:val="SingleTxtG"/>
        <w:spacing w:before="120"/>
        <w:rPr>
          <w:lang w:val="en-US"/>
        </w:rPr>
      </w:pPr>
      <w:r w:rsidRPr="003E79FB">
        <w:t>3.</w:t>
      </w:r>
      <w:r w:rsidRPr="003E79FB">
        <w:tab/>
      </w:r>
      <w:r w:rsidR="008B6D5E">
        <w:t>6.2.1.1.1</w:t>
      </w:r>
      <w:r w:rsidR="00D9049C">
        <w:t>:</w:t>
      </w:r>
      <w:r w:rsidR="008B6D5E">
        <w:t xml:space="preserve"> At the end of the proposed amendment replace “transport and use” </w:t>
      </w:r>
      <w:r w:rsidR="00D9049C">
        <w:t>by</w:t>
      </w:r>
      <w:r w:rsidR="008B6D5E">
        <w:t xml:space="preserve"> “transport and intended use”.</w:t>
      </w:r>
    </w:p>
    <w:p w14:paraId="0450D9BF" w14:textId="110669AC" w:rsidR="00854C09" w:rsidRDefault="008B6D5E" w:rsidP="005D5923">
      <w:pPr>
        <w:pStyle w:val="SingleTxtG"/>
        <w:spacing w:before="120"/>
        <w:rPr>
          <w:lang w:val="en-US"/>
        </w:rPr>
      </w:pPr>
      <w:r>
        <w:rPr>
          <w:lang w:val="en-US"/>
        </w:rPr>
        <w:t>4.</w:t>
      </w:r>
      <w:r w:rsidR="0025280C" w:rsidRPr="003E79FB">
        <w:rPr>
          <w:lang w:val="en-US"/>
        </w:rPr>
        <w:tab/>
      </w:r>
      <w:r w:rsidR="00854C09">
        <w:rPr>
          <w:lang w:val="en-US"/>
        </w:rPr>
        <w:t>6.2.1.4.1</w:t>
      </w:r>
      <w:r w:rsidR="00D9049C">
        <w:rPr>
          <w:lang w:val="en-US"/>
        </w:rPr>
        <w:t>: This paragraph</w:t>
      </w:r>
      <w:r w:rsidR="00854C09">
        <w:rPr>
          <w:lang w:val="en-US"/>
        </w:rPr>
        <w:t xml:space="preserve"> requires adjustment to remove the </w:t>
      </w:r>
      <w:proofErr w:type="gramStart"/>
      <w:r w:rsidR="00854C09">
        <w:rPr>
          <w:lang w:val="en-US"/>
        </w:rPr>
        <w:t>particular requirement</w:t>
      </w:r>
      <w:proofErr w:type="gramEnd"/>
      <w:r w:rsidR="00854C09">
        <w:rPr>
          <w:lang w:val="en-US"/>
        </w:rPr>
        <w:t xml:space="preserve"> for pressure receptacle shells and the inner vessels of closed cryogenic receptacles from </w:t>
      </w:r>
      <w:r w:rsidR="00A64765">
        <w:rPr>
          <w:lang w:val="en-US"/>
        </w:rPr>
        <w:t>a within a paragraph</w:t>
      </w:r>
      <w:r w:rsidR="00854C09">
        <w:rPr>
          <w:lang w:val="en-US"/>
        </w:rPr>
        <w:t xml:space="preserve"> applicable to all pressure receptacles. The amendments </w:t>
      </w:r>
      <w:r w:rsidR="00D9049C">
        <w:rPr>
          <w:lang w:val="en-US"/>
        </w:rPr>
        <w:t>shall read</w:t>
      </w:r>
      <w:r w:rsidR="00854C09">
        <w:rPr>
          <w:lang w:val="en-US"/>
        </w:rPr>
        <w:t>:</w:t>
      </w:r>
    </w:p>
    <w:p w14:paraId="184EBC82" w14:textId="3E109A64" w:rsidR="00E8160B" w:rsidRDefault="00854C09" w:rsidP="005D5923">
      <w:pPr>
        <w:tabs>
          <w:tab w:val="left" w:pos="2552"/>
        </w:tabs>
        <w:suppressAutoHyphens w:val="0"/>
        <w:spacing w:after="120" w:line="240" w:lineRule="auto"/>
        <w:ind w:left="1134" w:right="1134" w:firstLine="567"/>
        <w:jc w:val="both"/>
        <w:rPr>
          <w:lang w:val="en-US"/>
        </w:rPr>
      </w:pPr>
      <w:r>
        <w:rPr>
          <w:lang w:val="en-US"/>
        </w:rPr>
        <w:t>6.2.1.4.1</w:t>
      </w:r>
      <w:r w:rsidR="00D9049C">
        <w:rPr>
          <w:lang w:val="en-US"/>
        </w:rPr>
        <w:t>:</w:t>
      </w:r>
      <w:r w:rsidR="00E8160B">
        <w:rPr>
          <w:lang w:val="en-US"/>
        </w:rPr>
        <w:tab/>
        <w:t>Delete the second sentence beginning “Pressure receptacles…”</w:t>
      </w:r>
    </w:p>
    <w:p w14:paraId="3BFBAD64" w14:textId="41D84B46" w:rsidR="00E8160B" w:rsidRDefault="00E8160B" w:rsidP="005D5923">
      <w:pPr>
        <w:suppressAutoHyphens w:val="0"/>
        <w:spacing w:after="120" w:line="240" w:lineRule="auto"/>
        <w:ind w:left="1134" w:right="1134" w:firstLine="567"/>
        <w:jc w:val="both"/>
        <w:rPr>
          <w:lang w:val="en-US"/>
        </w:rPr>
      </w:pPr>
      <w:r>
        <w:rPr>
          <w:lang w:val="en-US"/>
        </w:rPr>
        <w:t>After 6.2.1.4.2</w:t>
      </w:r>
      <w:r w:rsidR="00D9049C">
        <w:rPr>
          <w:lang w:val="en-US"/>
        </w:rPr>
        <w:t>,</w:t>
      </w:r>
      <w:r>
        <w:rPr>
          <w:lang w:val="en-US"/>
        </w:rPr>
        <w:t xml:space="preserve"> insert a new paragraph </w:t>
      </w:r>
      <w:r w:rsidR="00D9049C">
        <w:rPr>
          <w:lang w:val="en-US"/>
        </w:rPr>
        <w:t>6.2.1.4.3 to read:</w:t>
      </w:r>
    </w:p>
    <w:p w14:paraId="1F48236F" w14:textId="3C4D20B9" w:rsidR="00E8160B" w:rsidRDefault="00E8160B" w:rsidP="005D5923">
      <w:pPr>
        <w:tabs>
          <w:tab w:val="left" w:pos="2552"/>
        </w:tabs>
        <w:suppressAutoHyphens w:val="0"/>
        <w:spacing w:after="120" w:line="240" w:lineRule="auto"/>
        <w:ind w:left="1701" w:right="1134"/>
        <w:jc w:val="both"/>
        <w:rPr>
          <w:lang w:val="en-US"/>
        </w:rPr>
      </w:pPr>
      <w:r>
        <w:rPr>
          <w:lang w:val="en-US"/>
        </w:rPr>
        <w:t xml:space="preserve">“6.2.1.4.3 </w:t>
      </w:r>
      <w:r>
        <w:rPr>
          <w:lang w:val="en-US"/>
        </w:rPr>
        <w:tab/>
        <w:t>Pressure receptacle shells and the inner vessels of closed cryogenic receptacles shall be inspected tested and approved by an inspection body.”</w:t>
      </w:r>
    </w:p>
    <w:p w14:paraId="18E8299E" w14:textId="508C32E7" w:rsidR="0025280C" w:rsidRPr="003E79FB" w:rsidRDefault="00E8160B" w:rsidP="005D5923">
      <w:pPr>
        <w:suppressAutoHyphens w:val="0"/>
        <w:spacing w:after="120" w:line="240" w:lineRule="auto"/>
        <w:ind w:left="1134" w:right="1134" w:firstLine="567"/>
        <w:jc w:val="both"/>
        <w:rPr>
          <w:lang w:val="en-US"/>
        </w:rPr>
      </w:pPr>
      <w:r>
        <w:rPr>
          <w:lang w:val="en-US"/>
        </w:rPr>
        <w:t xml:space="preserve">Renumber </w:t>
      </w:r>
      <w:r w:rsidR="00D9049C">
        <w:rPr>
          <w:lang w:val="en-US"/>
        </w:rPr>
        <w:t>former</w:t>
      </w:r>
      <w:r>
        <w:rPr>
          <w:lang w:val="en-US"/>
        </w:rPr>
        <w:t xml:space="preserve"> 6.2.1.4.3 proposed in </w:t>
      </w:r>
      <w:r w:rsidR="00D9049C">
        <w:rPr>
          <w:lang w:val="en-US"/>
        </w:rPr>
        <w:t>ST/SG/AC.10/C.3/2019</w:t>
      </w:r>
      <w:r>
        <w:rPr>
          <w:lang w:val="en-US"/>
        </w:rPr>
        <w:t>/21 as 6.2.1.4.4.</w:t>
      </w:r>
    </w:p>
    <w:p w14:paraId="6B1B1E0F" w14:textId="155CBE51" w:rsidR="000841D3" w:rsidRDefault="00E8160B" w:rsidP="000841D3">
      <w:pPr>
        <w:pStyle w:val="SingleTxtG"/>
      </w:pPr>
      <w:r>
        <w:t>5</w:t>
      </w:r>
      <w:r w:rsidR="000841D3">
        <w:t>.</w:t>
      </w:r>
      <w:r w:rsidR="000841D3">
        <w:tab/>
      </w:r>
      <w:r>
        <w:t>The text proposed for 6.2.1.</w:t>
      </w:r>
      <w:r w:rsidR="002305F1">
        <w:t xml:space="preserve">5.2 was </w:t>
      </w:r>
      <w:r w:rsidR="00D9049C">
        <w:t>difficult</w:t>
      </w:r>
      <w:r w:rsidR="002305F1">
        <w:t xml:space="preserve"> to understand and did not differentiate which tests had to be done on the inner vessel or </w:t>
      </w:r>
      <w:r w:rsidR="00C21981">
        <w:t xml:space="preserve">the </w:t>
      </w:r>
      <w:r w:rsidR="002305F1">
        <w:t>complete assembly. The text has therefore been rewritten.</w:t>
      </w:r>
    </w:p>
    <w:p w14:paraId="460D317B" w14:textId="51CF0BFC" w:rsidR="002305F1" w:rsidRDefault="000746A5" w:rsidP="000841D3">
      <w:pPr>
        <w:pStyle w:val="SingleTxtG"/>
      </w:pPr>
      <w:r>
        <w:t>6.</w:t>
      </w:r>
      <w:r>
        <w:tab/>
      </w:r>
      <w:r w:rsidR="002305F1">
        <w:t xml:space="preserve">Replace 6.2.1.5.2 </w:t>
      </w:r>
      <w:r w:rsidR="00D9049C">
        <w:t>by</w:t>
      </w:r>
      <w:r w:rsidR="002305F1">
        <w:t>:</w:t>
      </w:r>
    </w:p>
    <w:p w14:paraId="155B9BC2" w14:textId="1D058F1B" w:rsidR="002305F1" w:rsidRPr="002305F1" w:rsidRDefault="005A58DA" w:rsidP="000746A5">
      <w:pPr>
        <w:pStyle w:val="SingleTxtG"/>
        <w:ind w:left="1701"/>
        <w:rPr>
          <w:iCs/>
          <w:lang w:val="en-US"/>
        </w:rPr>
      </w:pPr>
      <w:r>
        <w:rPr>
          <w:iCs/>
          <w:lang w:val="en-US"/>
        </w:rPr>
        <w:t>“</w:t>
      </w:r>
      <w:r w:rsidR="002305F1" w:rsidRPr="002305F1">
        <w:rPr>
          <w:iCs/>
          <w:lang w:val="en-US"/>
        </w:rPr>
        <w:t>6.2.1.5.2</w:t>
      </w:r>
      <w:r w:rsidR="002305F1" w:rsidRPr="002305F1">
        <w:rPr>
          <w:iCs/>
          <w:lang w:val="en-US"/>
        </w:rPr>
        <w:tab/>
        <w:t>Closed cryogenic receptacles shall be subjected to testing and inspection during and after manufacture in accordance with the applicable design standards or recognized technical codes including the following:</w:t>
      </w:r>
    </w:p>
    <w:p w14:paraId="76732CDA" w14:textId="77777777" w:rsidR="002305F1" w:rsidRPr="002305F1" w:rsidRDefault="002305F1" w:rsidP="002305F1">
      <w:pPr>
        <w:pStyle w:val="SingleTxtG"/>
        <w:ind w:left="1701"/>
        <w:rPr>
          <w:iCs/>
          <w:lang w:val="en-US"/>
        </w:rPr>
      </w:pPr>
      <w:r w:rsidRPr="002305F1">
        <w:rPr>
          <w:iCs/>
          <w:lang w:val="en-US"/>
        </w:rPr>
        <w:t>On an adequate sample of inner vessels:</w:t>
      </w:r>
    </w:p>
    <w:p w14:paraId="3B8C9D0F" w14:textId="77777777" w:rsidR="002305F1" w:rsidRPr="002305F1" w:rsidRDefault="002305F1" w:rsidP="002305F1">
      <w:pPr>
        <w:pStyle w:val="SingleTxtG"/>
        <w:ind w:left="1701"/>
        <w:rPr>
          <w:lang w:val="en-US"/>
        </w:rPr>
      </w:pPr>
      <w:r w:rsidRPr="002305F1">
        <w:rPr>
          <w:lang w:val="en-US"/>
        </w:rPr>
        <w:t>(a)</w:t>
      </w:r>
      <w:r w:rsidRPr="002305F1">
        <w:rPr>
          <w:lang w:val="en-US"/>
        </w:rPr>
        <w:tab/>
        <w:t>Testing of the mechanical characteristics of the material of construction;</w:t>
      </w:r>
    </w:p>
    <w:p w14:paraId="1C7217A7" w14:textId="77777777" w:rsidR="002305F1" w:rsidRPr="002305F1" w:rsidRDefault="002305F1" w:rsidP="002305F1">
      <w:pPr>
        <w:pStyle w:val="SingleTxtG"/>
        <w:ind w:left="1701"/>
        <w:rPr>
          <w:lang w:val="en-US"/>
        </w:rPr>
      </w:pPr>
      <w:r w:rsidRPr="002305F1">
        <w:rPr>
          <w:lang w:val="en-US"/>
        </w:rPr>
        <w:t>(b)</w:t>
      </w:r>
      <w:r w:rsidRPr="002305F1">
        <w:rPr>
          <w:lang w:val="en-US"/>
        </w:rPr>
        <w:tab/>
        <w:t>Verification of the minimum wall thickness;</w:t>
      </w:r>
    </w:p>
    <w:p w14:paraId="600214EB" w14:textId="77777777" w:rsidR="002305F1" w:rsidRPr="002305F1" w:rsidRDefault="002305F1" w:rsidP="002305F1">
      <w:pPr>
        <w:pStyle w:val="SingleTxtG"/>
        <w:ind w:left="1701"/>
        <w:rPr>
          <w:lang w:val="en-US"/>
        </w:rPr>
      </w:pPr>
      <w:r w:rsidRPr="002305F1">
        <w:rPr>
          <w:lang w:val="en-US"/>
        </w:rPr>
        <w:t>(c)</w:t>
      </w:r>
      <w:r w:rsidRPr="002305F1">
        <w:rPr>
          <w:lang w:val="en-US"/>
        </w:rPr>
        <w:tab/>
        <w:t>Inspection of the external and internal conditions;</w:t>
      </w:r>
    </w:p>
    <w:p w14:paraId="4AE95E80" w14:textId="77777777" w:rsidR="002305F1" w:rsidRPr="002305F1" w:rsidRDefault="002305F1" w:rsidP="002305F1">
      <w:pPr>
        <w:pStyle w:val="SingleTxtG"/>
        <w:ind w:left="1701"/>
        <w:rPr>
          <w:iCs/>
          <w:lang w:val="en-US"/>
        </w:rPr>
      </w:pPr>
      <w:r w:rsidRPr="002305F1">
        <w:rPr>
          <w:lang w:val="en-US"/>
        </w:rPr>
        <w:t>(d)</w:t>
      </w:r>
      <w:r w:rsidRPr="002305F1">
        <w:rPr>
          <w:lang w:val="en-US"/>
        </w:rPr>
        <w:tab/>
        <w:t>Verification of</w:t>
      </w:r>
      <w:r w:rsidRPr="002305F1">
        <w:rPr>
          <w:iCs/>
          <w:lang w:val="en-US"/>
        </w:rPr>
        <w:t xml:space="preserve"> the conformance with the design standard or code;</w:t>
      </w:r>
    </w:p>
    <w:p w14:paraId="75DB3A40" w14:textId="77777777" w:rsidR="002305F1" w:rsidRPr="002305F1" w:rsidRDefault="002305F1" w:rsidP="002305F1">
      <w:pPr>
        <w:pStyle w:val="SingleTxtG"/>
        <w:ind w:left="2268" w:hanging="567"/>
        <w:rPr>
          <w:iCs/>
          <w:lang w:val="en-US"/>
        </w:rPr>
      </w:pPr>
      <w:r w:rsidRPr="002305F1">
        <w:rPr>
          <w:iCs/>
          <w:lang w:val="en-US"/>
        </w:rPr>
        <w:t>(e)</w:t>
      </w:r>
      <w:r w:rsidRPr="002305F1">
        <w:rPr>
          <w:iCs/>
          <w:lang w:val="en-US"/>
        </w:rPr>
        <w:tab/>
        <w:t>Inspection of welds by radiographic, ultrasonic or other suitable non-destructive test method according to the applicable design and construction standard or code.</w:t>
      </w:r>
    </w:p>
    <w:p w14:paraId="76569CB6" w14:textId="77777777" w:rsidR="002305F1" w:rsidRPr="002305F1" w:rsidRDefault="002305F1" w:rsidP="002305F1">
      <w:pPr>
        <w:pStyle w:val="SingleTxtG"/>
        <w:ind w:left="1701"/>
        <w:rPr>
          <w:lang w:val="en-US"/>
        </w:rPr>
      </w:pPr>
      <w:r w:rsidRPr="002305F1">
        <w:rPr>
          <w:lang w:val="en-US"/>
        </w:rPr>
        <w:t xml:space="preserve">For </w:t>
      </w:r>
      <w:r w:rsidRPr="002305F1">
        <w:rPr>
          <w:iCs/>
          <w:lang w:val="en-US"/>
        </w:rPr>
        <w:t>all</w:t>
      </w:r>
      <w:r w:rsidRPr="002305F1">
        <w:rPr>
          <w:lang w:val="en-US"/>
        </w:rPr>
        <w:t xml:space="preserve"> inner vessels:</w:t>
      </w:r>
    </w:p>
    <w:p w14:paraId="73C6EEDF" w14:textId="77777777" w:rsidR="002305F1" w:rsidRPr="002305F1" w:rsidRDefault="002305F1" w:rsidP="002305F1">
      <w:pPr>
        <w:pStyle w:val="SingleTxtG"/>
        <w:ind w:left="1701"/>
        <w:rPr>
          <w:lang w:val="en-US"/>
        </w:rPr>
      </w:pPr>
      <w:r w:rsidRPr="002305F1">
        <w:rPr>
          <w:lang w:val="en-US"/>
        </w:rPr>
        <w:t>(f)</w:t>
      </w:r>
      <w:r w:rsidRPr="002305F1">
        <w:rPr>
          <w:lang w:val="en-US"/>
        </w:rPr>
        <w:tab/>
        <w:t xml:space="preserve">A hydraulic pressure </w:t>
      </w:r>
      <w:proofErr w:type="gramStart"/>
      <w:r w:rsidRPr="002305F1">
        <w:rPr>
          <w:lang w:val="en-US"/>
        </w:rPr>
        <w:t>test</w:t>
      </w:r>
      <w:proofErr w:type="gramEnd"/>
      <w:r w:rsidRPr="002305F1">
        <w:rPr>
          <w:lang w:val="en-US"/>
        </w:rPr>
        <w:t>. The inner vessel shall meet the acceptance criteria specified in the design and construction technical standard or technical code;</w:t>
      </w:r>
    </w:p>
    <w:p w14:paraId="31C6CB7C" w14:textId="77777777" w:rsidR="002305F1" w:rsidRPr="002305F1" w:rsidRDefault="002305F1" w:rsidP="002305F1">
      <w:pPr>
        <w:pStyle w:val="SingleTxtG"/>
        <w:ind w:left="2268"/>
        <w:rPr>
          <w:lang w:val="en-US"/>
        </w:rPr>
      </w:pPr>
      <w:r w:rsidRPr="002305F1">
        <w:rPr>
          <w:b/>
          <w:i/>
          <w:lang w:val="en-US"/>
        </w:rPr>
        <w:t>NOTE:</w:t>
      </w:r>
      <w:r w:rsidRPr="002305F1">
        <w:rPr>
          <w:i/>
          <w:lang w:val="en-US"/>
        </w:rPr>
        <w:tab/>
        <w:t>With the agreement of the competent authority, the hydraulic pressure test may be replaced by a test using a gas, where such an operation does not entail any danger.</w:t>
      </w:r>
    </w:p>
    <w:p w14:paraId="3279323C" w14:textId="77777777" w:rsidR="002305F1" w:rsidRPr="002305F1" w:rsidRDefault="002305F1" w:rsidP="002305F1">
      <w:pPr>
        <w:pStyle w:val="SingleTxtG"/>
        <w:ind w:left="2268" w:hanging="567"/>
        <w:rPr>
          <w:lang w:val="en-US"/>
        </w:rPr>
      </w:pPr>
      <w:r w:rsidRPr="002305F1">
        <w:rPr>
          <w:lang w:val="en-US"/>
        </w:rPr>
        <w:t>(g)</w:t>
      </w:r>
      <w:r w:rsidRPr="002305F1">
        <w:rPr>
          <w:lang w:val="en-US"/>
        </w:rPr>
        <w:tab/>
        <w:t>Inspection and assessment of manufacturing defects and either repairing them or rendering the inner vessel unserviceable;</w:t>
      </w:r>
    </w:p>
    <w:p w14:paraId="6E88E7A2" w14:textId="77777777" w:rsidR="002305F1" w:rsidRPr="002305F1" w:rsidRDefault="002305F1" w:rsidP="002305F1">
      <w:pPr>
        <w:pStyle w:val="SingleTxtG"/>
        <w:ind w:left="1701"/>
        <w:rPr>
          <w:lang w:val="en-US"/>
        </w:rPr>
      </w:pPr>
      <w:r w:rsidRPr="002305F1">
        <w:rPr>
          <w:lang w:val="en-US"/>
        </w:rPr>
        <w:t>h)</w:t>
      </w:r>
      <w:r w:rsidRPr="002305F1">
        <w:rPr>
          <w:lang w:val="en-US"/>
        </w:rPr>
        <w:tab/>
        <w:t>An inspection of the marks.</w:t>
      </w:r>
    </w:p>
    <w:p w14:paraId="152B28C4" w14:textId="77777777" w:rsidR="002305F1" w:rsidRPr="002305F1" w:rsidRDefault="002305F1" w:rsidP="002305F1">
      <w:pPr>
        <w:pStyle w:val="SingleTxtG"/>
        <w:ind w:left="1701"/>
        <w:rPr>
          <w:lang w:val="en-US"/>
        </w:rPr>
      </w:pPr>
      <w:r w:rsidRPr="002305F1">
        <w:rPr>
          <w:lang w:val="en-US"/>
        </w:rPr>
        <w:lastRenderedPageBreak/>
        <w:t>On an adequate sample of closures:</w:t>
      </w:r>
    </w:p>
    <w:p w14:paraId="33C7A4DF" w14:textId="77777777" w:rsidR="002305F1" w:rsidRPr="002305F1" w:rsidRDefault="002305F1" w:rsidP="002305F1">
      <w:pPr>
        <w:pStyle w:val="SingleTxtG"/>
        <w:ind w:left="1701"/>
        <w:rPr>
          <w:lang w:val="en-US"/>
        </w:rPr>
      </w:pPr>
      <w:r w:rsidRPr="002305F1">
        <w:rPr>
          <w:lang w:val="en-US"/>
        </w:rPr>
        <w:t>(</w:t>
      </w:r>
      <w:proofErr w:type="spellStart"/>
      <w:r w:rsidRPr="002305F1">
        <w:rPr>
          <w:lang w:val="en-US"/>
        </w:rPr>
        <w:t>i</w:t>
      </w:r>
      <w:proofErr w:type="spellEnd"/>
      <w:r w:rsidRPr="002305F1">
        <w:rPr>
          <w:lang w:val="en-US"/>
        </w:rPr>
        <w:t>)</w:t>
      </w:r>
      <w:r w:rsidRPr="002305F1">
        <w:rPr>
          <w:lang w:val="en-US"/>
        </w:rPr>
        <w:tab/>
        <w:t>Verification of materials;</w:t>
      </w:r>
    </w:p>
    <w:p w14:paraId="0D0CC54C" w14:textId="4D0521EB" w:rsidR="002305F1" w:rsidRPr="002305F1" w:rsidRDefault="002305F1" w:rsidP="002305F1">
      <w:pPr>
        <w:pStyle w:val="SingleTxtG"/>
        <w:ind w:left="1701"/>
        <w:rPr>
          <w:lang w:val="en-US"/>
        </w:rPr>
      </w:pPr>
      <w:r w:rsidRPr="002305F1">
        <w:rPr>
          <w:lang w:val="en-US"/>
        </w:rPr>
        <w:t>(j)</w:t>
      </w:r>
      <w:r w:rsidRPr="002305F1">
        <w:rPr>
          <w:lang w:val="en-US"/>
        </w:rPr>
        <w:tab/>
        <w:t>Verification of dimensions</w:t>
      </w:r>
      <w:r w:rsidR="00D9049C">
        <w:rPr>
          <w:lang w:val="en-US"/>
        </w:rPr>
        <w:t>;</w:t>
      </w:r>
    </w:p>
    <w:p w14:paraId="3DF9B69F" w14:textId="01048D51" w:rsidR="002305F1" w:rsidRPr="002305F1" w:rsidRDefault="002305F1" w:rsidP="002305F1">
      <w:pPr>
        <w:pStyle w:val="SingleTxtG"/>
        <w:ind w:left="1701"/>
        <w:rPr>
          <w:lang w:val="en-US"/>
        </w:rPr>
      </w:pPr>
      <w:r w:rsidRPr="002305F1">
        <w:rPr>
          <w:lang w:val="en-US"/>
        </w:rPr>
        <w:t>(k)</w:t>
      </w:r>
      <w:r w:rsidRPr="002305F1">
        <w:rPr>
          <w:lang w:val="en-US"/>
        </w:rPr>
        <w:tab/>
        <w:t>Verification of cleanliness</w:t>
      </w:r>
      <w:r w:rsidR="00D9049C">
        <w:rPr>
          <w:lang w:val="en-US"/>
        </w:rPr>
        <w:t>;</w:t>
      </w:r>
    </w:p>
    <w:p w14:paraId="2FDFCC93" w14:textId="77777777" w:rsidR="002305F1" w:rsidRPr="002305F1" w:rsidRDefault="002305F1" w:rsidP="002305F1">
      <w:pPr>
        <w:pStyle w:val="SingleTxtG"/>
        <w:ind w:left="1701"/>
        <w:rPr>
          <w:lang w:val="en-US"/>
        </w:rPr>
      </w:pPr>
      <w:r w:rsidRPr="002305F1">
        <w:rPr>
          <w:lang w:val="en-US"/>
        </w:rPr>
        <w:t>(l)</w:t>
      </w:r>
      <w:r w:rsidRPr="002305F1">
        <w:rPr>
          <w:lang w:val="en-US"/>
        </w:rPr>
        <w:tab/>
        <w:t>Inspection of completed assembly;</w:t>
      </w:r>
    </w:p>
    <w:p w14:paraId="37B802F0" w14:textId="77777777" w:rsidR="002305F1" w:rsidRPr="002305F1" w:rsidRDefault="002305F1" w:rsidP="002305F1">
      <w:pPr>
        <w:pStyle w:val="SingleTxtG"/>
        <w:ind w:left="1701"/>
        <w:rPr>
          <w:lang w:val="en-US"/>
        </w:rPr>
      </w:pPr>
      <w:r w:rsidRPr="002305F1">
        <w:rPr>
          <w:lang w:val="en-US"/>
        </w:rPr>
        <w:t>(m)</w:t>
      </w:r>
      <w:r w:rsidRPr="002305F1">
        <w:rPr>
          <w:lang w:val="en-US"/>
        </w:rPr>
        <w:tab/>
        <w:t>Verification of the presence of marks.</w:t>
      </w:r>
    </w:p>
    <w:p w14:paraId="29557B5E" w14:textId="77777777" w:rsidR="002305F1" w:rsidRPr="002305F1" w:rsidRDefault="002305F1" w:rsidP="002305F1">
      <w:pPr>
        <w:pStyle w:val="SingleTxtG"/>
        <w:ind w:left="1701"/>
        <w:rPr>
          <w:lang w:val="en-US"/>
        </w:rPr>
      </w:pPr>
      <w:r w:rsidRPr="002305F1">
        <w:rPr>
          <w:lang w:val="en-US"/>
        </w:rPr>
        <w:t>For all closures:</w:t>
      </w:r>
    </w:p>
    <w:p w14:paraId="4F6A983E" w14:textId="77777777" w:rsidR="002305F1" w:rsidRPr="002305F1" w:rsidRDefault="002305F1" w:rsidP="002305F1">
      <w:pPr>
        <w:pStyle w:val="SingleTxtG"/>
        <w:ind w:left="1701"/>
        <w:rPr>
          <w:lang w:val="en-US"/>
        </w:rPr>
      </w:pPr>
      <w:r w:rsidRPr="002305F1">
        <w:rPr>
          <w:lang w:val="en-US"/>
        </w:rPr>
        <w:t>(n)</w:t>
      </w:r>
      <w:r w:rsidRPr="002305F1">
        <w:rPr>
          <w:lang w:val="en-US"/>
        </w:rPr>
        <w:tab/>
        <w:t xml:space="preserve">Testing for </w:t>
      </w:r>
      <w:proofErr w:type="spellStart"/>
      <w:r w:rsidRPr="002305F1">
        <w:rPr>
          <w:lang w:val="en-US"/>
        </w:rPr>
        <w:t>leakproofness</w:t>
      </w:r>
      <w:proofErr w:type="spellEnd"/>
      <w:r w:rsidRPr="002305F1">
        <w:rPr>
          <w:lang w:val="en-US"/>
        </w:rPr>
        <w:t>.</w:t>
      </w:r>
    </w:p>
    <w:p w14:paraId="475F6D39" w14:textId="77777777" w:rsidR="002305F1" w:rsidRPr="002305F1" w:rsidRDefault="002305F1" w:rsidP="002305F1">
      <w:pPr>
        <w:pStyle w:val="SingleTxtG"/>
        <w:ind w:left="1701"/>
        <w:rPr>
          <w:lang w:val="en-US"/>
        </w:rPr>
      </w:pPr>
      <w:r w:rsidRPr="002305F1">
        <w:rPr>
          <w:lang w:val="en-US"/>
        </w:rPr>
        <w:t>On an adequate sample of completed closed cryogenic receptacles:</w:t>
      </w:r>
    </w:p>
    <w:p w14:paraId="32EDF05C" w14:textId="77777777" w:rsidR="002305F1" w:rsidRPr="002305F1" w:rsidRDefault="002305F1" w:rsidP="002305F1">
      <w:pPr>
        <w:pStyle w:val="SingleTxtG"/>
        <w:ind w:left="1701"/>
        <w:rPr>
          <w:lang w:val="en-US"/>
        </w:rPr>
      </w:pPr>
      <w:r w:rsidRPr="002305F1">
        <w:rPr>
          <w:lang w:val="en-US"/>
        </w:rPr>
        <w:t>(o)</w:t>
      </w:r>
      <w:r w:rsidRPr="002305F1">
        <w:rPr>
          <w:lang w:val="en-US"/>
        </w:rPr>
        <w:tab/>
        <w:t>Testing the satisfactory operation of service equipment;</w:t>
      </w:r>
    </w:p>
    <w:p w14:paraId="6D2ACC4A" w14:textId="7EF83ED6" w:rsidR="002305F1" w:rsidRPr="002305F1" w:rsidRDefault="002305F1" w:rsidP="002305F1">
      <w:pPr>
        <w:pStyle w:val="SingleTxtG"/>
        <w:ind w:left="1701"/>
        <w:rPr>
          <w:iCs/>
          <w:lang w:val="en-US"/>
        </w:rPr>
      </w:pPr>
      <w:r w:rsidRPr="002305F1">
        <w:rPr>
          <w:lang w:val="en-US"/>
        </w:rPr>
        <w:t>(p)</w:t>
      </w:r>
      <w:r w:rsidRPr="002305F1">
        <w:rPr>
          <w:lang w:val="en-US"/>
        </w:rPr>
        <w:tab/>
        <w:t>Verification of</w:t>
      </w:r>
      <w:r w:rsidRPr="002305F1">
        <w:rPr>
          <w:iCs/>
          <w:lang w:val="en-US"/>
        </w:rPr>
        <w:t xml:space="preserve"> the conformance with the design standard or code</w:t>
      </w:r>
      <w:r w:rsidR="00D9049C">
        <w:rPr>
          <w:iCs/>
          <w:lang w:val="en-US"/>
        </w:rPr>
        <w:t>.</w:t>
      </w:r>
    </w:p>
    <w:p w14:paraId="1DEC2F0B" w14:textId="77777777" w:rsidR="002305F1" w:rsidRPr="002305F1" w:rsidRDefault="002305F1" w:rsidP="002305F1">
      <w:pPr>
        <w:pStyle w:val="SingleTxtG"/>
        <w:ind w:left="1701"/>
        <w:rPr>
          <w:lang w:val="en-US"/>
        </w:rPr>
      </w:pPr>
      <w:r w:rsidRPr="002305F1">
        <w:rPr>
          <w:lang w:val="en-US"/>
        </w:rPr>
        <w:t>For all completed closed cryogenic pressure receptacles:</w:t>
      </w:r>
    </w:p>
    <w:p w14:paraId="08D56BBA" w14:textId="3CCDD815" w:rsidR="002305F1" w:rsidRPr="002305F1" w:rsidRDefault="002305F1" w:rsidP="002305F1">
      <w:pPr>
        <w:pStyle w:val="SingleTxtG"/>
        <w:ind w:left="1701"/>
        <w:rPr>
          <w:lang w:val="en-US"/>
        </w:rPr>
      </w:pPr>
      <w:r w:rsidRPr="002305F1">
        <w:rPr>
          <w:lang w:val="en-US"/>
        </w:rPr>
        <w:t>(q)</w:t>
      </w:r>
      <w:r w:rsidRPr="002305F1">
        <w:rPr>
          <w:lang w:val="en-US"/>
        </w:rPr>
        <w:tab/>
        <w:t xml:space="preserve">Testing for </w:t>
      </w:r>
      <w:proofErr w:type="spellStart"/>
      <w:r w:rsidRPr="002305F1">
        <w:rPr>
          <w:lang w:val="en-US"/>
        </w:rPr>
        <w:t>leakproofness</w:t>
      </w:r>
      <w:proofErr w:type="spellEnd"/>
      <w:r w:rsidRPr="002305F1">
        <w:rPr>
          <w:lang w:val="en-US"/>
        </w:rPr>
        <w:t>.</w:t>
      </w:r>
      <w:r w:rsidR="005A58DA">
        <w:rPr>
          <w:lang w:val="en-US"/>
        </w:rPr>
        <w:t>”</w:t>
      </w:r>
    </w:p>
    <w:p w14:paraId="7334FC06" w14:textId="74F0E0D0" w:rsidR="00397DE6" w:rsidRDefault="000E20C8" w:rsidP="00832404">
      <w:pPr>
        <w:pStyle w:val="SingleTxtG"/>
      </w:pPr>
      <w:r>
        <w:t>7</w:t>
      </w:r>
      <w:r w:rsidR="00397DE6" w:rsidRPr="00AC05ED">
        <w:t>.</w:t>
      </w:r>
      <w:r w:rsidR="00397DE6" w:rsidRPr="00AC05ED">
        <w:tab/>
      </w:r>
      <w:r w:rsidR="002305F1">
        <w:t xml:space="preserve">The working group </w:t>
      </w:r>
      <w:r w:rsidR="00694ED2">
        <w:t>w</w:t>
      </w:r>
      <w:r w:rsidR="002305F1">
        <w:t xml:space="preserve">as </w:t>
      </w:r>
      <w:r w:rsidR="00694ED2">
        <w:t xml:space="preserve">questioned as to whether proficiency testing should be restricted to manufacturers of pressure receptacle shells and the inner vessels of closed cryogenic receptacles when previously all manufacturers were specified.  Our answer was that this was a minimum requirement </w:t>
      </w:r>
      <w:proofErr w:type="gramStart"/>
      <w:r w:rsidR="00694ED2">
        <w:t>taking into account</w:t>
      </w:r>
      <w:proofErr w:type="gramEnd"/>
      <w:r w:rsidR="00694ED2">
        <w:t xml:space="preserve"> differing national practices. </w:t>
      </w:r>
      <w:r w:rsidR="00D9049C">
        <w:t xml:space="preserve">The authors </w:t>
      </w:r>
      <w:r w:rsidR="00694ED2">
        <w:t xml:space="preserve">expected valve manufacturers would also be subject to proficiency testing in </w:t>
      </w:r>
      <w:proofErr w:type="gramStart"/>
      <w:r w:rsidR="00694ED2">
        <w:t>Europe</w:t>
      </w:r>
      <w:r w:rsidR="00D9049C">
        <w:t>, and</w:t>
      </w:r>
      <w:proofErr w:type="gramEnd"/>
      <w:r w:rsidR="00694ED2">
        <w:t xml:space="preserve"> did not foresee a need for proficiency testing of the those engaged in the final assembly of bundles of cylinders or closed cryogenic receptacles. Ther</w:t>
      </w:r>
      <w:r w:rsidR="0048294E">
        <w:t>e</w:t>
      </w:r>
      <w:r w:rsidR="00694ED2">
        <w:t>fore</w:t>
      </w:r>
      <w:r w:rsidR="00D9049C">
        <w:t>,</w:t>
      </w:r>
      <w:r w:rsidR="00694ED2">
        <w:t xml:space="preserve"> a new amendment</w:t>
      </w:r>
      <w:r w:rsidR="00D9049C">
        <w:t xml:space="preserve"> shall read:</w:t>
      </w:r>
    </w:p>
    <w:p w14:paraId="47228573" w14:textId="16B10AC6" w:rsidR="00D9049C" w:rsidRDefault="00D9049C" w:rsidP="000746A5">
      <w:pPr>
        <w:pStyle w:val="SingleTxtG"/>
        <w:ind w:left="1701"/>
      </w:pPr>
      <w:r>
        <w:t xml:space="preserve">In </w:t>
      </w:r>
      <w:r w:rsidR="00694ED2">
        <w:t>6.2.1.7.2</w:t>
      </w:r>
      <w:r>
        <w:t>, i</w:t>
      </w:r>
      <w:r w:rsidR="00694ED2">
        <w:t>nsert a new second sentence</w:t>
      </w:r>
      <w:r>
        <w:t xml:space="preserve"> to read</w:t>
      </w:r>
      <w:r w:rsidR="00694ED2">
        <w:t xml:space="preserve">: </w:t>
      </w:r>
    </w:p>
    <w:p w14:paraId="0622D037" w14:textId="77EFD746" w:rsidR="00694ED2" w:rsidRPr="00AC05ED" w:rsidRDefault="00694ED2" w:rsidP="000746A5">
      <w:pPr>
        <w:pStyle w:val="SingleTxtG"/>
        <w:ind w:left="1701"/>
      </w:pPr>
      <w:r w:rsidRPr="00694ED2">
        <w:t>“Proficiency testing of manufacturers of closures shall be carried out if required by the competent authority.”</w:t>
      </w:r>
    </w:p>
    <w:p w14:paraId="137B7AB7" w14:textId="54256047" w:rsidR="0048294E" w:rsidRPr="000746A5" w:rsidRDefault="000E20C8" w:rsidP="000746A5">
      <w:pPr>
        <w:pStyle w:val="SingleTxtG"/>
      </w:pPr>
      <w:r>
        <w:t>8.</w:t>
      </w:r>
      <w:r w:rsidR="00612813" w:rsidRPr="000746A5">
        <w:tab/>
      </w:r>
      <w:r w:rsidR="0048294E" w:rsidRPr="000746A5">
        <w:t>In 6.2.2.3 the proposal to delete the text and standard reference table concerning UN metal hydride storage systems is withdrawn.</w:t>
      </w:r>
    </w:p>
    <w:p w14:paraId="7EE751B1" w14:textId="5AF55E65" w:rsidR="005A58DA" w:rsidRPr="000746A5" w:rsidRDefault="000E20C8" w:rsidP="000746A5">
      <w:pPr>
        <w:pStyle w:val="SingleTxtG"/>
      </w:pPr>
      <w:r>
        <w:t>9</w:t>
      </w:r>
      <w:r w:rsidR="005A58DA" w:rsidRPr="000746A5">
        <w:t>.</w:t>
      </w:r>
      <w:r w:rsidR="005A58DA" w:rsidRPr="000746A5">
        <w:tab/>
        <w:t>In response to the query in the plenary meeting about the meaning of “reservation</w:t>
      </w:r>
      <w:r w:rsidR="00313BCB" w:rsidRPr="000746A5">
        <w:t>”</w:t>
      </w:r>
      <w:r w:rsidR="005A58DA" w:rsidRPr="000746A5">
        <w:t xml:space="preserve"> in 6.2.2.5.4.9</w:t>
      </w:r>
      <w:r w:rsidR="007D208A" w:rsidRPr="000746A5">
        <w:t xml:space="preserve"> </w:t>
      </w:r>
      <w:r w:rsidR="00D9049C">
        <w:t>the authors</w:t>
      </w:r>
      <w:r w:rsidR="005A58DA" w:rsidRPr="000746A5">
        <w:t xml:space="preserve"> have changed the words used.  Replace the </w:t>
      </w:r>
      <w:r w:rsidR="007D208A" w:rsidRPr="000746A5">
        <w:t>proposed text as follows:</w:t>
      </w:r>
    </w:p>
    <w:p w14:paraId="4AD3A8C1" w14:textId="42421723" w:rsidR="007D208A" w:rsidRPr="000746A5" w:rsidRDefault="00D9049C" w:rsidP="000746A5">
      <w:pPr>
        <w:pStyle w:val="SingleTxtG"/>
        <w:ind w:left="1701"/>
      </w:pPr>
      <w:r>
        <w:t xml:space="preserve">In </w:t>
      </w:r>
      <w:r w:rsidR="007D208A" w:rsidRPr="000746A5">
        <w:t>6.2.2.5.4.9</w:t>
      </w:r>
      <w:r>
        <w:t>, a</w:t>
      </w:r>
      <w:r w:rsidR="007D208A" w:rsidRPr="000746A5">
        <w:t>fter the penultimate sentence starting “After prototype testing has been carried out …</w:t>
      </w:r>
      <w:r>
        <w:t xml:space="preserve"> design type</w:t>
      </w:r>
      <w:r w:rsidR="007D208A" w:rsidRPr="000746A5">
        <w:t>” continue the paragraph by inserting the following sentence: “If it was not possible to evaluate exhaustively the compatibility of the materials of construction with the contents of the pressure receptacle when the certificate was issued</w:t>
      </w:r>
      <w:r w:rsidR="007D208A" w:rsidRPr="000746A5">
        <w:rPr>
          <w:rFonts w:eastAsia="PMingLiU"/>
        </w:rPr>
        <w:t xml:space="preserve"> </w:t>
      </w:r>
      <w:r w:rsidR="007D208A" w:rsidRPr="000746A5">
        <w:t>a statement that compatibility assessment was not completed shall be included in the design type approval certificate.”</w:t>
      </w:r>
    </w:p>
    <w:p w14:paraId="632EED5D" w14:textId="01635677" w:rsidR="007D208A" w:rsidRDefault="000E20C8" w:rsidP="00813863">
      <w:pPr>
        <w:pStyle w:val="SingleTxtG"/>
      </w:pPr>
      <w:r>
        <w:t>10</w:t>
      </w:r>
      <w:r w:rsidR="00B40065">
        <w:t>.</w:t>
      </w:r>
      <w:r w:rsidR="00B40065">
        <w:tab/>
        <w:t xml:space="preserve">One comment indicated that the instruction on marking “the identity of the porous material” on an acetylene cylinders was rather broad and wondered how this should be shown. </w:t>
      </w:r>
      <w:proofErr w:type="gramStart"/>
      <w:r w:rsidR="00B40065">
        <w:t>Accordingly</w:t>
      </w:r>
      <w:proofErr w:type="gramEnd"/>
      <w:r w:rsidR="00B40065">
        <w:t xml:space="preserve"> the working group decided to add </w:t>
      </w:r>
      <w:r w:rsidR="002C0E43">
        <w:t xml:space="preserve">examples </w:t>
      </w:r>
      <w:r w:rsidR="00B40065">
        <w:t>a</w:t>
      </w:r>
      <w:r w:rsidR="002C0E43">
        <w:t>s a</w:t>
      </w:r>
      <w:r w:rsidR="00B40065">
        <w:t xml:space="preserve"> hint.</w:t>
      </w:r>
    </w:p>
    <w:p w14:paraId="2D250C22" w14:textId="478898A8" w:rsidR="005A58DA" w:rsidRDefault="000746A5" w:rsidP="00813863">
      <w:pPr>
        <w:pStyle w:val="SingleTxtG"/>
      </w:pPr>
      <w:r>
        <w:t>1</w:t>
      </w:r>
      <w:r w:rsidR="000E20C8">
        <w:t>1</w:t>
      </w:r>
      <w:r>
        <w:t>.</w:t>
      </w:r>
      <w:r>
        <w:tab/>
      </w:r>
      <w:r w:rsidR="00B40065">
        <w:t>In 6.2.2.7.3 (k) (</w:t>
      </w:r>
      <w:r w:rsidR="00C91B5F">
        <w:t xml:space="preserve">ii) replace “the identity of the porous material” </w:t>
      </w:r>
      <w:r w:rsidR="00D9049C">
        <w:t>by</w:t>
      </w:r>
      <w:r w:rsidR="00C91B5F">
        <w:t xml:space="preserve"> “the identity of the porous material (e.g. name or trademark)”.</w:t>
      </w:r>
    </w:p>
    <w:p w14:paraId="57B73F28" w14:textId="726EBEFB" w:rsidR="005A58DA" w:rsidRPr="00C91B5F" w:rsidRDefault="00C91B5F" w:rsidP="00C91B5F">
      <w:pPr>
        <w:pStyle w:val="HChG"/>
        <w:outlineLvl w:val="0"/>
        <w:rPr>
          <w:lang w:val="x-none"/>
        </w:rPr>
      </w:pPr>
      <w:r>
        <w:rPr>
          <w:lang w:val="x-none"/>
        </w:rPr>
        <w:lastRenderedPageBreak/>
        <w:tab/>
      </w:r>
      <w:r>
        <w:rPr>
          <w:lang w:val="x-none"/>
        </w:rPr>
        <w:tab/>
      </w:r>
      <w:r w:rsidRPr="00C91B5F">
        <w:rPr>
          <w:lang w:val="x-none"/>
        </w:rPr>
        <w:t>Suitability of the new definitions</w:t>
      </w:r>
    </w:p>
    <w:p w14:paraId="32B7F577" w14:textId="36B03AB7" w:rsidR="00771CD3" w:rsidRDefault="00682677" w:rsidP="000746A5">
      <w:pPr>
        <w:pStyle w:val="SingleTxtG"/>
      </w:pPr>
      <w:r w:rsidRPr="00774D7C">
        <w:tab/>
      </w:r>
      <w:r w:rsidR="00C91B5F">
        <w:t>1</w:t>
      </w:r>
      <w:r w:rsidR="000E20C8">
        <w:t>2</w:t>
      </w:r>
      <w:r w:rsidR="00C91B5F">
        <w:t>.</w:t>
      </w:r>
      <w:r w:rsidR="00C91B5F">
        <w:tab/>
        <w:t>In plenary one delegate asked if the change of definition</w:t>
      </w:r>
      <w:r w:rsidR="00D9049C">
        <w:t>s</w:t>
      </w:r>
      <w:r w:rsidR="00C91B5F">
        <w:t xml:space="preserve"> affected other parts of the Model Regulations. Before these definitions were adopted an extensive survey </w:t>
      </w:r>
      <w:r w:rsidR="00D9049C">
        <w:t>has been</w:t>
      </w:r>
      <w:r w:rsidR="00C91B5F">
        <w:t xml:space="preserve"> made o</w:t>
      </w:r>
      <w:r w:rsidR="00D9049C">
        <w:t>n</w:t>
      </w:r>
      <w:r w:rsidR="00C91B5F">
        <w:t xml:space="preserve"> Parts 4 and 5 of the Regulations</w:t>
      </w:r>
      <w:r w:rsidR="00D9049C">
        <w:t>. It had been</w:t>
      </w:r>
      <w:r w:rsidR="00C91B5F">
        <w:t xml:space="preserve"> concluded that only in Chapter 6.2 w</w:t>
      </w:r>
      <w:r w:rsidR="00892CF2">
        <w:t>ere</w:t>
      </w:r>
      <w:r w:rsidR="00C91B5F">
        <w:t xml:space="preserve"> pressure receptacle, </w:t>
      </w:r>
      <w:r w:rsidR="00267C40">
        <w:t xml:space="preserve">cylinder, tube etc. taken to mean a receptacle without a closure. This survey has now been supplemented with a search of the whole </w:t>
      </w:r>
      <w:r w:rsidR="00892CF2">
        <w:t xml:space="preserve">text </w:t>
      </w:r>
      <w:r w:rsidR="00267C40">
        <w:t xml:space="preserve">of volume 1. Here again </w:t>
      </w:r>
      <w:r w:rsidR="00892CF2">
        <w:t>the authors</w:t>
      </w:r>
      <w:r w:rsidR="00267C40">
        <w:t xml:space="preserve"> found that cylinder </w:t>
      </w:r>
      <w:r w:rsidR="006053B4">
        <w:t xml:space="preserve">and other types of pressure receptacle were </w:t>
      </w:r>
      <w:r w:rsidR="00267C40">
        <w:t xml:space="preserve">taken to mean a complete receptacle either full or ready to fill, i.e. with its closure.  The search also revealed that “shell” was used extensively in Class 1, but in this </w:t>
      </w:r>
      <w:proofErr w:type="gramStart"/>
      <w:r w:rsidR="00267C40">
        <w:t>context</w:t>
      </w:r>
      <w:proofErr w:type="gramEnd"/>
      <w:r w:rsidR="00267C40">
        <w:t xml:space="preserve"> it was clear that shell referred to ammunition and there would be no confusion with pressure receptacle shell.</w:t>
      </w:r>
      <w:r w:rsidR="00C91B5F">
        <w:t xml:space="preserve"> </w:t>
      </w:r>
      <w:r w:rsidR="00267C40">
        <w:t xml:space="preserve"> The working group confirms its opinion that the impact of these changes in definition will be imperceptible </w:t>
      </w:r>
      <w:r w:rsidR="006053B4">
        <w:t xml:space="preserve">except for </w:t>
      </w:r>
      <w:r w:rsidR="00267C40">
        <w:t>the activities concerne</w:t>
      </w:r>
      <w:r w:rsidR="006053B4">
        <w:t xml:space="preserve">d with construction and testing pressure receptacles.  </w:t>
      </w:r>
    </w:p>
    <w:p w14:paraId="6DBC5406" w14:textId="3C9C0F30" w:rsidR="00771CD3" w:rsidRPr="000746A5" w:rsidRDefault="000746A5" w:rsidP="000746A5">
      <w:pPr>
        <w:spacing w:before="240"/>
        <w:jc w:val="center"/>
        <w:rPr>
          <w:u w:val="single"/>
        </w:rPr>
      </w:pPr>
      <w:r>
        <w:rPr>
          <w:u w:val="single"/>
        </w:rPr>
        <w:tab/>
      </w:r>
      <w:r>
        <w:rPr>
          <w:u w:val="single"/>
        </w:rPr>
        <w:tab/>
      </w:r>
      <w:r>
        <w:rPr>
          <w:u w:val="single"/>
        </w:rPr>
        <w:tab/>
      </w:r>
    </w:p>
    <w:p w14:paraId="2D9F9DB7" w14:textId="5F723E3C" w:rsidR="000746A5" w:rsidRDefault="000746A5" w:rsidP="00771CD3">
      <w:pPr>
        <w:spacing w:after="120"/>
        <w:ind w:left="1134" w:right="1134"/>
        <w:jc w:val="center"/>
        <w:rPr>
          <w:u w:val="single"/>
        </w:rPr>
      </w:pPr>
    </w:p>
    <w:p w14:paraId="3CCA6BF3" w14:textId="77777777" w:rsidR="000746A5" w:rsidRPr="00771CD3" w:rsidRDefault="000746A5" w:rsidP="00771CD3">
      <w:pPr>
        <w:spacing w:after="120"/>
        <w:ind w:left="1134" w:right="1134"/>
        <w:jc w:val="center"/>
        <w:rPr>
          <w:u w:val="single"/>
        </w:rPr>
      </w:pPr>
    </w:p>
    <w:p w14:paraId="6CF053E7" w14:textId="77777777" w:rsidR="009F0F06" w:rsidRPr="007744BA" w:rsidRDefault="009F0F06" w:rsidP="007744BA">
      <w:pPr>
        <w:suppressAutoHyphens w:val="0"/>
        <w:spacing w:line="240" w:lineRule="auto"/>
      </w:pPr>
    </w:p>
    <w:sectPr w:rsidR="009F0F06" w:rsidRPr="007744BA" w:rsidSect="008B607C">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FD169" w14:textId="77777777" w:rsidR="00B53697" w:rsidRDefault="00B53697"/>
  </w:endnote>
  <w:endnote w:type="continuationSeparator" w:id="0">
    <w:p w14:paraId="5400F688" w14:textId="77777777" w:rsidR="00B53697" w:rsidRDefault="00B53697"/>
  </w:endnote>
  <w:endnote w:type="continuationNotice" w:id="1">
    <w:p w14:paraId="1CFE6CE2" w14:textId="77777777" w:rsidR="00B53697" w:rsidRDefault="00B53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9911" w14:textId="77777777" w:rsidR="00E436B1" w:rsidRPr="007744BA" w:rsidRDefault="00E436B1" w:rsidP="007744BA">
    <w:pPr>
      <w:pStyle w:val="Footer"/>
      <w:tabs>
        <w:tab w:val="right" w:pos="9638"/>
      </w:tabs>
      <w:rPr>
        <w:sz w:val="18"/>
      </w:rPr>
    </w:pPr>
    <w:r w:rsidRPr="007744BA">
      <w:rPr>
        <w:b/>
        <w:sz w:val="18"/>
      </w:rPr>
      <w:fldChar w:fldCharType="begin"/>
    </w:r>
    <w:r w:rsidRPr="007744BA">
      <w:rPr>
        <w:b/>
        <w:sz w:val="18"/>
      </w:rPr>
      <w:instrText xml:space="preserve"> PAGE  \* MERGEFORMAT </w:instrText>
    </w:r>
    <w:r w:rsidRPr="007744BA">
      <w:rPr>
        <w:b/>
        <w:sz w:val="18"/>
      </w:rPr>
      <w:fldChar w:fldCharType="separate"/>
    </w:r>
    <w:r w:rsidR="00B371C7">
      <w:rPr>
        <w:b/>
        <w:noProof/>
        <w:sz w:val="18"/>
      </w:rPr>
      <w:t>10</w:t>
    </w:r>
    <w:r w:rsidRPr="007744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4684B" w14:textId="77777777" w:rsidR="00E436B1" w:rsidRPr="007744BA" w:rsidRDefault="00E436B1" w:rsidP="007744BA">
    <w:pPr>
      <w:pStyle w:val="Footer"/>
      <w:tabs>
        <w:tab w:val="right" w:pos="9638"/>
      </w:tabs>
      <w:rPr>
        <w:b/>
        <w:sz w:val="18"/>
      </w:rPr>
    </w:pPr>
    <w:r>
      <w:tab/>
    </w:r>
    <w:r w:rsidRPr="007744BA">
      <w:rPr>
        <w:b/>
        <w:sz w:val="18"/>
      </w:rPr>
      <w:fldChar w:fldCharType="begin"/>
    </w:r>
    <w:r w:rsidRPr="007744BA">
      <w:rPr>
        <w:b/>
        <w:sz w:val="18"/>
      </w:rPr>
      <w:instrText xml:space="preserve"> PAGE  \* MERGEFORMAT </w:instrText>
    </w:r>
    <w:r w:rsidRPr="007744BA">
      <w:rPr>
        <w:b/>
        <w:sz w:val="18"/>
      </w:rPr>
      <w:fldChar w:fldCharType="separate"/>
    </w:r>
    <w:r w:rsidR="00B371C7">
      <w:rPr>
        <w:b/>
        <w:noProof/>
        <w:sz w:val="18"/>
      </w:rPr>
      <w:t>11</w:t>
    </w:r>
    <w:r w:rsidRPr="007744B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DEDF2" w14:textId="77777777" w:rsidR="00B53697" w:rsidRPr="000B175B" w:rsidRDefault="00B53697" w:rsidP="000B175B">
      <w:pPr>
        <w:tabs>
          <w:tab w:val="right" w:pos="2155"/>
        </w:tabs>
        <w:spacing w:after="80"/>
        <w:ind w:left="680"/>
        <w:rPr>
          <w:u w:val="single"/>
        </w:rPr>
      </w:pPr>
      <w:r>
        <w:rPr>
          <w:u w:val="single"/>
        </w:rPr>
        <w:tab/>
      </w:r>
    </w:p>
  </w:footnote>
  <w:footnote w:type="continuationSeparator" w:id="0">
    <w:p w14:paraId="51A55577" w14:textId="77777777" w:rsidR="00B53697" w:rsidRPr="00FC68B7" w:rsidRDefault="00B53697" w:rsidP="00FC68B7">
      <w:pPr>
        <w:tabs>
          <w:tab w:val="left" w:pos="2155"/>
        </w:tabs>
        <w:spacing w:after="80"/>
        <w:ind w:left="680"/>
        <w:rPr>
          <w:u w:val="single"/>
        </w:rPr>
      </w:pPr>
      <w:r>
        <w:rPr>
          <w:u w:val="single"/>
        </w:rPr>
        <w:tab/>
      </w:r>
    </w:p>
  </w:footnote>
  <w:footnote w:type="continuationNotice" w:id="1">
    <w:p w14:paraId="182A5AF0" w14:textId="77777777" w:rsidR="00B53697" w:rsidRDefault="00B53697"/>
  </w:footnote>
  <w:footnote w:id="2">
    <w:p w14:paraId="026E79DD" w14:textId="04FB7253" w:rsidR="005D5923" w:rsidRPr="005D5923" w:rsidRDefault="005D5923" w:rsidP="005D5923">
      <w:pPr>
        <w:pStyle w:val="FootnoteText"/>
        <w:tabs>
          <w:tab w:val="left" w:pos="1701"/>
        </w:tabs>
        <w:ind w:firstLine="0"/>
        <w:rPr>
          <w:lang w:val="fr-CH"/>
        </w:rPr>
      </w:pPr>
      <w:r>
        <w:rPr>
          <w:rStyle w:val="FootnoteReference"/>
        </w:rPr>
        <w:t>*</w:t>
      </w:r>
      <w:r>
        <w:t xml:space="preserve"> </w:t>
      </w:r>
      <w:r>
        <w:tab/>
        <w:t>I</w:t>
      </w:r>
      <w:r w:rsidRPr="004B6798">
        <w:t>n accordance with the programme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A0E8" w14:textId="5411B445" w:rsidR="00E436B1" w:rsidRPr="007744BA" w:rsidRDefault="00E436B1">
    <w:pPr>
      <w:pStyle w:val="Header"/>
    </w:pPr>
    <w:r>
      <w:t>ST/SG/AC.10/C.3/2019/</w:t>
    </w:r>
    <w:r w:rsidR="000746A5">
      <w:t>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15EED" w14:textId="43C3C08E" w:rsidR="00E436B1" w:rsidRPr="007744BA" w:rsidRDefault="00E436B1" w:rsidP="007744BA">
    <w:pPr>
      <w:pStyle w:val="Header"/>
      <w:jc w:val="right"/>
    </w:pPr>
    <w:r>
      <w:t>ST/SG/AC.10/C.3/2019/</w:t>
    </w:r>
    <w:r w:rsidR="000746A5">
      <w:t>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E16B9E"/>
    <w:multiLevelType w:val="multilevel"/>
    <w:tmpl w:val="9D241B3E"/>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160" w:hanging="360"/>
      </w:pPr>
      <w:rPr>
        <w:rFonts w:hint="default"/>
        <w:color w:val="FF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2611F"/>
    <w:multiLevelType w:val="hybridMultilevel"/>
    <w:tmpl w:val="68A86E02"/>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37006B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D7499"/>
    <w:multiLevelType w:val="hybridMultilevel"/>
    <w:tmpl w:val="A5FA0AEE"/>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3F49FA0">
      <w:start w:val="1"/>
      <w:numFmt w:val="lowerLetter"/>
      <w:lvlText w:val="(%3)"/>
      <w:lvlJc w:val="left"/>
      <w:pPr>
        <w:ind w:left="216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7"/>
  </w:num>
  <w:num w:numId="16">
    <w:abstractNumId w:val="13"/>
  </w:num>
  <w:num w:numId="17">
    <w:abstractNumId w:val="14"/>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BA"/>
    <w:rsid w:val="00044978"/>
    <w:rsid w:val="00050F6B"/>
    <w:rsid w:val="00066427"/>
    <w:rsid w:val="00066440"/>
    <w:rsid w:val="00072C8C"/>
    <w:rsid w:val="000743D2"/>
    <w:rsid w:val="000746A5"/>
    <w:rsid w:val="00075921"/>
    <w:rsid w:val="000841D3"/>
    <w:rsid w:val="00091419"/>
    <w:rsid w:val="000931C0"/>
    <w:rsid w:val="000A4D0A"/>
    <w:rsid w:val="000B175B"/>
    <w:rsid w:val="000B3A0F"/>
    <w:rsid w:val="000B5EE7"/>
    <w:rsid w:val="000C31CA"/>
    <w:rsid w:val="000D2231"/>
    <w:rsid w:val="000E0415"/>
    <w:rsid w:val="000E20C8"/>
    <w:rsid w:val="00100DC1"/>
    <w:rsid w:val="0010254F"/>
    <w:rsid w:val="00110B08"/>
    <w:rsid w:val="00115C8A"/>
    <w:rsid w:val="00117787"/>
    <w:rsid w:val="00121B90"/>
    <w:rsid w:val="00122012"/>
    <w:rsid w:val="00131D42"/>
    <w:rsid w:val="00136858"/>
    <w:rsid w:val="001416C1"/>
    <w:rsid w:val="001633FB"/>
    <w:rsid w:val="00165B68"/>
    <w:rsid w:val="00183240"/>
    <w:rsid w:val="001850B2"/>
    <w:rsid w:val="00186F5F"/>
    <w:rsid w:val="0019345D"/>
    <w:rsid w:val="001A0077"/>
    <w:rsid w:val="001A1A13"/>
    <w:rsid w:val="001B20D6"/>
    <w:rsid w:val="001B4B04"/>
    <w:rsid w:val="001C10D8"/>
    <w:rsid w:val="001C6663"/>
    <w:rsid w:val="001C7895"/>
    <w:rsid w:val="001D26DF"/>
    <w:rsid w:val="001D2FDC"/>
    <w:rsid w:val="001D7E79"/>
    <w:rsid w:val="001E08A4"/>
    <w:rsid w:val="001E0D2C"/>
    <w:rsid w:val="001E237E"/>
    <w:rsid w:val="001E3FDA"/>
    <w:rsid w:val="00206CC7"/>
    <w:rsid w:val="00211E0B"/>
    <w:rsid w:val="002305F1"/>
    <w:rsid w:val="002309A7"/>
    <w:rsid w:val="00234C03"/>
    <w:rsid w:val="00237785"/>
    <w:rsid w:val="00240207"/>
    <w:rsid w:val="00241466"/>
    <w:rsid w:val="0025280C"/>
    <w:rsid w:val="00260092"/>
    <w:rsid w:val="00267C40"/>
    <w:rsid w:val="002725CA"/>
    <w:rsid w:val="00277A8F"/>
    <w:rsid w:val="00280EB7"/>
    <w:rsid w:val="00290C99"/>
    <w:rsid w:val="00297C2F"/>
    <w:rsid w:val="002A01B6"/>
    <w:rsid w:val="002B1CDA"/>
    <w:rsid w:val="002C0E43"/>
    <w:rsid w:val="002C5ECF"/>
    <w:rsid w:val="002C7630"/>
    <w:rsid w:val="002F6F97"/>
    <w:rsid w:val="003107FA"/>
    <w:rsid w:val="00313BCB"/>
    <w:rsid w:val="00314340"/>
    <w:rsid w:val="0031558C"/>
    <w:rsid w:val="003229D8"/>
    <w:rsid w:val="00335FEB"/>
    <w:rsid w:val="003425B6"/>
    <w:rsid w:val="003430D7"/>
    <w:rsid w:val="0035199D"/>
    <w:rsid w:val="00354EDE"/>
    <w:rsid w:val="00357A58"/>
    <w:rsid w:val="003629E5"/>
    <w:rsid w:val="003635A7"/>
    <w:rsid w:val="003674A2"/>
    <w:rsid w:val="00367B16"/>
    <w:rsid w:val="00371108"/>
    <w:rsid w:val="00371671"/>
    <w:rsid w:val="00372A12"/>
    <w:rsid w:val="0037734F"/>
    <w:rsid w:val="00380E7D"/>
    <w:rsid w:val="00382B7B"/>
    <w:rsid w:val="003925F8"/>
    <w:rsid w:val="0039277A"/>
    <w:rsid w:val="003972E0"/>
    <w:rsid w:val="00397DE6"/>
    <w:rsid w:val="003C2CC4"/>
    <w:rsid w:val="003C5C0F"/>
    <w:rsid w:val="003D4B23"/>
    <w:rsid w:val="003E4D18"/>
    <w:rsid w:val="003E79FB"/>
    <w:rsid w:val="003E7DFA"/>
    <w:rsid w:val="003F170A"/>
    <w:rsid w:val="003F2322"/>
    <w:rsid w:val="00400926"/>
    <w:rsid w:val="00405D02"/>
    <w:rsid w:val="0041789F"/>
    <w:rsid w:val="004325CB"/>
    <w:rsid w:val="004327AC"/>
    <w:rsid w:val="00437F3F"/>
    <w:rsid w:val="004460E5"/>
    <w:rsid w:val="00446498"/>
    <w:rsid w:val="00446DE4"/>
    <w:rsid w:val="00452FF1"/>
    <w:rsid w:val="00454036"/>
    <w:rsid w:val="004567EE"/>
    <w:rsid w:val="0048294E"/>
    <w:rsid w:val="0048380A"/>
    <w:rsid w:val="00487B72"/>
    <w:rsid w:val="0049149A"/>
    <w:rsid w:val="004A34F1"/>
    <w:rsid w:val="004B2C9D"/>
    <w:rsid w:val="004C37AF"/>
    <w:rsid w:val="004C67E0"/>
    <w:rsid w:val="004D4398"/>
    <w:rsid w:val="00506DE1"/>
    <w:rsid w:val="00510ED1"/>
    <w:rsid w:val="00517A3F"/>
    <w:rsid w:val="0052164A"/>
    <w:rsid w:val="00527910"/>
    <w:rsid w:val="005372D3"/>
    <w:rsid w:val="005420F2"/>
    <w:rsid w:val="0054752D"/>
    <w:rsid w:val="0057376E"/>
    <w:rsid w:val="00590144"/>
    <w:rsid w:val="005A509F"/>
    <w:rsid w:val="005A58DA"/>
    <w:rsid w:val="005B2187"/>
    <w:rsid w:val="005B307A"/>
    <w:rsid w:val="005B3DB3"/>
    <w:rsid w:val="005B6BFE"/>
    <w:rsid w:val="005C6D57"/>
    <w:rsid w:val="005D5923"/>
    <w:rsid w:val="005E5E2D"/>
    <w:rsid w:val="005E6656"/>
    <w:rsid w:val="005E774E"/>
    <w:rsid w:val="005F04CE"/>
    <w:rsid w:val="005F5402"/>
    <w:rsid w:val="005F6802"/>
    <w:rsid w:val="00605012"/>
    <w:rsid w:val="006053B4"/>
    <w:rsid w:val="00611FC4"/>
    <w:rsid w:val="00612813"/>
    <w:rsid w:val="006128A1"/>
    <w:rsid w:val="00615026"/>
    <w:rsid w:val="006176FB"/>
    <w:rsid w:val="0062315D"/>
    <w:rsid w:val="0063419C"/>
    <w:rsid w:val="00640B26"/>
    <w:rsid w:val="006500BA"/>
    <w:rsid w:val="00651BAD"/>
    <w:rsid w:val="00665DA7"/>
    <w:rsid w:val="00674993"/>
    <w:rsid w:val="00681D45"/>
    <w:rsid w:val="00682677"/>
    <w:rsid w:val="00694ED2"/>
    <w:rsid w:val="006962D7"/>
    <w:rsid w:val="00697DC7"/>
    <w:rsid w:val="006A3776"/>
    <w:rsid w:val="006A5B46"/>
    <w:rsid w:val="006A7392"/>
    <w:rsid w:val="006B2A14"/>
    <w:rsid w:val="006C0D34"/>
    <w:rsid w:val="006C331B"/>
    <w:rsid w:val="006C7E11"/>
    <w:rsid w:val="006D0F0C"/>
    <w:rsid w:val="006D2A3D"/>
    <w:rsid w:val="006D3D2F"/>
    <w:rsid w:val="006E564B"/>
    <w:rsid w:val="006F2673"/>
    <w:rsid w:val="006F42B7"/>
    <w:rsid w:val="00705E66"/>
    <w:rsid w:val="00706F97"/>
    <w:rsid w:val="0072632A"/>
    <w:rsid w:val="00737271"/>
    <w:rsid w:val="00745869"/>
    <w:rsid w:val="00771CD3"/>
    <w:rsid w:val="0077367B"/>
    <w:rsid w:val="007744BA"/>
    <w:rsid w:val="00774D7C"/>
    <w:rsid w:val="00776294"/>
    <w:rsid w:val="00786ADF"/>
    <w:rsid w:val="00790791"/>
    <w:rsid w:val="007B6BA5"/>
    <w:rsid w:val="007C3390"/>
    <w:rsid w:val="007C4F4B"/>
    <w:rsid w:val="007D0EC9"/>
    <w:rsid w:val="007D208A"/>
    <w:rsid w:val="007E00BA"/>
    <w:rsid w:val="007F5627"/>
    <w:rsid w:val="007F58C4"/>
    <w:rsid w:val="007F6611"/>
    <w:rsid w:val="007F7A20"/>
    <w:rsid w:val="00812691"/>
    <w:rsid w:val="00813863"/>
    <w:rsid w:val="00815235"/>
    <w:rsid w:val="008175E9"/>
    <w:rsid w:val="008242D7"/>
    <w:rsid w:val="00826052"/>
    <w:rsid w:val="00832404"/>
    <w:rsid w:val="008373D9"/>
    <w:rsid w:val="00852576"/>
    <w:rsid w:val="00854C09"/>
    <w:rsid w:val="00862DBC"/>
    <w:rsid w:val="00867487"/>
    <w:rsid w:val="00871FD5"/>
    <w:rsid w:val="00875CF0"/>
    <w:rsid w:val="00892CF2"/>
    <w:rsid w:val="008957F6"/>
    <w:rsid w:val="00896305"/>
    <w:rsid w:val="008979B1"/>
    <w:rsid w:val="008A6B25"/>
    <w:rsid w:val="008A6C4F"/>
    <w:rsid w:val="008B53B0"/>
    <w:rsid w:val="008B607C"/>
    <w:rsid w:val="008B6D5E"/>
    <w:rsid w:val="008B71A4"/>
    <w:rsid w:val="008C1310"/>
    <w:rsid w:val="008C4988"/>
    <w:rsid w:val="008E0E46"/>
    <w:rsid w:val="008F73D7"/>
    <w:rsid w:val="0090237F"/>
    <w:rsid w:val="00905CD0"/>
    <w:rsid w:val="00915381"/>
    <w:rsid w:val="009159C8"/>
    <w:rsid w:val="00927984"/>
    <w:rsid w:val="00945A5D"/>
    <w:rsid w:val="00956E87"/>
    <w:rsid w:val="009608AB"/>
    <w:rsid w:val="00963CBA"/>
    <w:rsid w:val="00967CC3"/>
    <w:rsid w:val="00971AAE"/>
    <w:rsid w:val="0098143E"/>
    <w:rsid w:val="0099124E"/>
    <w:rsid w:val="00991261"/>
    <w:rsid w:val="00992825"/>
    <w:rsid w:val="009B0FB8"/>
    <w:rsid w:val="009B2991"/>
    <w:rsid w:val="009C1806"/>
    <w:rsid w:val="009C2E8C"/>
    <w:rsid w:val="009C3671"/>
    <w:rsid w:val="009C69F9"/>
    <w:rsid w:val="009F0F06"/>
    <w:rsid w:val="00A00C00"/>
    <w:rsid w:val="00A07BEE"/>
    <w:rsid w:val="00A134D8"/>
    <w:rsid w:val="00A1427D"/>
    <w:rsid w:val="00A21587"/>
    <w:rsid w:val="00A40C53"/>
    <w:rsid w:val="00A51A13"/>
    <w:rsid w:val="00A520DF"/>
    <w:rsid w:val="00A54800"/>
    <w:rsid w:val="00A60F48"/>
    <w:rsid w:val="00A6149E"/>
    <w:rsid w:val="00A64765"/>
    <w:rsid w:val="00A72F22"/>
    <w:rsid w:val="00A748A6"/>
    <w:rsid w:val="00A75EC9"/>
    <w:rsid w:val="00A768F9"/>
    <w:rsid w:val="00A80AF2"/>
    <w:rsid w:val="00A879A4"/>
    <w:rsid w:val="00A91894"/>
    <w:rsid w:val="00A9268A"/>
    <w:rsid w:val="00AB135B"/>
    <w:rsid w:val="00AB2046"/>
    <w:rsid w:val="00AB4247"/>
    <w:rsid w:val="00AB4CEB"/>
    <w:rsid w:val="00AC05ED"/>
    <w:rsid w:val="00AC6645"/>
    <w:rsid w:val="00AD4600"/>
    <w:rsid w:val="00B2574D"/>
    <w:rsid w:val="00B30179"/>
    <w:rsid w:val="00B3317B"/>
    <w:rsid w:val="00B371C7"/>
    <w:rsid w:val="00B40065"/>
    <w:rsid w:val="00B412EA"/>
    <w:rsid w:val="00B53697"/>
    <w:rsid w:val="00B54685"/>
    <w:rsid w:val="00B56DA4"/>
    <w:rsid w:val="00B72022"/>
    <w:rsid w:val="00B76BD9"/>
    <w:rsid w:val="00B81E12"/>
    <w:rsid w:val="00B8449E"/>
    <w:rsid w:val="00B93068"/>
    <w:rsid w:val="00BA2654"/>
    <w:rsid w:val="00BA523B"/>
    <w:rsid w:val="00BA58E6"/>
    <w:rsid w:val="00BB240C"/>
    <w:rsid w:val="00BC74E9"/>
    <w:rsid w:val="00BD2BD9"/>
    <w:rsid w:val="00BD4AEC"/>
    <w:rsid w:val="00BE03E7"/>
    <w:rsid w:val="00BE618E"/>
    <w:rsid w:val="00BF1573"/>
    <w:rsid w:val="00C16A0F"/>
    <w:rsid w:val="00C17B59"/>
    <w:rsid w:val="00C21981"/>
    <w:rsid w:val="00C241C2"/>
    <w:rsid w:val="00C26325"/>
    <w:rsid w:val="00C36226"/>
    <w:rsid w:val="00C463DD"/>
    <w:rsid w:val="00C51326"/>
    <w:rsid w:val="00C5492D"/>
    <w:rsid w:val="00C62F76"/>
    <w:rsid w:val="00C71107"/>
    <w:rsid w:val="00C745C3"/>
    <w:rsid w:val="00C91B5F"/>
    <w:rsid w:val="00C939DC"/>
    <w:rsid w:val="00C95DCA"/>
    <w:rsid w:val="00CA5A2D"/>
    <w:rsid w:val="00CA5E44"/>
    <w:rsid w:val="00CB1F7D"/>
    <w:rsid w:val="00CD3225"/>
    <w:rsid w:val="00CE4A8F"/>
    <w:rsid w:val="00CF2FF6"/>
    <w:rsid w:val="00D00B45"/>
    <w:rsid w:val="00D06C93"/>
    <w:rsid w:val="00D2031B"/>
    <w:rsid w:val="00D20A1F"/>
    <w:rsid w:val="00D20DFE"/>
    <w:rsid w:val="00D223B0"/>
    <w:rsid w:val="00D24756"/>
    <w:rsid w:val="00D25FE2"/>
    <w:rsid w:val="00D3428A"/>
    <w:rsid w:val="00D43252"/>
    <w:rsid w:val="00D57E17"/>
    <w:rsid w:val="00D753D8"/>
    <w:rsid w:val="00D81971"/>
    <w:rsid w:val="00D9049C"/>
    <w:rsid w:val="00D941D0"/>
    <w:rsid w:val="00D946A9"/>
    <w:rsid w:val="00D96CC5"/>
    <w:rsid w:val="00D978C6"/>
    <w:rsid w:val="00DA01D4"/>
    <w:rsid w:val="00DA67AD"/>
    <w:rsid w:val="00DB54CD"/>
    <w:rsid w:val="00DC1BB5"/>
    <w:rsid w:val="00DD4A9B"/>
    <w:rsid w:val="00DE0DF5"/>
    <w:rsid w:val="00DF00CF"/>
    <w:rsid w:val="00E01CCA"/>
    <w:rsid w:val="00E03CEE"/>
    <w:rsid w:val="00E130AB"/>
    <w:rsid w:val="00E21E18"/>
    <w:rsid w:val="00E25F39"/>
    <w:rsid w:val="00E2706F"/>
    <w:rsid w:val="00E31D33"/>
    <w:rsid w:val="00E37DF2"/>
    <w:rsid w:val="00E436B1"/>
    <w:rsid w:val="00E47903"/>
    <w:rsid w:val="00E563BB"/>
    <w:rsid w:val="00E5644E"/>
    <w:rsid w:val="00E61836"/>
    <w:rsid w:val="00E7260F"/>
    <w:rsid w:val="00E73FF7"/>
    <w:rsid w:val="00E8160B"/>
    <w:rsid w:val="00E8535A"/>
    <w:rsid w:val="00E914D2"/>
    <w:rsid w:val="00E924A5"/>
    <w:rsid w:val="00E96630"/>
    <w:rsid w:val="00EA772F"/>
    <w:rsid w:val="00EB220D"/>
    <w:rsid w:val="00EB4961"/>
    <w:rsid w:val="00EB61DB"/>
    <w:rsid w:val="00EB6832"/>
    <w:rsid w:val="00EC079D"/>
    <w:rsid w:val="00EC756D"/>
    <w:rsid w:val="00ED126A"/>
    <w:rsid w:val="00ED7A2A"/>
    <w:rsid w:val="00EF1D7F"/>
    <w:rsid w:val="00F04C04"/>
    <w:rsid w:val="00F11342"/>
    <w:rsid w:val="00F1175E"/>
    <w:rsid w:val="00F31DD1"/>
    <w:rsid w:val="00F34744"/>
    <w:rsid w:val="00F40658"/>
    <w:rsid w:val="00F40E75"/>
    <w:rsid w:val="00F46668"/>
    <w:rsid w:val="00F54674"/>
    <w:rsid w:val="00F62469"/>
    <w:rsid w:val="00F85974"/>
    <w:rsid w:val="00FA128B"/>
    <w:rsid w:val="00FA5E83"/>
    <w:rsid w:val="00FC165E"/>
    <w:rsid w:val="00FC68B7"/>
    <w:rsid w:val="00FD1D22"/>
    <w:rsid w:val="00FD6B2B"/>
    <w:rsid w:val="00FE14F8"/>
    <w:rsid w:val="00FE6F19"/>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099413"/>
  <w15:docId w15:val="{2C6B4649-3935-4570-A32F-D83528B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HChGChar">
    <w:name w:val="_ H _Ch_G Char"/>
    <w:link w:val="HChG"/>
    <w:locked/>
    <w:rsid w:val="007744BA"/>
    <w:rPr>
      <w:b/>
      <w:sz w:val="28"/>
      <w:lang w:eastAsia="en-US"/>
    </w:rPr>
  </w:style>
  <w:style w:type="character" w:customStyle="1" w:styleId="SingleTxtGChar">
    <w:name w:val="_ Single Txt_G Char"/>
    <w:link w:val="SingleTxtG"/>
    <w:qFormat/>
    <w:locked/>
    <w:rsid w:val="007744BA"/>
    <w:rPr>
      <w:lang w:eastAsia="en-US"/>
    </w:rPr>
  </w:style>
  <w:style w:type="character" w:customStyle="1" w:styleId="H23GChar">
    <w:name w:val="_ H_2/3_G Char"/>
    <w:link w:val="H23G"/>
    <w:locked/>
    <w:rsid w:val="007744BA"/>
    <w:rPr>
      <w:b/>
      <w:lang w:eastAsia="en-US"/>
    </w:rPr>
  </w:style>
  <w:style w:type="character" w:customStyle="1" w:styleId="H1GChar">
    <w:name w:val="_ H_1_G Char"/>
    <w:link w:val="H1G"/>
    <w:rsid w:val="003635A7"/>
    <w:rPr>
      <w:b/>
      <w:sz w:val="24"/>
      <w:lang w:eastAsia="en-US"/>
    </w:rPr>
  </w:style>
  <w:style w:type="character" w:customStyle="1" w:styleId="FootnoteTextChar">
    <w:name w:val="Footnote Text Char"/>
    <w:aliases w:val="5_G Char"/>
    <w:link w:val="FootnoteText"/>
    <w:rsid w:val="003635A7"/>
    <w:rPr>
      <w:sz w:val="18"/>
      <w:lang w:eastAsia="en-US"/>
    </w:rPr>
  </w:style>
  <w:style w:type="character" w:customStyle="1" w:styleId="SingleTxtGZchnZchn">
    <w:name w:val="_ Single Txt_G Zchn Zchn"/>
    <w:rsid w:val="0041789F"/>
    <w:rPr>
      <w:lang w:eastAsia="en-US"/>
    </w:rPr>
  </w:style>
  <w:style w:type="character" w:customStyle="1" w:styleId="CommentTextChar">
    <w:name w:val="Comment Text Char"/>
    <w:link w:val="CommentText"/>
    <w:semiHidden/>
    <w:rsid w:val="00CB1F7D"/>
    <w:rPr>
      <w:lang w:eastAsia="en-US"/>
    </w:rPr>
  </w:style>
  <w:style w:type="paragraph" w:styleId="BalloonText">
    <w:name w:val="Balloon Text"/>
    <w:basedOn w:val="Normal"/>
    <w:link w:val="BalloonTextChar"/>
    <w:rsid w:val="00CB1F7D"/>
    <w:pPr>
      <w:spacing w:line="240" w:lineRule="auto"/>
    </w:pPr>
    <w:rPr>
      <w:sz w:val="18"/>
      <w:szCs w:val="18"/>
    </w:rPr>
  </w:style>
  <w:style w:type="character" w:customStyle="1" w:styleId="BalloonTextChar">
    <w:name w:val="Balloon Text Char"/>
    <w:basedOn w:val="DefaultParagraphFont"/>
    <w:link w:val="BalloonText"/>
    <w:rsid w:val="00CB1F7D"/>
    <w:rPr>
      <w:sz w:val="18"/>
      <w:szCs w:val="18"/>
      <w:lang w:eastAsia="en-US"/>
    </w:rPr>
  </w:style>
  <w:style w:type="paragraph" w:styleId="ListParagraph">
    <w:name w:val="List Paragraph"/>
    <w:basedOn w:val="Normal"/>
    <w:uiPriority w:val="34"/>
    <w:qFormat/>
    <w:rsid w:val="00CF2FF6"/>
    <w:pPr>
      <w:ind w:left="720"/>
      <w:contextualSpacing/>
    </w:pPr>
  </w:style>
  <w:style w:type="paragraph" w:styleId="DocumentMap">
    <w:name w:val="Document Map"/>
    <w:basedOn w:val="Normal"/>
    <w:link w:val="DocumentMapChar"/>
    <w:semiHidden/>
    <w:unhideWhenUsed/>
    <w:rsid w:val="00E436B1"/>
    <w:pPr>
      <w:spacing w:line="240" w:lineRule="auto"/>
    </w:pPr>
    <w:rPr>
      <w:sz w:val="24"/>
      <w:szCs w:val="24"/>
    </w:rPr>
  </w:style>
  <w:style w:type="character" w:customStyle="1" w:styleId="DocumentMapChar">
    <w:name w:val="Document Map Char"/>
    <w:basedOn w:val="DefaultParagraphFont"/>
    <w:link w:val="DocumentMap"/>
    <w:semiHidden/>
    <w:rsid w:val="00E436B1"/>
    <w:rPr>
      <w:sz w:val="24"/>
      <w:szCs w:val="24"/>
      <w:lang w:eastAsia="en-US"/>
    </w:rPr>
  </w:style>
  <w:style w:type="paragraph" w:styleId="Revision">
    <w:name w:val="Revision"/>
    <w:hidden/>
    <w:uiPriority w:val="99"/>
    <w:semiHidden/>
    <w:rsid w:val="00BA523B"/>
    <w:rPr>
      <w:lang w:eastAsia="en-US"/>
    </w:rPr>
  </w:style>
  <w:style w:type="paragraph" w:styleId="CommentSubject">
    <w:name w:val="annotation subject"/>
    <w:basedOn w:val="CommentText"/>
    <w:next w:val="CommentText"/>
    <w:link w:val="CommentSubjectChar"/>
    <w:semiHidden/>
    <w:unhideWhenUsed/>
    <w:rsid w:val="00A768F9"/>
    <w:pPr>
      <w:spacing w:line="240" w:lineRule="auto"/>
    </w:pPr>
    <w:rPr>
      <w:b/>
      <w:bCs/>
    </w:rPr>
  </w:style>
  <w:style w:type="character" w:customStyle="1" w:styleId="CommentSubjectChar">
    <w:name w:val="Comment Subject Char"/>
    <w:basedOn w:val="CommentTextChar"/>
    <w:link w:val="CommentSubject"/>
    <w:semiHidden/>
    <w:rsid w:val="00A768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07602">
      <w:bodyDiv w:val="1"/>
      <w:marLeft w:val="0"/>
      <w:marRight w:val="0"/>
      <w:marTop w:val="0"/>
      <w:marBottom w:val="0"/>
      <w:divBdr>
        <w:top w:val="none" w:sz="0" w:space="0" w:color="auto"/>
        <w:left w:val="none" w:sz="0" w:space="0" w:color="auto"/>
        <w:bottom w:val="none" w:sz="0" w:space="0" w:color="auto"/>
        <w:right w:val="none" w:sz="0" w:space="0" w:color="auto"/>
      </w:divBdr>
      <w:divsChild>
        <w:div w:id="1154224760">
          <w:marLeft w:val="0"/>
          <w:marRight w:val="0"/>
          <w:marTop w:val="0"/>
          <w:marBottom w:val="0"/>
          <w:divBdr>
            <w:top w:val="none" w:sz="0" w:space="0" w:color="auto"/>
            <w:left w:val="none" w:sz="0" w:space="0" w:color="auto"/>
            <w:bottom w:val="none" w:sz="0" w:space="0" w:color="auto"/>
            <w:right w:val="none" w:sz="0" w:space="0" w:color="auto"/>
          </w:divBdr>
          <w:divsChild>
            <w:div w:id="1604268321">
              <w:marLeft w:val="0"/>
              <w:marRight w:val="0"/>
              <w:marTop w:val="0"/>
              <w:marBottom w:val="0"/>
              <w:divBdr>
                <w:top w:val="none" w:sz="0" w:space="0" w:color="auto"/>
                <w:left w:val="none" w:sz="0" w:space="0" w:color="auto"/>
                <w:bottom w:val="none" w:sz="0" w:space="0" w:color="auto"/>
                <w:right w:val="none" w:sz="0" w:space="0" w:color="auto"/>
              </w:divBdr>
              <w:divsChild>
                <w:div w:id="2796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1534">
      <w:bodyDiv w:val="1"/>
      <w:marLeft w:val="0"/>
      <w:marRight w:val="0"/>
      <w:marTop w:val="0"/>
      <w:marBottom w:val="0"/>
      <w:divBdr>
        <w:top w:val="none" w:sz="0" w:space="0" w:color="auto"/>
        <w:left w:val="none" w:sz="0" w:space="0" w:color="auto"/>
        <w:bottom w:val="none" w:sz="0" w:space="0" w:color="auto"/>
        <w:right w:val="none" w:sz="0" w:space="0" w:color="auto"/>
      </w:divBdr>
    </w:div>
    <w:div w:id="1574849116">
      <w:bodyDiv w:val="1"/>
      <w:marLeft w:val="0"/>
      <w:marRight w:val="0"/>
      <w:marTop w:val="0"/>
      <w:marBottom w:val="0"/>
      <w:divBdr>
        <w:top w:val="none" w:sz="0" w:space="0" w:color="auto"/>
        <w:left w:val="none" w:sz="0" w:space="0" w:color="auto"/>
        <w:bottom w:val="none" w:sz="0" w:space="0" w:color="auto"/>
        <w:right w:val="none" w:sz="0" w:space="0" w:color="auto"/>
      </w:divBdr>
    </w:div>
    <w:div w:id="1662654731">
      <w:bodyDiv w:val="1"/>
      <w:marLeft w:val="0"/>
      <w:marRight w:val="0"/>
      <w:marTop w:val="0"/>
      <w:marBottom w:val="0"/>
      <w:divBdr>
        <w:top w:val="none" w:sz="0" w:space="0" w:color="auto"/>
        <w:left w:val="none" w:sz="0" w:space="0" w:color="auto"/>
        <w:bottom w:val="none" w:sz="0" w:space="0" w:color="auto"/>
        <w:right w:val="none" w:sz="0" w:space="0" w:color="auto"/>
      </w:divBdr>
    </w:div>
    <w:div w:id="17291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14156-D588-49A6-8394-A46CE7C6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AC10_C3_E.dotm</Template>
  <TotalTime>23</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ST/SG/AC10/C4/106/Add1</dc:creator>
  <cp:lastModifiedBy>Laurence Berthet</cp:lastModifiedBy>
  <cp:revision>8</cp:revision>
  <cp:lastPrinted>2019-09-10T06:50:00Z</cp:lastPrinted>
  <dcterms:created xsi:type="dcterms:W3CDTF">2019-09-06T13:33:00Z</dcterms:created>
  <dcterms:modified xsi:type="dcterms:W3CDTF">2019-09-10T06:51:00Z</dcterms:modified>
</cp:coreProperties>
</file>