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C14945" w:rsidRPr="007B2B1F" w14:paraId="404AA76A" w14:textId="77777777" w:rsidTr="00C14945">
        <w:trPr>
          <w:trHeight w:val="851"/>
        </w:trPr>
        <w:tc>
          <w:tcPr>
            <w:tcW w:w="1259" w:type="dxa"/>
            <w:tcBorders>
              <w:top w:val="nil"/>
              <w:left w:val="nil"/>
              <w:bottom w:val="single" w:sz="4" w:space="0" w:color="auto"/>
              <w:right w:val="nil"/>
            </w:tcBorders>
            <w:shd w:val="clear" w:color="auto" w:fill="auto"/>
          </w:tcPr>
          <w:p w14:paraId="19D3D6F9" w14:textId="77777777" w:rsidR="00C14945" w:rsidRPr="007B2B1F" w:rsidRDefault="00C14945" w:rsidP="00C14945">
            <w:pPr>
              <w:spacing w:after="80" w:line="340" w:lineRule="exact"/>
            </w:pPr>
          </w:p>
        </w:tc>
        <w:tc>
          <w:tcPr>
            <w:tcW w:w="2236" w:type="dxa"/>
            <w:tcBorders>
              <w:top w:val="nil"/>
              <w:left w:val="nil"/>
              <w:bottom w:val="single" w:sz="4" w:space="0" w:color="auto"/>
              <w:right w:val="nil"/>
            </w:tcBorders>
            <w:shd w:val="clear" w:color="auto" w:fill="auto"/>
            <w:vAlign w:val="bottom"/>
          </w:tcPr>
          <w:p w14:paraId="6EEADF87" w14:textId="77777777" w:rsidR="00C14945" w:rsidRPr="007B2B1F" w:rsidRDefault="00C14945" w:rsidP="00C14945">
            <w:pPr>
              <w:spacing w:after="80" w:line="340" w:lineRule="exact"/>
              <w:rPr>
                <w:sz w:val="28"/>
                <w:szCs w:val="28"/>
              </w:rPr>
            </w:pPr>
            <w:r w:rsidRPr="007B2B1F">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14:paraId="438E2C6A" w14:textId="77777777" w:rsidR="00C14945" w:rsidRPr="007B2B1F" w:rsidRDefault="00C14945" w:rsidP="00A15A38">
            <w:pPr>
              <w:suppressAutoHyphens w:val="0"/>
              <w:spacing w:after="20"/>
              <w:jc w:val="right"/>
            </w:pPr>
            <w:r w:rsidRPr="007B2B1F">
              <w:rPr>
                <w:sz w:val="40"/>
              </w:rPr>
              <w:t>ST</w:t>
            </w:r>
            <w:r w:rsidR="00077628" w:rsidRPr="007B2B1F">
              <w:t>/SG/AC.10/C.3/201</w:t>
            </w:r>
            <w:r w:rsidR="003C09C7">
              <w:t>9</w:t>
            </w:r>
            <w:r w:rsidR="00077628" w:rsidRPr="007B2B1F">
              <w:t>/</w:t>
            </w:r>
            <w:r w:rsidR="00E030DB">
              <w:t>4</w:t>
            </w:r>
            <w:r w:rsidR="00694E5C">
              <w:t>4</w:t>
            </w:r>
          </w:p>
        </w:tc>
      </w:tr>
      <w:tr w:rsidR="00C14945" w:rsidRPr="007B2B1F" w14:paraId="589E1B16" w14:textId="77777777" w:rsidTr="00C14945">
        <w:trPr>
          <w:trHeight w:val="2835"/>
        </w:trPr>
        <w:tc>
          <w:tcPr>
            <w:tcW w:w="1259" w:type="dxa"/>
            <w:tcBorders>
              <w:top w:val="single" w:sz="4" w:space="0" w:color="auto"/>
              <w:left w:val="nil"/>
              <w:bottom w:val="single" w:sz="12" w:space="0" w:color="auto"/>
              <w:right w:val="nil"/>
            </w:tcBorders>
            <w:shd w:val="clear" w:color="auto" w:fill="auto"/>
          </w:tcPr>
          <w:p w14:paraId="0B055D3C" w14:textId="77777777" w:rsidR="00C14945" w:rsidRPr="007B2B1F" w:rsidRDefault="0019169E" w:rsidP="00C14945">
            <w:pPr>
              <w:spacing w:before="120"/>
              <w:jc w:val="center"/>
            </w:pPr>
            <w:r w:rsidRPr="007B2B1F">
              <w:rPr>
                <w:noProof/>
                <w:lang w:eastAsia="en-GB"/>
              </w:rPr>
              <w:drawing>
                <wp:inline distT="0" distB="0" distL="0" distR="0" wp14:anchorId="70995AA5" wp14:editId="46376F71">
                  <wp:extent cx="714375" cy="590550"/>
                  <wp:effectExtent l="0" t="0" r="0" b="0"/>
                  <wp:docPr id="1" name="Bild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_unlogo"/>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67D68476" w14:textId="77777777" w:rsidR="00C14945" w:rsidRPr="007B2B1F" w:rsidRDefault="00C14945" w:rsidP="00C14945">
            <w:pPr>
              <w:spacing w:before="120" w:line="420" w:lineRule="exact"/>
              <w:rPr>
                <w:b/>
                <w:sz w:val="40"/>
                <w:szCs w:val="40"/>
              </w:rPr>
            </w:pPr>
            <w:r w:rsidRPr="007B2B1F">
              <w:rPr>
                <w:b/>
                <w:sz w:val="40"/>
                <w:szCs w:val="40"/>
              </w:rPr>
              <w:t>Secretariat</w:t>
            </w:r>
          </w:p>
        </w:tc>
        <w:tc>
          <w:tcPr>
            <w:tcW w:w="2930" w:type="dxa"/>
            <w:tcBorders>
              <w:top w:val="single" w:sz="4" w:space="0" w:color="auto"/>
              <w:left w:val="nil"/>
              <w:bottom w:val="single" w:sz="12" w:space="0" w:color="auto"/>
              <w:right w:val="nil"/>
            </w:tcBorders>
            <w:shd w:val="clear" w:color="auto" w:fill="auto"/>
          </w:tcPr>
          <w:p w14:paraId="2BA48F84" w14:textId="77777777" w:rsidR="00C14945" w:rsidRPr="007B2B1F" w:rsidRDefault="00C14945" w:rsidP="00C14945">
            <w:pPr>
              <w:suppressAutoHyphens w:val="0"/>
              <w:spacing w:before="240" w:line="240" w:lineRule="exact"/>
            </w:pPr>
            <w:r w:rsidRPr="007B2B1F">
              <w:t>Distr.: General</w:t>
            </w:r>
          </w:p>
          <w:p w14:paraId="63227CF7" w14:textId="77777777" w:rsidR="00C14945" w:rsidRPr="007B2B1F" w:rsidRDefault="00EA1CC4" w:rsidP="00C14945">
            <w:pPr>
              <w:suppressAutoHyphens w:val="0"/>
            </w:pPr>
            <w:r>
              <w:t>9</w:t>
            </w:r>
            <w:r w:rsidR="00625A64">
              <w:t xml:space="preserve"> September 2019</w:t>
            </w:r>
          </w:p>
          <w:p w14:paraId="3D20EA8B" w14:textId="77777777" w:rsidR="00C14945" w:rsidRPr="007B2B1F" w:rsidRDefault="00C14945" w:rsidP="00C14945">
            <w:pPr>
              <w:suppressAutoHyphens w:val="0"/>
            </w:pPr>
          </w:p>
          <w:p w14:paraId="32D2B608" w14:textId="77777777" w:rsidR="00C14945" w:rsidRPr="007B2B1F" w:rsidRDefault="00C14945" w:rsidP="00C14945">
            <w:pPr>
              <w:suppressAutoHyphens w:val="0"/>
            </w:pPr>
            <w:r w:rsidRPr="007B2B1F">
              <w:t>Original: English</w:t>
            </w:r>
          </w:p>
        </w:tc>
      </w:tr>
    </w:tbl>
    <w:p w14:paraId="4481EE16" w14:textId="77777777" w:rsidR="00C14945" w:rsidRPr="007B2B1F" w:rsidRDefault="00C14945" w:rsidP="00C14945">
      <w:pPr>
        <w:spacing w:before="120" w:after="120"/>
        <w:rPr>
          <w:b/>
          <w:sz w:val="24"/>
          <w:szCs w:val="24"/>
        </w:rPr>
      </w:pPr>
      <w:r w:rsidRPr="007B2B1F">
        <w:rPr>
          <w:b/>
          <w:sz w:val="24"/>
          <w:szCs w:val="24"/>
        </w:rPr>
        <w:t>Committee of Experts on the Transport of Dangerous Goods</w:t>
      </w:r>
      <w:r w:rsidRPr="007B2B1F">
        <w:rPr>
          <w:b/>
          <w:sz w:val="24"/>
          <w:szCs w:val="24"/>
        </w:rPr>
        <w:br/>
        <w:t>and on the Globally Harmonized System of Classification</w:t>
      </w:r>
      <w:r w:rsidRPr="007B2B1F">
        <w:rPr>
          <w:b/>
          <w:sz w:val="24"/>
          <w:szCs w:val="24"/>
        </w:rPr>
        <w:br/>
        <w:t>and Labelling of Chemicals</w:t>
      </w:r>
    </w:p>
    <w:p w14:paraId="4797ACB1" w14:textId="77777777" w:rsidR="00C14945" w:rsidRPr="007B2B1F" w:rsidRDefault="00C14945" w:rsidP="00C14945">
      <w:pPr>
        <w:spacing w:before="120"/>
        <w:rPr>
          <w:b/>
        </w:rPr>
      </w:pPr>
      <w:r w:rsidRPr="007B2B1F">
        <w:rPr>
          <w:b/>
        </w:rPr>
        <w:t>Sub-Committee of Experts on the Transport of Dangerous Goods</w:t>
      </w:r>
    </w:p>
    <w:p w14:paraId="20C8CEF4" w14:textId="77777777" w:rsidR="00C14945" w:rsidRPr="007B2B1F" w:rsidRDefault="00953E97" w:rsidP="00C14945">
      <w:pPr>
        <w:spacing w:before="120"/>
        <w:rPr>
          <w:b/>
        </w:rPr>
      </w:pPr>
      <w:r>
        <w:rPr>
          <w:b/>
        </w:rPr>
        <w:t>Fifty-</w:t>
      </w:r>
      <w:r w:rsidR="00A418A8">
        <w:rPr>
          <w:b/>
        </w:rPr>
        <w:t>sixth</w:t>
      </w:r>
      <w:r w:rsidR="00C14945" w:rsidRPr="007B2B1F">
        <w:rPr>
          <w:b/>
        </w:rPr>
        <w:t xml:space="preserve"> session</w:t>
      </w:r>
    </w:p>
    <w:p w14:paraId="52B83983" w14:textId="77777777" w:rsidR="00C14945" w:rsidRPr="007B2B1F" w:rsidRDefault="00C14945" w:rsidP="00C14945">
      <w:r w:rsidRPr="007B2B1F">
        <w:t xml:space="preserve">Geneva, </w:t>
      </w:r>
      <w:r w:rsidR="00A418A8">
        <w:t>2</w:t>
      </w:r>
      <w:r w:rsidR="00FC6BBC">
        <w:t>-</w:t>
      </w:r>
      <w:r w:rsidR="00060A06">
        <w:t>11</w:t>
      </w:r>
      <w:r w:rsidRPr="007B2B1F">
        <w:t xml:space="preserve"> </w:t>
      </w:r>
      <w:r w:rsidR="005B3660">
        <w:t>December</w:t>
      </w:r>
      <w:r w:rsidR="00D85E66">
        <w:t xml:space="preserve"> 201</w:t>
      </w:r>
      <w:r w:rsidR="005B3660">
        <w:t>9</w:t>
      </w:r>
    </w:p>
    <w:p w14:paraId="00832C63" w14:textId="77777777" w:rsidR="00C14945" w:rsidRPr="00694E5C" w:rsidRDefault="00C14945" w:rsidP="00C14945">
      <w:pPr>
        <w:rPr>
          <w:b/>
          <w:bCs/>
        </w:rPr>
      </w:pPr>
      <w:r w:rsidRPr="007B2B1F">
        <w:t xml:space="preserve">Item </w:t>
      </w:r>
      <w:r w:rsidR="00694E5C">
        <w:t>3</w:t>
      </w:r>
      <w:r w:rsidRPr="007B2B1F">
        <w:t xml:space="preserve"> of the provisional agenda</w:t>
      </w:r>
      <w:r w:rsidRPr="007B2B1F">
        <w:rPr>
          <w:b/>
        </w:rPr>
        <w:t xml:space="preserve"> </w:t>
      </w:r>
      <w:r w:rsidRPr="007B2B1F">
        <w:rPr>
          <w:b/>
        </w:rPr>
        <w:br/>
      </w:r>
      <w:r w:rsidR="00694E5C" w:rsidRPr="00694E5C">
        <w:rPr>
          <w:b/>
          <w:bCs/>
        </w:rPr>
        <w:t>Listing, classification and packing</w:t>
      </w:r>
    </w:p>
    <w:p w14:paraId="434A849E" w14:textId="77777777" w:rsidR="00694E5C" w:rsidRPr="006133E8" w:rsidRDefault="00694E5C" w:rsidP="00694E5C">
      <w:pPr>
        <w:pStyle w:val="HChG"/>
      </w:pPr>
      <w:r>
        <w:tab/>
      </w:r>
      <w:r>
        <w:tab/>
        <w:t>Limited and excepted quantities</w:t>
      </w:r>
    </w:p>
    <w:p w14:paraId="1CCE7326" w14:textId="77777777" w:rsidR="00694E5C" w:rsidRDefault="00694E5C" w:rsidP="00694E5C">
      <w:pPr>
        <w:pStyle w:val="H1G"/>
      </w:pPr>
      <w:r>
        <w:tab/>
      </w:r>
      <w:r>
        <w:tab/>
        <w:t>Transmitted by the expert from Canada</w:t>
      </w:r>
      <w:r>
        <w:rPr>
          <w:rStyle w:val="FootnoteReference"/>
        </w:rPr>
        <w:footnoteReference w:customMarkFollows="1" w:id="2"/>
        <w:t>*</w:t>
      </w:r>
    </w:p>
    <w:p w14:paraId="37243E44" w14:textId="77777777" w:rsidR="00694E5C" w:rsidRPr="00FA70A3" w:rsidRDefault="00694E5C" w:rsidP="00694E5C">
      <w:pPr>
        <w:pStyle w:val="HChG"/>
        <w:ind w:left="2268"/>
        <w:rPr>
          <w:lang w:eastAsia="en-US"/>
        </w:rPr>
      </w:pPr>
      <w:r w:rsidRPr="00FA70A3">
        <w:rPr>
          <w:lang w:eastAsia="en-US"/>
        </w:rPr>
        <w:t>Objective</w:t>
      </w:r>
    </w:p>
    <w:p w14:paraId="047578CB" w14:textId="77777777" w:rsidR="00694E5C" w:rsidRPr="00FA70A3" w:rsidRDefault="00694E5C" w:rsidP="00694E5C">
      <w:pPr>
        <w:pStyle w:val="SingleTxtG"/>
        <w:numPr>
          <w:ilvl w:val="0"/>
          <w:numId w:val="25"/>
        </w:numPr>
        <w:ind w:left="1134" w:firstLine="0"/>
      </w:pPr>
      <w:r>
        <w:t xml:space="preserve">Put forward a proposal to amend the </w:t>
      </w:r>
      <w:r w:rsidRPr="0012633E">
        <w:rPr>
          <w:i/>
        </w:rPr>
        <w:t>Guiding Principles for the</w:t>
      </w:r>
      <w:r>
        <w:t xml:space="preserve"> </w:t>
      </w:r>
      <w:r w:rsidRPr="0012633E">
        <w:rPr>
          <w:i/>
        </w:rPr>
        <w:t>Development of the UN Model Regulations</w:t>
      </w:r>
      <w:r>
        <w:t xml:space="preserve"> to provide further information on the perceived discrepancies between the Limited and Excepted Quantity thresholds</w:t>
      </w:r>
      <w:r w:rsidRPr="00FA70A3">
        <w:t>.</w:t>
      </w:r>
    </w:p>
    <w:p w14:paraId="29A7BF2A" w14:textId="77777777" w:rsidR="00694E5C" w:rsidRPr="00651163" w:rsidRDefault="00694E5C" w:rsidP="00694E5C">
      <w:pPr>
        <w:pStyle w:val="HChG"/>
      </w:pPr>
      <w:r>
        <w:tab/>
      </w:r>
      <w:r>
        <w:tab/>
        <w:t>Introduction</w:t>
      </w:r>
    </w:p>
    <w:p w14:paraId="235D89AC" w14:textId="77777777" w:rsidR="00694E5C" w:rsidRDefault="00694E5C" w:rsidP="00694E5C">
      <w:pPr>
        <w:pStyle w:val="SingleTxtG"/>
        <w:numPr>
          <w:ilvl w:val="0"/>
          <w:numId w:val="25"/>
        </w:numPr>
        <w:kinsoku w:val="0"/>
        <w:overflowPunct w:val="0"/>
        <w:autoSpaceDE w:val="0"/>
        <w:autoSpaceDN w:val="0"/>
        <w:adjustRightInd w:val="0"/>
        <w:snapToGrid w:val="0"/>
        <w:ind w:left="1134" w:firstLine="0"/>
      </w:pPr>
      <w:r>
        <w:t xml:space="preserve">At the fifty-fifth session of the Sub-Committee, Canada presented informal document </w:t>
      </w:r>
      <w:r w:rsidRPr="00AB4B25">
        <w:t>INF.11</w:t>
      </w:r>
      <w:r>
        <w:t>,</w:t>
      </w:r>
      <w:r w:rsidRPr="00C012B9">
        <w:t xml:space="preserve"> in </w:t>
      </w:r>
      <w:r>
        <w:t>which it sought member</w:t>
      </w:r>
      <w:r w:rsidR="00EA1CC4">
        <w:t>’s</w:t>
      </w:r>
      <w:r>
        <w:t xml:space="preserve"> support to clarify the discrepancies between the limited and excepted quantity provisions in order</w:t>
      </w:r>
      <w:r w:rsidRPr="009736AC">
        <w:t xml:space="preserve"> to enhance understanding and maximize compliance</w:t>
      </w:r>
      <w:r>
        <w:t>. The paper was well-received by most members of the Sub</w:t>
      </w:r>
      <w:r>
        <w:noBreakHyphen/>
        <w:t>Committee, who agreed that such a clarification would be useful.</w:t>
      </w:r>
    </w:p>
    <w:p w14:paraId="56775609" w14:textId="77777777" w:rsidR="00694E5C" w:rsidRPr="001D7A87" w:rsidRDefault="00694E5C" w:rsidP="00694E5C">
      <w:pPr>
        <w:pStyle w:val="SingleTxtG"/>
        <w:kinsoku w:val="0"/>
        <w:overflowPunct w:val="0"/>
        <w:autoSpaceDE w:val="0"/>
        <w:autoSpaceDN w:val="0"/>
        <w:adjustRightInd w:val="0"/>
        <w:snapToGrid w:val="0"/>
      </w:pPr>
      <w:r>
        <w:tab/>
        <w:t>3.</w:t>
      </w:r>
      <w:r>
        <w:tab/>
      </w:r>
      <w:r w:rsidRPr="001D7A87">
        <w:t xml:space="preserve">The Excepted Quantity (EQ) exemption allows for dangerous in inner </w:t>
      </w:r>
      <w:proofErr w:type="spellStart"/>
      <w:r w:rsidRPr="001D7A87">
        <w:t>packagings</w:t>
      </w:r>
      <w:proofErr w:type="spellEnd"/>
      <w:r w:rsidRPr="001D7A87">
        <w:t xml:space="preserve"> with a maximum volume of 30 mL and outer packaging of 500</w:t>
      </w:r>
      <w:r w:rsidR="00EA1CC4">
        <w:t xml:space="preserve"> </w:t>
      </w:r>
      <w:bookmarkStart w:id="0" w:name="_GoBack"/>
      <w:bookmarkEnd w:id="0"/>
      <w:r w:rsidRPr="001D7A87">
        <w:t>mL or 1,000 mL to be transported under relaxed conditions. The Limited Quantity (LQ) exemption allows the transport of much larger quantities (individual packages of maximum weight of 30 kg) of dangerous goods than EQ under similar conditions.</w:t>
      </w:r>
    </w:p>
    <w:p w14:paraId="3B2C8D35" w14:textId="77777777" w:rsidR="00694E5C" w:rsidRPr="001D7A87" w:rsidRDefault="00694E5C" w:rsidP="00694E5C">
      <w:pPr>
        <w:pStyle w:val="SingleTxtG"/>
        <w:kinsoku w:val="0"/>
        <w:overflowPunct w:val="0"/>
        <w:autoSpaceDE w:val="0"/>
        <w:autoSpaceDN w:val="0"/>
        <w:adjustRightInd w:val="0"/>
        <w:snapToGrid w:val="0"/>
      </w:pPr>
      <w:r>
        <w:lastRenderedPageBreak/>
        <w:tab/>
        <w:t>4.</w:t>
      </w:r>
      <w:r>
        <w:tab/>
      </w:r>
      <w:r w:rsidRPr="001D7A87">
        <w:t xml:space="preserve">Shippers, carriers, and trainers have expressed confusion regarding the discrepancies between the respective schemes, given that some dangerous goods are forbidden for transport in EQ – that is, very small quantities contained in robust and tested </w:t>
      </w:r>
      <w:proofErr w:type="spellStart"/>
      <w:r w:rsidRPr="001D7A87">
        <w:t>packagings</w:t>
      </w:r>
      <w:proofErr w:type="spellEnd"/>
      <w:r w:rsidRPr="001D7A87">
        <w:t xml:space="preserve">, yet, the same substances are permitted in LQ, that is, larger quantities contained in non-tested </w:t>
      </w:r>
      <w:proofErr w:type="spellStart"/>
      <w:r w:rsidRPr="001D7A87">
        <w:t>packagings</w:t>
      </w:r>
      <w:proofErr w:type="spellEnd"/>
      <w:r w:rsidRPr="001D7A87">
        <w:t xml:space="preserve">. </w:t>
      </w:r>
    </w:p>
    <w:p w14:paraId="37320059" w14:textId="77777777" w:rsidR="00694E5C" w:rsidRPr="001D7A87" w:rsidRDefault="00694E5C" w:rsidP="00694E5C">
      <w:pPr>
        <w:pStyle w:val="HChG"/>
        <w:ind w:left="2268"/>
      </w:pPr>
      <w:r w:rsidRPr="001D7A87">
        <w:t>Background</w:t>
      </w:r>
    </w:p>
    <w:p w14:paraId="144424DC" w14:textId="77777777" w:rsidR="00694E5C" w:rsidRPr="001D7A87" w:rsidRDefault="00694E5C" w:rsidP="00694E5C">
      <w:pPr>
        <w:pStyle w:val="SingleTxtG"/>
        <w:kinsoku w:val="0"/>
        <w:overflowPunct w:val="0"/>
        <w:autoSpaceDE w:val="0"/>
        <w:autoSpaceDN w:val="0"/>
        <w:adjustRightInd w:val="0"/>
        <w:snapToGrid w:val="0"/>
      </w:pPr>
      <w:r>
        <w:rPr>
          <w:lang w:val="en-US"/>
        </w:rPr>
        <w:tab/>
        <w:t>5.</w:t>
      </w:r>
      <w:r>
        <w:rPr>
          <w:lang w:val="en-US"/>
        </w:rPr>
        <w:tab/>
      </w:r>
      <w:r w:rsidRPr="001D7A87">
        <w:rPr>
          <w:lang w:val="en-US"/>
        </w:rPr>
        <w:t>As early as 1985, the Model Regulations allowed for the transport of relatively small quantities of selected dangerous goods under the LQ exemption. However, the Model Regulations did not include the EQ developed for air transportation by the International Civil Aviation Organization (ICAO). Therefore, owing to the lack of harmonization across all modes, the UN Model Regulations adopted, in 2007 the EQ exemption scheme from the ICAO, enabling the seamless transport of select substances across all modes.</w:t>
      </w:r>
    </w:p>
    <w:p w14:paraId="1546CD30" w14:textId="77777777" w:rsidR="00694E5C" w:rsidRPr="001D7A87" w:rsidRDefault="00694E5C" w:rsidP="00694E5C">
      <w:pPr>
        <w:pStyle w:val="SingleTxtG"/>
        <w:kinsoku w:val="0"/>
        <w:overflowPunct w:val="0"/>
        <w:autoSpaceDE w:val="0"/>
        <w:autoSpaceDN w:val="0"/>
        <w:adjustRightInd w:val="0"/>
        <w:snapToGrid w:val="0"/>
      </w:pPr>
      <w:r>
        <w:rPr>
          <w:lang w:val="en-US"/>
        </w:rPr>
        <w:tab/>
        <w:t>6.</w:t>
      </w:r>
      <w:r>
        <w:rPr>
          <w:lang w:val="en-US"/>
        </w:rPr>
        <w:tab/>
      </w:r>
      <w:r w:rsidRPr="001D7A87">
        <w:rPr>
          <w:lang w:val="en-US"/>
        </w:rPr>
        <w:t xml:space="preserve">The EQ thresholds for the respective dangerous goods correspond to the quantities permitted for transport on passenger aircraft. </w:t>
      </w:r>
      <w:r w:rsidRPr="001D7A87">
        <w:t>As these provisions were developed to maintain the safe transport of dangerous goods by air, some thresholds are more restrictive when compared to the LQ exemption. For instance, certain dangerous goods are totally prohibited from air transportation under the EQ exemption, as they pose a greater risk on board an aircraft.</w:t>
      </w:r>
    </w:p>
    <w:p w14:paraId="583A65EE" w14:textId="77777777" w:rsidR="00694E5C" w:rsidRPr="004F1115" w:rsidRDefault="00694E5C" w:rsidP="00694E5C">
      <w:pPr>
        <w:pStyle w:val="SingleTxtG"/>
        <w:kinsoku w:val="0"/>
        <w:overflowPunct w:val="0"/>
        <w:autoSpaceDE w:val="0"/>
        <w:autoSpaceDN w:val="0"/>
        <w:adjustRightInd w:val="0"/>
        <w:snapToGrid w:val="0"/>
      </w:pPr>
      <w:r>
        <w:tab/>
        <w:t>7.</w:t>
      </w:r>
      <w:r>
        <w:tab/>
        <w:t xml:space="preserve">Without this background information on the genesis and rationale behind the EQ provisions and quantities, it is difficult to comprehend why certain substances can be transported in LQ, yet, not in much smaller quantities under the EQ exemption. </w:t>
      </w:r>
    </w:p>
    <w:p w14:paraId="53653DD7" w14:textId="77777777" w:rsidR="00694E5C" w:rsidRPr="00BE32C6" w:rsidRDefault="00694E5C" w:rsidP="00694E5C">
      <w:pPr>
        <w:pStyle w:val="HChG"/>
        <w:ind w:left="2268"/>
      </w:pPr>
      <w:r>
        <w:t xml:space="preserve">Proposal </w:t>
      </w:r>
    </w:p>
    <w:p w14:paraId="6E024DE6" w14:textId="77777777" w:rsidR="00694E5C" w:rsidRDefault="00694E5C" w:rsidP="00694E5C">
      <w:pPr>
        <w:pStyle w:val="SingleTxtG"/>
        <w:tabs>
          <w:tab w:val="left" w:pos="1710"/>
          <w:tab w:val="left" w:pos="2160"/>
          <w:tab w:val="left" w:pos="2340"/>
        </w:tabs>
        <w:kinsoku w:val="0"/>
        <w:overflowPunct w:val="0"/>
        <w:autoSpaceDE w:val="0"/>
        <w:autoSpaceDN w:val="0"/>
        <w:adjustRightInd w:val="0"/>
        <w:snapToGrid w:val="0"/>
        <w:ind w:left="1170"/>
      </w:pPr>
      <w:r>
        <w:t>8.</w:t>
      </w:r>
      <w:r>
        <w:tab/>
        <w:t xml:space="preserve">Amend the text after the title Chapter 3.5, Excepted quantities in the </w:t>
      </w:r>
      <w:r w:rsidRPr="0042304C">
        <w:rPr>
          <w:i/>
        </w:rPr>
        <w:t>Guiding Principles for the</w:t>
      </w:r>
      <w:r>
        <w:t xml:space="preserve"> </w:t>
      </w:r>
      <w:r w:rsidRPr="0042304C">
        <w:rPr>
          <w:i/>
        </w:rPr>
        <w:t>Development of the UN Model Regulations</w:t>
      </w:r>
      <w:r>
        <w:t xml:space="preserve"> as follows (new text underlined, deleted text strikethrough):</w:t>
      </w:r>
    </w:p>
    <w:p w14:paraId="697366DD" w14:textId="77777777" w:rsidR="00694E5C" w:rsidRDefault="00694E5C" w:rsidP="00694E5C">
      <w:pPr>
        <w:pStyle w:val="SingleTxtG"/>
        <w:ind w:left="1701"/>
        <w:rPr>
          <w:lang w:val="en-US"/>
        </w:rPr>
      </w:pPr>
      <w:r>
        <w:t>“</w:t>
      </w:r>
      <w:r w:rsidRPr="0012633E">
        <w:rPr>
          <w:lang w:val="en-US"/>
        </w:rPr>
        <w:t xml:space="preserve">The rationale behind excepted quantity provisions is that selected dangerous goods packed in very small quantities, other than articles, with limitations on the quantity per inner packaging and outer packaging and in very robust, tested packaging pose a lesser risk in transport than do the same goods packed in larger volumes, and on this basis some relief from the requirements may be accepted. </w:t>
      </w:r>
      <w:r w:rsidRPr="00450AE7">
        <w:rPr>
          <w:strike/>
          <w:lang w:val="en-US"/>
        </w:rPr>
        <w:t>The substances permitted and the provisions applied are based on some 20 years’ experience in air transport, with no reported incidents.</w:t>
      </w:r>
      <w:r w:rsidRPr="001511BD">
        <w:rPr>
          <w:lang w:val="en-US"/>
        </w:rPr>
        <w:t xml:space="preserve"> </w:t>
      </w:r>
      <w:r w:rsidRPr="0012633E">
        <w:rPr>
          <w:lang w:val="en-US"/>
        </w:rPr>
        <w:t>There is no requirement for such dangerous goods to be labelled or for transport document provisions to be met but a suitable mark, based on the established air transport mark, is used to aid identification of packages.</w:t>
      </w:r>
    </w:p>
    <w:p w14:paraId="0B3E254C" w14:textId="77777777" w:rsidR="00694E5C" w:rsidRPr="0012633E" w:rsidRDefault="00694E5C" w:rsidP="00694E5C">
      <w:pPr>
        <w:pStyle w:val="SingleTxtG"/>
        <w:ind w:left="1701"/>
        <w:rPr>
          <w:lang w:val="en-US"/>
        </w:rPr>
      </w:pPr>
      <w:r w:rsidRPr="0012633E">
        <w:rPr>
          <w:lang w:val="en-US"/>
        </w:rPr>
        <w:t xml:space="preserve">Given the lower level of measures applied, a threshold </w:t>
      </w:r>
      <w:proofErr w:type="gramStart"/>
      <w:r w:rsidRPr="0012633E">
        <w:rPr>
          <w:lang w:val="en-US"/>
        </w:rPr>
        <w:t>limit</w:t>
      </w:r>
      <w:proofErr w:type="gramEnd"/>
      <w:r w:rsidRPr="0012633E">
        <w:rPr>
          <w:lang w:val="en-US"/>
        </w:rPr>
        <w:t xml:space="preserve"> </w:t>
      </w:r>
      <w:r>
        <w:rPr>
          <w:u w:val="single"/>
          <w:lang w:val="en-US"/>
        </w:rPr>
        <w:t>reflective of</w:t>
      </w:r>
      <w:r w:rsidRPr="00A71D1A">
        <w:rPr>
          <w:u w:val="single"/>
          <w:lang w:val="en-US"/>
        </w:rPr>
        <w:t xml:space="preserve"> the quantities allowed on passenger aircraft</w:t>
      </w:r>
      <w:r w:rsidRPr="0012633E">
        <w:rPr>
          <w:lang w:val="en-US"/>
        </w:rPr>
        <w:t xml:space="preserve"> has been placed on the total quantity of such goods that may be carried on any one cargo transport unit. Given the difficulty of calculating whether the threshold is reached based on the very small net mass of dangerous goods contained in each package, that threshold is set, uniquely, simply on the total number of packages of dangerous goods packed in excepted quantities. The limit is 1000 packages per cargo transport unit.</w:t>
      </w:r>
    </w:p>
    <w:p w14:paraId="6A29957F" w14:textId="77777777" w:rsidR="00694E5C" w:rsidRPr="00694E5C" w:rsidRDefault="00694E5C" w:rsidP="00694E5C">
      <w:pPr>
        <w:pStyle w:val="SingleTxtG"/>
        <w:ind w:left="1701"/>
        <w:rPr>
          <w:strike/>
          <w:lang w:val="en-US"/>
        </w:rPr>
      </w:pPr>
      <w:r w:rsidRPr="00694E5C">
        <w:rPr>
          <w:strike/>
          <w:lang w:val="en-US"/>
        </w:rPr>
        <w:t>Substances permitted in excepted quantities are based on those that may be transported by passenger aircraft by the 2005-2006 edition of the ICAO Technical Instructions. These are:</w:t>
      </w:r>
    </w:p>
    <w:p w14:paraId="58590E83" w14:textId="77777777" w:rsidR="00694E5C" w:rsidRDefault="00694E5C">
      <w:pPr>
        <w:suppressAutoHyphens w:val="0"/>
        <w:spacing w:line="240" w:lineRule="auto"/>
        <w:rPr>
          <w:u w:val="single"/>
          <w:lang w:val="en-US"/>
        </w:rPr>
      </w:pPr>
      <w:r>
        <w:rPr>
          <w:u w:val="single"/>
          <w:lang w:val="en-US"/>
        </w:rPr>
        <w:br w:type="page"/>
      </w:r>
    </w:p>
    <w:p w14:paraId="6B8EAE93" w14:textId="77777777" w:rsidR="00694E5C" w:rsidRPr="00694E5C" w:rsidRDefault="00694E5C" w:rsidP="00694E5C">
      <w:pPr>
        <w:pStyle w:val="SingleTxtG"/>
        <w:ind w:left="1701"/>
        <w:rPr>
          <w:u w:val="single"/>
          <w:lang w:val="en-US"/>
        </w:rPr>
      </w:pPr>
      <w:r w:rsidRPr="00694E5C">
        <w:rPr>
          <w:u w:val="single"/>
          <w:lang w:val="en-US"/>
        </w:rPr>
        <w:lastRenderedPageBreak/>
        <w:t xml:space="preserve">The Excepted Quantity provisions were first introduced in the International Civil Aviation Technical Instructions (ICAO TI) in 1987 to allow for the transportation of small quantities of dangerous goods by air under relaxed conditions. This scheme was later introduced in the Model Regulations for the uninterrupted movement of dangerous goods across all modes. </w:t>
      </w:r>
    </w:p>
    <w:p w14:paraId="5BCC2853" w14:textId="77777777" w:rsidR="00694E5C" w:rsidRPr="00694E5C" w:rsidRDefault="00694E5C" w:rsidP="00694E5C">
      <w:pPr>
        <w:pStyle w:val="SingleTxtG"/>
        <w:ind w:left="1701"/>
        <w:rPr>
          <w:u w:val="single"/>
          <w:lang w:val="en-US"/>
        </w:rPr>
      </w:pPr>
      <w:r w:rsidRPr="00694E5C">
        <w:rPr>
          <w:u w:val="single"/>
          <w:lang w:val="en-US"/>
        </w:rPr>
        <w:t xml:space="preserve">These provisions reflect safety considerations pertaining to transportation by air, and, as a result, the quantity limits and packaging requirements for selected dangerous goods are more stringent than those for limited quantities. </w:t>
      </w:r>
    </w:p>
    <w:p w14:paraId="4233D9C9" w14:textId="77777777" w:rsidR="00694E5C" w:rsidRPr="00694E5C" w:rsidRDefault="00694E5C" w:rsidP="00694E5C">
      <w:pPr>
        <w:pStyle w:val="SingleTxtG"/>
        <w:ind w:left="1701"/>
        <w:rPr>
          <w:i/>
          <w:u w:val="single"/>
        </w:rPr>
      </w:pPr>
      <w:r w:rsidRPr="00694E5C">
        <w:rPr>
          <w:u w:val="single"/>
          <w:lang w:val="en-US"/>
        </w:rPr>
        <w:t>The following table describes the methodology for determining the E Codes:</w:t>
      </w:r>
      <w:r w:rsidRPr="00694E5C">
        <w:rPr>
          <w:i/>
          <w:u w:val="single"/>
        </w:rPr>
        <w:t>”</w:t>
      </w:r>
    </w:p>
    <w:p w14:paraId="5A36C17E" w14:textId="77777777" w:rsidR="00694E5C" w:rsidRPr="009840D5" w:rsidRDefault="00694E5C" w:rsidP="00694E5C">
      <w:pPr>
        <w:spacing w:before="240"/>
        <w:jc w:val="center"/>
        <w:rPr>
          <w:u w:val="single"/>
          <w:lang w:val="en-US"/>
        </w:rPr>
      </w:pPr>
      <w:r>
        <w:rPr>
          <w:u w:val="single"/>
          <w:lang w:val="en-US"/>
        </w:rPr>
        <w:tab/>
      </w:r>
      <w:r>
        <w:rPr>
          <w:u w:val="single"/>
          <w:lang w:val="en-US"/>
        </w:rPr>
        <w:tab/>
      </w:r>
      <w:r>
        <w:rPr>
          <w:u w:val="single"/>
          <w:lang w:val="en-US"/>
        </w:rPr>
        <w:tab/>
      </w:r>
    </w:p>
    <w:p w14:paraId="01A9F7F0" w14:textId="77777777" w:rsidR="00694E5C" w:rsidRPr="007B2B1F" w:rsidRDefault="00694E5C" w:rsidP="00C14945">
      <w:pPr>
        <w:rPr>
          <w:b/>
        </w:rPr>
      </w:pPr>
    </w:p>
    <w:sectPr w:rsidR="00694E5C" w:rsidRPr="007B2B1F" w:rsidSect="00181506">
      <w:headerReference w:type="even" r:id="rId9"/>
      <w:headerReference w:type="default" r:id="rId10"/>
      <w:footerReference w:type="even" r:id="rId11"/>
      <w:footerReference w:type="default" r:id="rId12"/>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07BA3" w14:textId="77777777" w:rsidR="00C64173" w:rsidRDefault="00C64173"/>
  </w:endnote>
  <w:endnote w:type="continuationSeparator" w:id="0">
    <w:p w14:paraId="6AD3069E" w14:textId="77777777" w:rsidR="00C64173" w:rsidRDefault="00C64173"/>
  </w:endnote>
  <w:endnote w:type="continuationNotice" w:id="1">
    <w:p w14:paraId="097CCBBC" w14:textId="77777777" w:rsidR="00C64173" w:rsidRDefault="00C641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202E7" w14:textId="77777777" w:rsidR="00AA6F5C" w:rsidRPr="009D2A5B" w:rsidRDefault="00AA6F5C"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9A4BFF">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7A4A0" w14:textId="77777777" w:rsidR="00AA6F5C" w:rsidRPr="009D2A5B" w:rsidRDefault="00AA6F5C"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9A4BFF">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28612" w14:textId="77777777" w:rsidR="00C64173" w:rsidRPr="000B175B" w:rsidRDefault="00C64173" w:rsidP="000B175B">
      <w:pPr>
        <w:tabs>
          <w:tab w:val="right" w:pos="2155"/>
        </w:tabs>
        <w:spacing w:after="80"/>
        <w:ind w:left="680"/>
        <w:rPr>
          <w:u w:val="single"/>
        </w:rPr>
      </w:pPr>
      <w:r>
        <w:rPr>
          <w:u w:val="single"/>
        </w:rPr>
        <w:tab/>
      </w:r>
    </w:p>
  </w:footnote>
  <w:footnote w:type="continuationSeparator" w:id="0">
    <w:p w14:paraId="72100F91" w14:textId="77777777" w:rsidR="00C64173" w:rsidRPr="00FC68B7" w:rsidRDefault="00C64173" w:rsidP="00FC68B7">
      <w:pPr>
        <w:tabs>
          <w:tab w:val="left" w:pos="2155"/>
        </w:tabs>
        <w:spacing w:after="80"/>
        <w:ind w:left="680"/>
        <w:rPr>
          <w:u w:val="single"/>
        </w:rPr>
      </w:pPr>
      <w:r>
        <w:rPr>
          <w:u w:val="single"/>
        </w:rPr>
        <w:tab/>
      </w:r>
    </w:p>
  </w:footnote>
  <w:footnote w:type="continuationNotice" w:id="1">
    <w:p w14:paraId="37CF313B" w14:textId="77777777" w:rsidR="00C64173" w:rsidRDefault="00C64173"/>
  </w:footnote>
  <w:footnote w:id="2">
    <w:p w14:paraId="20792739" w14:textId="77777777" w:rsidR="00694E5C" w:rsidRPr="00CA02EE" w:rsidRDefault="00694E5C" w:rsidP="00694E5C">
      <w:pPr>
        <w:pStyle w:val="FootnoteText"/>
        <w:tabs>
          <w:tab w:val="clear" w:pos="1021"/>
          <w:tab w:val="right" w:pos="990"/>
          <w:tab w:val="left" w:pos="1418"/>
        </w:tabs>
        <w:ind w:firstLine="0"/>
        <w:rPr>
          <w:lang w:val="en-US"/>
        </w:rPr>
      </w:pPr>
      <w:r>
        <w:rPr>
          <w:rStyle w:val="FootnoteReference"/>
        </w:rPr>
        <w:t>*</w:t>
      </w:r>
      <w:r>
        <w:t xml:space="preserve"> </w:t>
      </w:r>
      <w:r>
        <w:tab/>
      </w:r>
      <w:r w:rsidRPr="00231BD3">
        <w:rPr>
          <w:color w:val="000000"/>
        </w:rPr>
        <w:t>In accordance with the programme of work of the Sub-Committee for</w:t>
      </w:r>
      <w:r w:rsidRPr="00231BD3">
        <w:t xml:space="preserve"> 2019–2020 approved by the Committee at its ninth session (see ST/SG/AC.10/C.3/108, paragraph 141 and ST/SG/AC.10/46, paragraph 14).</w:t>
      </w:r>
    </w:p>
    <w:p w14:paraId="62E278D7" w14:textId="77777777" w:rsidR="00694E5C" w:rsidRPr="00694E5C" w:rsidRDefault="00694E5C">
      <w:pPr>
        <w:pStyle w:val="FootnoteText"/>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08337" w14:textId="77777777" w:rsidR="00AA6F5C" w:rsidRPr="00023445" w:rsidRDefault="00AA6F5C" w:rsidP="00023445">
    <w:pPr>
      <w:pStyle w:val="Header"/>
      <w:rPr>
        <w:szCs w:val="18"/>
      </w:rPr>
    </w:pPr>
    <w:r w:rsidRPr="00023445">
      <w:rPr>
        <w:szCs w:val="18"/>
      </w:rPr>
      <w:t>S</w:t>
    </w:r>
    <w:r>
      <w:rPr>
        <w:szCs w:val="18"/>
      </w:rPr>
      <w:t>T/SG/AC.10/C.3/201</w:t>
    </w:r>
    <w:r w:rsidR="00E030DB">
      <w:rPr>
        <w:szCs w:val="18"/>
      </w:rPr>
      <w:t>9</w:t>
    </w:r>
    <w:r w:rsidR="001F50AE">
      <w:rPr>
        <w:szCs w:val="18"/>
      </w:rPr>
      <w:t>/</w:t>
    </w:r>
    <w:r w:rsidR="00E030DB">
      <w:rPr>
        <w:szCs w:val="18"/>
      </w:rPr>
      <w:t>4</w:t>
    </w:r>
    <w:r w:rsidR="00694E5C">
      <w:rPr>
        <w:szCs w:val="1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1F613" w14:textId="77777777" w:rsidR="00AA6F5C" w:rsidRPr="00023445" w:rsidRDefault="00AA6F5C" w:rsidP="00023445">
    <w:pPr>
      <w:pStyle w:val="Header"/>
      <w:jc w:val="right"/>
      <w:rPr>
        <w:szCs w:val="18"/>
      </w:rPr>
    </w:pPr>
    <w:r w:rsidRPr="00023445">
      <w:rPr>
        <w:szCs w:val="18"/>
      </w:rPr>
      <w:t>ST</w:t>
    </w:r>
    <w:r>
      <w:rPr>
        <w:szCs w:val="18"/>
      </w:rPr>
      <w:t>/SG/AC.10/C.3/201</w:t>
    </w:r>
    <w:r w:rsidR="00E030DB">
      <w:rPr>
        <w:szCs w:val="18"/>
      </w:rPr>
      <w:t>9</w:t>
    </w:r>
    <w:r w:rsidR="001F50AE">
      <w:rPr>
        <w:szCs w:val="18"/>
      </w:rPr>
      <w:t>/</w:t>
    </w:r>
    <w:r w:rsidR="00E030DB">
      <w:rPr>
        <w:szCs w:val="18"/>
      </w:rPr>
      <w:t>4</w:t>
    </w:r>
    <w:r w:rsidR="00694E5C">
      <w:rPr>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4C4C8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3C5898"/>
    <w:multiLevelType w:val="hybridMultilevel"/>
    <w:tmpl w:val="46CA02CC"/>
    <w:lvl w:ilvl="0" w:tplc="1528F3B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15:restartNumberingAfterBreak="0">
    <w:nsid w:val="0E212C73"/>
    <w:multiLevelType w:val="multilevel"/>
    <w:tmpl w:val="DF30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0AC37C2"/>
    <w:multiLevelType w:val="hybridMultilevel"/>
    <w:tmpl w:val="26AE626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3B198B"/>
    <w:multiLevelType w:val="hybridMultilevel"/>
    <w:tmpl w:val="533A4074"/>
    <w:lvl w:ilvl="0" w:tplc="C7E2B3E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240A41"/>
    <w:multiLevelType w:val="hybridMultilevel"/>
    <w:tmpl w:val="07CC6F4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601A4A"/>
    <w:multiLevelType w:val="hybridMultilevel"/>
    <w:tmpl w:val="833CF6F2"/>
    <w:lvl w:ilvl="0" w:tplc="C164A99A">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517954A9"/>
    <w:multiLevelType w:val="hybridMultilevel"/>
    <w:tmpl w:val="3C5285AC"/>
    <w:lvl w:ilvl="0" w:tplc="1528F3B0">
      <w:numFmt w:val="bullet"/>
      <w:lvlText w:val="—"/>
      <w:lvlJc w:val="left"/>
      <w:pPr>
        <w:ind w:left="1494"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70704973"/>
    <w:multiLevelType w:val="hybridMultilevel"/>
    <w:tmpl w:val="2BE8D6B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20"/>
  </w:num>
  <w:num w:numId="12">
    <w:abstractNumId w:val="18"/>
  </w:num>
  <w:num w:numId="13">
    <w:abstractNumId w:val="11"/>
  </w:num>
  <w:num w:numId="14">
    <w:abstractNumId w:val="23"/>
  </w:num>
  <w:num w:numId="15">
    <w:abstractNumId w:val="16"/>
  </w:num>
  <w:num w:numId="16">
    <w:abstractNumId w:val="12"/>
  </w:num>
  <w:num w:numId="17">
    <w:abstractNumId w:val="0"/>
  </w:num>
  <w:num w:numId="18">
    <w:abstractNumId w:val="14"/>
  </w:num>
  <w:num w:numId="19">
    <w:abstractNumId w:val="19"/>
  </w:num>
  <w:num w:numId="20">
    <w:abstractNumId w:val="24"/>
  </w:num>
  <w:num w:numId="21">
    <w:abstractNumId w:val="13"/>
  </w:num>
  <w:num w:numId="22">
    <w:abstractNumId w:val="22"/>
  </w:num>
  <w:num w:numId="23">
    <w:abstractNumId w:val="15"/>
  </w:num>
  <w:num w:numId="24">
    <w:abstractNumId w:val="21"/>
  </w:num>
  <w:num w:numId="2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4041"/>
    <w:rsid w:val="000062D2"/>
    <w:rsid w:val="00007271"/>
    <w:rsid w:val="00021776"/>
    <w:rsid w:val="00023445"/>
    <w:rsid w:val="000274B3"/>
    <w:rsid w:val="00030391"/>
    <w:rsid w:val="00037350"/>
    <w:rsid w:val="00037C49"/>
    <w:rsid w:val="00037F90"/>
    <w:rsid w:val="00046B1F"/>
    <w:rsid w:val="00050F6B"/>
    <w:rsid w:val="00051986"/>
    <w:rsid w:val="00051B9C"/>
    <w:rsid w:val="00057447"/>
    <w:rsid w:val="00057E97"/>
    <w:rsid w:val="00060A06"/>
    <w:rsid w:val="00066DF5"/>
    <w:rsid w:val="0006793E"/>
    <w:rsid w:val="00072C8C"/>
    <w:rsid w:val="000733B5"/>
    <w:rsid w:val="00077628"/>
    <w:rsid w:val="00081815"/>
    <w:rsid w:val="000862B1"/>
    <w:rsid w:val="0009003C"/>
    <w:rsid w:val="0009020C"/>
    <w:rsid w:val="000931C0"/>
    <w:rsid w:val="000972A0"/>
    <w:rsid w:val="000B0595"/>
    <w:rsid w:val="000B175B"/>
    <w:rsid w:val="000B3A0F"/>
    <w:rsid w:val="000B4EF7"/>
    <w:rsid w:val="000B57A4"/>
    <w:rsid w:val="000B75BF"/>
    <w:rsid w:val="000C15A9"/>
    <w:rsid w:val="000C2C03"/>
    <w:rsid w:val="000C2D2E"/>
    <w:rsid w:val="000C4D51"/>
    <w:rsid w:val="000C5384"/>
    <w:rsid w:val="000E0415"/>
    <w:rsid w:val="000E47CA"/>
    <w:rsid w:val="000F3402"/>
    <w:rsid w:val="001058BF"/>
    <w:rsid w:val="00107320"/>
    <w:rsid w:val="001103AA"/>
    <w:rsid w:val="00112D01"/>
    <w:rsid w:val="0011666B"/>
    <w:rsid w:val="00117D3E"/>
    <w:rsid w:val="00121DE7"/>
    <w:rsid w:val="001234B8"/>
    <w:rsid w:val="00124839"/>
    <w:rsid w:val="001275B3"/>
    <w:rsid w:val="001370F8"/>
    <w:rsid w:val="00153694"/>
    <w:rsid w:val="00154A06"/>
    <w:rsid w:val="00155068"/>
    <w:rsid w:val="00156F08"/>
    <w:rsid w:val="00157F2E"/>
    <w:rsid w:val="00160E58"/>
    <w:rsid w:val="00165F3A"/>
    <w:rsid w:val="00173E78"/>
    <w:rsid w:val="00181506"/>
    <w:rsid w:val="00183C52"/>
    <w:rsid w:val="0019169E"/>
    <w:rsid w:val="00197FE9"/>
    <w:rsid w:val="001A3501"/>
    <w:rsid w:val="001A354A"/>
    <w:rsid w:val="001B13A5"/>
    <w:rsid w:val="001B4B04"/>
    <w:rsid w:val="001C6663"/>
    <w:rsid w:val="001C7895"/>
    <w:rsid w:val="001C7C7A"/>
    <w:rsid w:val="001D0C8C"/>
    <w:rsid w:val="001D1419"/>
    <w:rsid w:val="001D26DF"/>
    <w:rsid w:val="001D3A03"/>
    <w:rsid w:val="001D7F46"/>
    <w:rsid w:val="001E0B9E"/>
    <w:rsid w:val="001E7B67"/>
    <w:rsid w:val="001F21BB"/>
    <w:rsid w:val="001F50AE"/>
    <w:rsid w:val="001F602E"/>
    <w:rsid w:val="001F7435"/>
    <w:rsid w:val="00202CD0"/>
    <w:rsid w:val="00202DA8"/>
    <w:rsid w:val="0021157B"/>
    <w:rsid w:val="00211E0B"/>
    <w:rsid w:val="00231BA1"/>
    <w:rsid w:val="00234C80"/>
    <w:rsid w:val="0023583E"/>
    <w:rsid w:val="0025047F"/>
    <w:rsid w:val="00260C8D"/>
    <w:rsid w:val="002653E7"/>
    <w:rsid w:val="00267F5F"/>
    <w:rsid w:val="00274EB4"/>
    <w:rsid w:val="00282200"/>
    <w:rsid w:val="00286B4D"/>
    <w:rsid w:val="0029049E"/>
    <w:rsid w:val="0029750B"/>
    <w:rsid w:val="00297EA8"/>
    <w:rsid w:val="002A4361"/>
    <w:rsid w:val="002A523D"/>
    <w:rsid w:val="002A603B"/>
    <w:rsid w:val="002A6B8F"/>
    <w:rsid w:val="002C03A0"/>
    <w:rsid w:val="002C18EF"/>
    <w:rsid w:val="002C674A"/>
    <w:rsid w:val="002D141D"/>
    <w:rsid w:val="002D4643"/>
    <w:rsid w:val="002D4B6C"/>
    <w:rsid w:val="002E09CE"/>
    <w:rsid w:val="002F175C"/>
    <w:rsid w:val="003027FF"/>
    <w:rsid w:val="00302E18"/>
    <w:rsid w:val="0030721A"/>
    <w:rsid w:val="00307AB6"/>
    <w:rsid w:val="00320B22"/>
    <w:rsid w:val="00321B4C"/>
    <w:rsid w:val="003229D8"/>
    <w:rsid w:val="0034446B"/>
    <w:rsid w:val="00344559"/>
    <w:rsid w:val="003453B6"/>
    <w:rsid w:val="003461FF"/>
    <w:rsid w:val="00347DDB"/>
    <w:rsid w:val="00350DA4"/>
    <w:rsid w:val="00352709"/>
    <w:rsid w:val="00363336"/>
    <w:rsid w:val="00371178"/>
    <w:rsid w:val="00383179"/>
    <w:rsid w:val="00392301"/>
    <w:rsid w:val="003927BA"/>
    <w:rsid w:val="00392DE1"/>
    <w:rsid w:val="003A0690"/>
    <w:rsid w:val="003A6810"/>
    <w:rsid w:val="003B1CA9"/>
    <w:rsid w:val="003B4A67"/>
    <w:rsid w:val="003B5F03"/>
    <w:rsid w:val="003C09C7"/>
    <w:rsid w:val="003C2CC4"/>
    <w:rsid w:val="003D4B23"/>
    <w:rsid w:val="003E312F"/>
    <w:rsid w:val="003E3D8A"/>
    <w:rsid w:val="003E6CBE"/>
    <w:rsid w:val="003E7B83"/>
    <w:rsid w:val="003F1019"/>
    <w:rsid w:val="00407087"/>
    <w:rsid w:val="00410C89"/>
    <w:rsid w:val="00413266"/>
    <w:rsid w:val="0042129D"/>
    <w:rsid w:val="00422E03"/>
    <w:rsid w:val="00425DBB"/>
    <w:rsid w:val="00426B9B"/>
    <w:rsid w:val="004325CB"/>
    <w:rsid w:val="0043402F"/>
    <w:rsid w:val="00442A83"/>
    <w:rsid w:val="0045413A"/>
    <w:rsid w:val="0045495B"/>
    <w:rsid w:val="0048397A"/>
    <w:rsid w:val="004A0E10"/>
    <w:rsid w:val="004A12F2"/>
    <w:rsid w:val="004A4BDC"/>
    <w:rsid w:val="004B4482"/>
    <w:rsid w:val="004B64EB"/>
    <w:rsid w:val="004C2461"/>
    <w:rsid w:val="004C333F"/>
    <w:rsid w:val="004C4010"/>
    <w:rsid w:val="004C40B9"/>
    <w:rsid w:val="004C4EE9"/>
    <w:rsid w:val="004C7462"/>
    <w:rsid w:val="004D4E04"/>
    <w:rsid w:val="004D5426"/>
    <w:rsid w:val="004D5ABD"/>
    <w:rsid w:val="004D7E81"/>
    <w:rsid w:val="004E0C05"/>
    <w:rsid w:val="004E15A8"/>
    <w:rsid w:val="004E5A51"/>
    <w:rsid w:val="004E77B2"/>
    <w:rsid w:val="004F012C"/>
    <w:rsid w:val="004F2670"/>
    <w:rsid w:val="00503DEB"/>
    <w:rsid w:val="00504B2D"/>
    <w:rsid w:val="0052136D"/>
    <w:rsid w:val="00522B58"/>
    <w:rsid w:val="0052775E"/>
    <w:rsid w:val="00527D3F"/>
    <w:rsid w:val="00533623"/>
    <w:rsid w:val="00535C90"/>
    <w:rsid w:val="005360FB"/>
    <w:rsid w:val="005413FA"/>
    <w:rsid w:val="005420F2"/>
    <w:rsid w:val="00544E1B"/>
    <w:rsid w:val="0054542B"/>
    <w:rsid w:val="00546993"/>
    <w:rsid w:val="00552A39"/>
    <w:rsid w:val="005556E0"/>
    <w:rsid w:val="00560D99"/>
    <w:rsid w:val="005628B6"/>
    <w:rsid w:val="00591D40"/>
    <w:rsid w:val="005A575C"/>
    <w:rsid w:val="005B3660"/>
    <w:rsid w:val="005B3DB3"/>
    <w:rsid w:val="005B4E13"/>
    <w:rsid w:val="005B6F4B"/>
    <w:rsid w:val="005B7982"/>
    <w:rsid w:val="005C6FBC"/>
    <w:rsid w:val="005D2D66"/>
    <w:rsid w:val="005D4BE6"/>
    <w:rsid w:val="005D68F4"/>
    <w:rsid w:val="005D7970"/>
    <w:rsid w:val="005E6A77"/>
    <w:rsid w:val="005F6DF9"/>
    <w:rsid w:val="005F7B75"/>
    <w:rsid w:val="006001EE"/>
    <w:rsid w:val="006035BD"/>
    <w:rsid w:val="00605042"/>
    <w:rsid w:val="00605B54"/>
    <w:rsid w:val="006075A5"/>
    <w:rsid w:val="00611232"/>
    <w:rsid w:val="00611681"/>
    <w:rsid w:val="00611FC4"/>
    <w:rsid w:val="00613196"/>
    <w:rsid w:val="006174F9"/>
    <w:rsid w:val="006176FB"/>
    <w:rsid w:val="00621BDE"/>
    <w:rsid w:val="00622024"/>
    <w:rsid w:val="00625568"/>
    <w:rsid w:val="00625A64"/>
    <w:rsid w:val="00634B2E"/>
    <w:rsid w:val="00640B26"/>
    <w:rsid w:val="00652D0A"/>
    <w:rsid w:val="006623D5"/>
    <w:rsid w:val="00662BB6"/>
    <w:rsid w:val="00667F8F"/>
    <w:rsid w:val="00675ACA"/>
    <w:rsid w:val="00682C07"/>
    <w:rsid w:val="00684C21"/>
    <w:rsid w:val="006912CD"/>
    <w:rsid w:val="00692E54"/>
    <w:rsid w:val="00694E5C"/>
    <w:rsid w:val="006A155E"/>
    <w:rsid w:val="006A2530"/>
    <w:rsid w:val="006A6E31"/>
    <w:rsid w:val="006B30B8"/>
    <w:rsid w:val="006B5767"/>
    <w:rsid w:val="006C1296"/>
    <w:rsid w:val="006C2238"/>
    <w:rsid w:val="006C3589"/>
    <w:rsid w:val="006C4652"/>
    <w:rsid w:val="006C5451"/>
    <w:rsid w:val="006C779F"/>
    <w:rsid w:val="006D37AF"/>
    <w:rsid w:val="006D3E0B"/>
    <w:rsid w:val="006D51D0"/>
    <w:rsid w:val="006E564B"/>
    <w:rsid w:val="006E638E"/>
    <w:rsid w:val="006E7191"/>
    <w:rsid w:val="006F01EF"/>
    <w:rsid w:val="006F0DDB"/>
    <w:rsid w:val="006F1496"/>
    <w:rsid w:val="006F33DD"/>
    <w:rsid w:val="00700EE8"/>
    <w:rsid w:val="00703577"/>
    <w:rsid w:val="00705894"/>
    <w:rsid w:val="00712D3E"/>
    <w:rsid w:val="00715700"/>
    <w:rsid w:val="00720D0C"/>
    <w:rsid w:val="00722BA8"/>
    <w:rsid w:val="0072632A"/>
    <w:rsid w:val="00731FF0"/>
    <w:rsid w:val="007327D5"/>
    <w:rsid w:val="00741709"/>
    <w:rsid w:val="00741A30"/>
    <w:rsid w:val="007429B8"/>
    <w:rsid w:val="007567AF"/>
    <w:rsid w:val="007611CF"/>
    <w:rsid w:val="007629C8"/>
    <w:rsid w:val="007642A4"/>
    <w:rsid w:val="0077047D"/>
    <w:rsid w:val="0078065F"/>
    <w:rsid w:val="00786E2F"/>
    <w:rsid w:val="007A2287"/>
    <w:rsid w:val="007B2B1F"/>
    <w:rsid w:val="007B6BA5"/>
    <w:rsid w:val="007C2CA9"/>
    <w:rsid w:val="007C3390"/>
    <w:rsid w:val="007C4F4B"/>
    <w:rsid w:val="007D7662"/>
    <w:rsid w:val="007E01E9"/>
    <w:rsid w:val="007E63F3"/>
    <w:rsid w:val="007F1888"/>
    <w:rsid w:val="007F6611"/>
    <w:rsid w:val="007F7106"/>
    <w:rsid w:val="008100FC"/>
    <w:rsid w:val="00811920"/>
    <w:rsid w:val="00815AD0"/>
    <w:rsid w:val="00816E46"/>
    <w:rsid w:val="00817DBA"/>
    <w:rsid w:val="00823D6C"/>
    <w:rsid w:val="008242D7"/>
    <w:rsid w:val="008257B1"/>
    <w:rsid w:val="00826E9A"/>
    <w:rsid w:val="00831179"/>
    <w:rsid w:val="008343BE"/>
    <w:rsid w:val="00843767"/>
    <w:rsid w:val="008458AA"/>
    <w:rsid w:val="008521A5"/>
    <w:rsid w:val="00853EBC"/>
    <w:rsid w:val="0086081B"/>
    <w:rsid w:val="0086171D"/>
    <w:rsid w:val="008679D9"/>
    <w:rsid w:val="00871389"/>
    <w:rsid w:val="00872459"/>
    <w:rsid w:val="00872DFA"/>
    <w:rsid w:val="008760E8"/>
    <w:rsid w:val="00882E80"/>
    <w:rsid w:val="00883999"/>
    <w:rsid w:val="00885B73"/>
    <w:rsid w:val="00887899"/>
    <w:rsid w:val="008878DE"/>
    <w:rsid w:val="008912EC"/>
    <w:rsid w:val="00892603"/>
    <w:rsid w:val="008979B1"/>
    <w:rsid w:val="008A6B25"/>
    <w:rsid w:val="008A6C4F"/>
    <w:rsid w:val="008B2335"/>
    <w:rsid w:val="008B5DF2"/>
    <w:rsid w:val="008B717B"/>
    <w:rsid w:val="008D2DF0"/>
    <w:rsid w:val="008D6F3C"/>
    <w:rsid w:val="008E0678"/>
    <w:rsid w:val="008E57F4"/>
    <w:rsid w:val="008F03AD"/>
    <w:rsid w:val="008F144E"/>
    <w:rsid w:val="0090194D"/>
    <w:rsid w:val="009079FF"/>
    <w:rsid w:val="00910A62"/>
    <w:rsid w:val="009119B2"/>
    <w:rsid w:val="0091237E"/>
    <w:rsid w:val="00916E19"/>
    <w:rsid w:val="009223CA"/>
    <w:rsid w:val="00927A75"/>
    <w:rsid w:val="009321E8"/>
    <w:rsid w:val="00932F3F"/>
    <w:rsid w:val="0093509F"/>
    <w:rsid w:val="00940F93"/>
    <w:rsid w:val="0094154D"/>
    <w:rsid w:val="00944398"/>
    <w:rsid w:val="0094558F"/>
    <w:rsid w:val="00953E97"/>
    <w:rsid w:val="00954711"/>
    <w:rsid w:val="009554F4"/>
    <w:rsid w:val="009603D2"/>
    <w:rsid w:val="009605B0"/>
    <w:rsid w:val="00961690"/>
    <w:rsid w:val="00962F62"/>
    <w:rsid w:val="00965EE3"/>
    <w:rsid w:val="009665DB"/>
    <w:rsid w:val="00970C9F"/>
    <w:rsid w:val="00972CFB"/>
    <w:rsid w:val="009730AF"/>
    <w:rsid w:val="009760F3"/>
    <w:rsid w:val="009839CD"/>
    <w:rsid w:val="00983C3B"/>
    <w:rsid w:val="009873ED"/>
    <w:rsid w:val="00991F58"/>
    <w:rsid w:val="009969E0"/>
    <w:rsid w:val="009A016F"/>
    <w:rsid w:val="009A0E8D"/>
    <w:rsid w:val="009A0F88"/>
    <w:rsid w:val="009A3A47"/>
    <w:rsid w:val="009A4BFF"/>
    <w:rsid w:val="009B1518"/>
    <w:rsid w:val="009B26E7"/>
    <w:rsid w:val="009C454F"/>
    <w:rsid w:val="009D2A5B"/>
    <w:rsid w:val="009E5C48"/>
    <w:rsid w:val="009F4DE9"/>
    <w:rsid w:val="009F6A26"/>
    <w:rsid w:val="009F721D"/>
    <w:rsid w:val="00A00A3F"/>
    <w:rsid w:val="00A01489"/>
    <w:rsid w:val="00A14A62"/>
    <w:rsid w:val="00A15A38"/>
    <w:rsid w:val="00A176A0"/>
    <w:rsid w:val="00A17DBF"/>
    <w:rsid w:val="00A2573C"/>
    <w:rsid w:val="00A3009E"/>
    <w:rsid w:val="00A3026E"/>
    <w:rsid w:val="00A338F1"/>
    <w:rsid w:val="00A35910"/>
    <w:rsid w:val="00A36DE6"/>
    <w:rsid w:val="00A418A8"/>
    <w:rsid w:val="00A41E76"/>
    <w:rsid w:val="00A43CEC"/>
    <w:rsid w:val="00A51C2B"/>
    <w:rsid w:val="00A658A6"/>
    <w:rsid w:val="00A66BB4"/>
    <w:rsid w:val="00A72F22"/>
    <w:rsid w:val="00A7360F"/>
    <w:rsid w:val="00A748A6"/>
    <w:rsid w:val="00A74AB0"/>
    <w:rsid w:val="00A769F4"/>
    <w:rsid w:val="00A776B4"/>
    <w:rsid w:val="00A80265"/>
    <w:rsid w:val="00A9176C"/>
    <w:rsid w:val="00A92930"/>
    <w:rsid w:val="00A94361"/>
    <w:rsid w:val="00A9587B"/>
    <w:rsid w:val="00A97439"/>
    <w:rsid w:val="00AA293C"/>
    <w:rsid w:val="00AA3817"/>
    <w:rsid w:val="00AA4BD0"/>
    <w:rsid w:val="00AA6F5C"/>
    <w:rsid w:val="00AB1C7D"/>
    <w:rsid w:val="00AB232E"/>
    <w:rsid w:val="00AC1D85"/>
    <w:rsid w:val="00AC6790"/>
    <w:rsid w:val="00AC72CA"/>
    <w:rsid w:val="00AE0FDA"/>
    <w:rsid w:val="00AE1804"/>
    <w:rsid w:val="00AE4A41"/>
    <w:rsid w:val="00AE76C0"/>
    <w:rsid w:val="00AF0E53"/>
    <w:rsid w:val="00AF17DB"/>
    <w:rsid w:val="00B04B62"/>
    <w:rsid w:val="00B0538F"/>
    <w:rsid w:val="00B11BB4"/>
    <w:rsid w:val="00B136A4"/>
    <w:rsid w:val="00B13DD7"/>
    <w:rsid w:val="00B22BC2"/>
    <w:rsid w:val="00B240A1"/>
    <w:rsid w:val="00B24349"/>
    <w:rsid w:val="00B30179"/>
    <w:rsid w:val="00B31895"/>
    <w:rsid w:val="00B37852"/>
    <w:rsid w:val="00B421C1"/>
    <w:rsid w:val="00B45128"/>
    <w:rsid w:val="00B50642"/>
    <w:rsid w:val="00B518AA"/>
    <w:rsid w:val="00B54EAD"/>
    <w:rsid w:val="00B55C71"/>
    <w:rsid w:val="00B56E4A"/>
    <w:rsid w:val="00B56E9C"/>
    <w:rsid w:val="00B61320"/>
    <w:rsid w:val="00B64B1F"/>
    <w:rsid w:val="00B6553F"/>
    <w:rsid w:val="00B70F1E"/>
    <w:rsid w:val="00B77D05"/>
    <w:rsid w:val="00B81206"/>
    <w:rsid w:val="00B81E12"/>
    <w:rsid w:val="00B858B2"/>
    <w:rsid w:val="00B86014"/>
    <w:rsid w:val="00B9414F"/>
    <w:rsid w:val="00BA4ED2"/>
    <w:rsid w:val="00BB7CD1"/>
    <w:rsid w:val="00BC38BF"/>
    <w:rsid w:val="00BC3FA0"/>
    <w:rsid w:val="00BC74E9"/>
    <w:rsid w:val="00BD28B6"/>
    <w:rsid w:val="00BF68A8"/>
    <w:rsid w:val="00C00584"/>
    <w:rsid w:val="00C050DF"/>
    <w:rsid w:val="00C10FE6"/>
    <w:rsid w:val="00C11A03"/>
    <w:rsid w:val="00C14945"/>
    <w:rsid w:val="00C16653"/>
    <w:rsid w:val="00C22C0C"/>
    <w:rsid w:val="00C32223"/>
    <w:rsid w:val="00C33595"/>
    <w:rsid w:val="00C37144"/>
    <w:rsid w:val="00C40026"/>
    <w:rsid w:val="00C42B3C"/>
    <w:rsid w:val="00C4527F"/>
    <w:rsid w:val="00C463DD"/>
    <w:rsid w:val="00C4724C"/>
    <w:rsid w:val="00C557D6"/>
    <w:rsid w:val="00C60319"/>
    <w:rsid w:val="00C629A0"/>
    <w:rsid w:val="00C62C07"/>
    <w:rsid w:val="00C63D2D"/>
    <w:rsid w:val="00C64173"/>
    <w:rsid w:val="00C64629"/>
    <w:rsid w:val="00C66798"/>
    <w:rsid w:val="00C745C3"/>
    <w:rsid w:val="00C84A21"/>
    <w:rsid w:val="00C90189"/>
    <w:rsid w:val="00CA5E01"/>
    <w:rsid w:val="00CB3E03"/>
    <w:rsid w:val="00CB5F93"/>
    <w:rsid w:val="00CC1ADB"/>
    <w:rsid w:val="00CD305F"/>
    <w:rsid w:val="00CD6056"/>
    <w:rsid w:val="00CE4A8F"/>
    <w:rsid w:val="00CE53C4"/>
    <w:rsid w:val="00CF559A"/>
    <w:rsid w:val="00CF7721"/>
    <w:rsid w:val="00D0663B"/>
    <w:rsid w:val="00D07D06"/>
    <w:rsid w:val="00D17DC5"/>
    <w:rsid w:val="00D2031B"/>
    <w:rsid w:val="00D25FE2"/>
    <w:rsid w:val="00D43252"/>
    <w:rsid w:val="00D47EEA"/>
    <w:rsid w:val="00D51E79"/>
    <w:rsid w:val="00D550D4"/>
    <w:rsid w:val="00D669EA"/>
    <w:rsid w:val="00D66F7C"/>
    <w:rsid w:val="00D773DF"/>
    <w:rsid w:val="00D838E4"/>
    <w:rsid w:val="00D84C5B"/>
    <w:rsid w:val="00D85E66"/>
    <w:rsid w:val="00D9255F"/>
    <w:rsid w:val="00D94663"/>
    <w:rsid w:val="00D95303"/>
    <w:rsid w:val="00D978C6"/>
    <w:rsid w:val="00DA3C1C"/>
    <w:rsid w:val="00DB6229"/>
    <w:rsid w:val="00DB62C7"/>
    <w:rsid w:val="00DB7605"/>
    <w:rsid w:val="00DC179E"/>
    <w:rsid w:val="00DD6F43"/>
    <w:rsid w:val="00DE4B5B"/>
    <w:rsid w:val="00DF1772"/>
    <w:rsid w:val="00DF469C"/>
    <w:rsid w:val="00DF7EE9"/>
    <w:rsid w:val="00E0214B"/>
    <w:rsid w:val="00E030DB"/>
    <w:rsid w:val="00E046DF"/>
    <w:rsid w:val="00E06187"/>
    <w:rsid w:val="00E06DD7"/>
    <w:rsid w:val="00E15557"/>
    <w:rsid w:val="00E17039"/>
    <w:rsid w:val="00E240D2"/>
    <w:rsid w:val="00E249DE"/>
    <w:rsid w:val="00E27346"/>
    <w:rsid w:val="00E300A7"/>
    <w:rsid w:val="00E36F73"/>
    <w:rsid w:val="00E41E29"/>
    <w:rsid w:val="00E46DAD"/>
    <w:rsid w:val="00E536D3"/>
    <w:rsid w:val="00E54C9E"/>
    <w:rsid w:val="00E71132"/>
    <w:rsid w:val="00E71610"/>
    <w:rsid w:val="00E71BC8"/>
    <w:rsid w:val="00E7260F"/>
    <w:rsid w:val="00E73F5D"/>
    <w:rsid w:val="00E77E4E"/>
    <w:rsid w:val="00E822CB"/>
    <w:rsid w:val="00E86A12"/>
    <w:rsid w:val="00E90372"/>
    <w:rsid w:val="00E96630"/>
    <w:rsid w:val="00EA1CC4"/>
    <w:rsid w:val="00EB04EA"/>
    <w:rsid w:val="00EB2884"/>
    <w:rsid w:val="00EC106A"/>
    <w:rsid w:val="00EC22C2"/>
    <w:rsid w:val="00EC4555"/>
    <w:rsid w:val="00EC5341"/>
    <w:rsid w:val="00EC73C8"/>
    <w:rsid w:val="00ED7A2A"/>
    <w:rsid w:val="00EE10AF"/>
    <w:rsid w:val="00EE32ED"/>
    <w:rsid w:val="00EE6B3A"/>
    <w:rsid w:val="00EF1D7F"/>
    <w:rsid w:val="00F009F4"/>
    <w:rsid w:val="00F049A3"/>
    <w:rsid w:val="00F15FDD"/>
    <w:rsid w:val="00F2270C"/>
    <w:rsid w:val="00F2392F"/>
    <w:rsid w:val="00F31E5F"/>
    <w:rsid w:val="00F32BB7"/>
    <w:rsid w:val="00F37110"/>
    <w:rsid w:val="00F44668"/>
    <w:rsid w:val="00F454F0"/>
    <w:rsid w:val="00F6100A"/>
    <w:rsid w:val="00F61ACB"/>
    <w:rsid w:val="00F65671"/>
    <w:rsid w:val="00F66565"/>
    <w:rsid w:val="00F72EB8"/>
    <w:rsid w:val="00F74D57"/>
    <w:rsid w:val="00F76B2F"/>
    <w:rsid w:val="00F84187"/>
    <w:rsid w:val="00F93781"/>
    <w:rsid w:val="00FA2FE2"/>
    <w:rsid w:val="00FA6B05"/>
    <w:rsid w:val="00FA7D7F"/>
    <w:rsid w:val="00FB1B60"/>
    <w:rsid w:val="00FB4DF6"/>
    <w:rsid w:val="00FB613B"/>
    <w:rsid w:val="00FC302D"/>
    <w:rsid w:val="00FC68B7"/>
    <w:rsid w:val="00FC6BBC"/>
    <w:rsid w:val="00FC7CF8"/>
    <w:rsid w:val="00FD1538"/>
    <w:rsid w:val="00FE106A"/>
    <w:rsid w:val="00FE298B"/>
    <w:rsid w:val="00FE595C"/>
    <w:rsid w:val="00FF145D"/>
    <w:rsid w:val="00FF190E"/>
    <w:rsid w:val="00FF600F"/>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D07BE6"/>
  <w14:defaultImageDpi w14:val="300"/>
  <w15:chartTrackingRefBased/>
  <w15:docId w15:val="{4DBCD104-4365-4FE2-95EB-CBED8849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paragraph" w:customStyle="1" w:styleId="Default">
    <w:name w:val="Default"/>
    <w:rsid w:val="00202CD0"/>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81506"/>
    <w:rPr>
      <w:b/>
      <w:sz w:val="28"/>
      <w:lang w:val="en-GB"/>
    </w:rPr>
  </w:style>
  <w:style w:type="character" w:customStyle="1" w:styleId="SingleTxtGChar">
    <w:name w:val="_ Single Txt_G Char"/>
    <w:link w:val="SingleTxtG"/>
    <w:rsid w:val="009839CD"/>
  </w:style>
  <w:style w:type="paragraph" w:styleId="ListParagraph">
    <w:name w:val="List Paragraph"/>
    <w:basedOn w:val="Normal"/>
    <w:uiPriority w:val="34"/>
    <w:rsid w:val="00694E5C"/>
    <w:pPr>
      <w:kinsoku w:val="0"/>
      <w:overflowPunct w:val="0"/>
      <w:autoSpaceDE w:val="0"/>
      <w:autoSpaceDN w:val="0"/>
      <w:adjustRightInd w:val="0"/>
      <w:snapToGrid w:val="0"/>
      <w:ind w:left="720"/>
      <w:contextualSpacing/>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15936">
      <w:bodyDiv w:val="1"/>
      <w:marLeft w:val="0"/>
      <w:marRight w:val="0"/>
      <w:marTop w:val="0"/>
      <w:marBottom w:val="0"/>
      <w:divBdr>
        <w:top w:val="none" w:sz="0" w:space="0" w:color="auto"/>
        <w:left w:val="none" w:sz="0" w:space="0" w:color="auto"/>
        <w:bottom w:val="none" w:sz="0" w:space="0" w:color="auto"/>
        <w:right w:val="none" w:sz="0" w:space="0" w:color="auto"/>
      </w:divBdr>
      <w:divsChild>
        <w:div w:id="1246106037">
          <w:marLeft w:val="-8325"/>
          <w:marRight w:val="0"/>
          <w:marTop w:val="0"/>
          <w:marBottom w:val="0"/>
          <w:divBdr>
            <w:top w:val="none" w:sz="0" w:space="0" w:color="auto"/>
            <w:left w:val="none" w:sz="0" w:space="0" w:color="auto"/>
            <w:bottom w:val="none" w:sz="0" w:space="0" w:color="auto"/>
            <w:right w:val="none" w:sz="0" w:space="0" w:color="auto"/>
          </w:divBdr>
        </w:div>
        <w:div w:id="1290286841">
          <w:marLeft w:val="0"/>
          <w:marRight w:val="0"/>
          <w:marTop w:val="0"/>
          <w:marBottom w:val="0"/>
          <w:divBdr>
            <w:top w:val="none" w:sz="0" w:space="0" w:color="auto"/>
            <w:left w:val="none" w:sz="0" w:space="0" w:color="auto"/>
            <w:bottom w:val="none" w:sz="0" w:space="0" w:color="auto"/>
            <w:right w:val="none" w:sz="0" w:space="0" w:color="auto"/>
          </w:divBdr>
        </w:div>
      </w:divsChild>
    </w:div>
    <w:div w:id="338898161">
      <w:bodyDiv w:val="1"/>
      <w:marLeft w:val="0"/>
      <w:marRight w:val="0"/>
      <w:marTop w:val="0"/>
      <w:marBottom w:val="0"/>
      <w:divBdr>
        <w:top w:val="none" w:sz="0" w:space="0" w:color="auto"/>
        <w:left w:val="none" w:sz="0" w:space="0" w:color="auto"/>
        <w:bottom w:val="none" w:sz="0" w:space="0" w:color="auto"/>
        <w:right w:val="none" w:sz="0" w:space="0" w:color="auto"/>
      </w:divBdr>
    </w:div>
    <w:div w:id="435634422">
      <w:bodyDiv w:val="1"/>
      <w:marLeft w:val="0"/>
      <w:marRight w:val="0"/>
      <w:marTop w:val="0"/>
      <w:marBottom w:val="0"/>
      <w:divBdr>
        <w:top w:val="none" w:sz="0" w:space="0" w:color="auto"/>
        <w:left w:val="none" w:sz="0" w:space="0" w:color="auto"/>
        <w:bottom w:val="none" w:sz="0" w:space="0" w:color="auto"/>
        <w:right w:val="none" w:sz="0" w:space="0" w:color="auto"/>
      </w:divBdr>
    </w:div>
    <w:div w:id="439423516">
      <w:bodyDiv w:val="1"/>
      <w:marLeft w:val="0"/>
      <w:marRight w:val="0"/>
      <w:marTop w:val="0"/>
      <w:marBottom w:val="0"/>
      <w:divBdr>
        <w:top w:val="none" w:sz="0" w:space="0" w:color="auto"/>
        <w:left w:val="none" w:sz="0" w:space="0" w:color="auto"/>
        <w:bottom w:val="none" w:sz="0" w:space="0" w:color="auto"/>
        <w:right w:val="none" w:sz="0" w:space="0" w:color="auto"/>
      </w:divBdr>
    </w:div>
    <w:div w:id="449012072">
      <w:bodyDiv w:val="1"/>
      <w:marLeft w:val="0"/>
      <w:marRight w:val="0"/>
      <w:marTop w:val="0"/>
      <w:marBottom w:val="0"/>
      <w:divBdr>
        <w:top w:val="none" w:sz="0" w:space="0" w:color="auto"/>
        <w:left w:val="none" w:sz="0" w:space="0" w:color="auto"/>
        <w:bottom w:val="none" w:sz="0" w:space="0" w:color="auto"/>
        <w:right w:val="none" w:sz="0" w:space="0" w:color="auto"/>
      </w:divBdr>
    </w:div>
    <w:div w:id="474613976">
      <w:bodyDiv w:val="1"/>
      <w:marLeft w:val="0"/>
      <w:marRight w:val="0"/>
      <w:marTop w:val="0"/>
      <w:marBottom w:val="0"/>
      <w:divBdr>
        <w:top w:val="none" w:sz="0" w:space="0" w:color="auto"/>
        <w:left w:val="none" w:sz="0" w:space="0" w:color="auto"/>
        <w:bottom w:val="none" w:sz="0" w:space="0" w:color="auto"/>
        <w:right w:val="none" w:sz="0" w:space="0" w:color="auto"/>
      </w:divBdr>
    </w:div>
    <w:div w:id="494489484">
      <w:bodyDiv w:val="1"/>
      <w:marLeft w:val="0"/>
      <w:marRight w:val="0"/>
      <w:marTop w:val="0"/>
      <w:marBottom w:val="0"/>
      <w:divBdr>
        <w:top w:val="none" w:sz="0" w:space="0" w:color="auto"/>
        <w:left w:val="none" w:sz="0" w:space="0" w:color="auto"/>
        <w:bottom w:val="none" w:sz="0" w:space="0" w:color="auto"/>
        <w:right w:val="none" w:sz="0" w:space="0" w:color="auto"/>
      </w:divBdr>
    </w:div>
    <w:div w:id="522519480">
      <w:bodyDiv w:val="1"/>
      <w:marLeft w:val="0"/>
      <w:marRight w:val="0"/>
      <w:marTop w:val="0"/>
      <w:marBottom w:val="0"/>
      <w:divBdr>
        <w:top w:val="none" w:sz="0" w:space="0" w:color="auto"/>
        <w:left w:val="none" w:sz="0" w:space="0" w:color="auto"/>
        <w:bottom w:val="none" w:sz="0" w:space="0" w:color="auto"/>
        <w:right w:val="none" w:sz="0" w:space="0" w:color="auto"/>
      </w:divBdr>
      <w:divsChild>
        <w:div w:id="354892988">
          <w:marLeft w:val="0"/>
          <w:marRight w:val="0"/>
          <w:marTop w:val="0"/>
          <w:marBottom w:val="0"/>
          <w:divBdr>
            <w:top w:val="none" w:sz="0" w:space="0" w:color="auto"/>
            <w:left w:val="none" w:sz="0" w:space="0" w:color="auto"/>
            <w:bottom w:val="none" w:sz="0" w:space="0" w:color="auto"/>
            <w:right w:val="none" w:sz="0" w:space="0" w:color="auto"/>
          </w:divBdr>
        </w:div>
        <w:div w:id="1216618745">
          <w:marLeft w:val="-8325"/>
          <w:marRight w:val="0"/>
          <w:marTop w:val="0"/>
          <w:marBottom w:val="0"/>
          <w:divBdr>
            <w:top w:val="none" w:sz="0" w:space="0" w:color="auto"/>
            <w:left w:val="none" w:sz="0" w:space="0" w:color="auto"/>
            <w:bottom w:val="none" w:sz="0" w:space="0" w:color="auto"/>
            <w:right w:val="none" w:sz="0" w:space="0" w:color="auto"/>
          </w:divBdr>
        </w:div>
      </w:divsChild>
    </w:div>
    <w:div w:id="562446372">
      <w:bodyDiv w:val="1"/>
      <w:marLeft w:val="0"/>
      <w:marRight w:val="0"/>
      <w:marTop w:val="0"/>
      <w:marBottom w:val="0"/>
      <w:divBdr>
        <w:top w:val="none" w:sz="0" w:space="0" w:color="auto"/>
        <w:left w:val="none" w:sz="0" w:space="0" w:color="auto"/>
        <w:bottom w:val="none" w:sz="0" w:space="0" w:color="auto"/>
        <w:right w:val="none" w:sz="0" w:space="0" w:color="auto"/>
      </w:divBdr>
    </w:div>
    <w:div w:id="711853341">
      <w:bodyDiv w:val="1"/>
      <w:marLeft w:val="0"/>
      <w:marRight w:val="0"/>
      <w:marTop w:val="0"/>
      <w:marBottom w:val="0"/>
      <w:divBdr>
        <w:top w:val="none" w:sz="0" w:space="0" w:color="auto"/>
        <w:left w:val="none" w:sz="0" w:space="0" w:color="auto"/>
        <w:bottom w:val="none" w:sz="0" w:space="0" w:color="auto"/>
        <w:right w:val="none" w:sz="0" w:space="0" w:color="auto"/>
      </w:divBdr>
    </w:div>
    <w:div w:id="888960272">
      <w:bodyDiv w:val="1"/>
      <w:marLeft w:val="0"/>
      <w:marRight w:val="0"/>
      <w:marTop w:val="0"/>
      <w:marBottom w:val="0"/>
      <w:divBdr>
        <w:top w:val="none" w:sz="0" w:space="0" w:color="auto"/>
        <w:left w:val="none" w:sz="0" w:space="0" w:color="auto"/>
        <w:bottom w:val="none" w:sz="0" w:space="0" w:color="auto"/>
        <w:right w:val="none" w:sz="0" w:space="0" w:color="auto"/>
      </w:divBdr>
    </w:div>
    <w:div w:id="947009253">
      <w:bodyDiv w:val="1"/>
      <w:marLeft w:val="0"/>
      <w:marRight w:val="0"/>
      <w:marTop w:val="0"/>
      <w:marBottom w:val="0"/>
      <w:divBdr>
        <w:top w:val="none" w:sz="0" w:space="0" w:color="auto"/>
        <w:left w:val="none" w:sz="0" w:space="0" w:color="auto"/>
        <w:bottom w:val="none" w:sz="0" w:space="0" w:color="auto"/>
        <w:right w:val="none" w:sz="0" w:space="0" w:color="auto"/>
      </w:divBdr>
    </w:div>
    <w:div w:id="1023358823">
      <w:bodyDiv w:val="1"/>
      <w:marLeft w:val="0"/>
      <w:marRight w:val="0"/>
      <w:marTop w:val="0"/>
      <w:marBottom w:val="0"/>
      <w:divBdr>
        <w:top w:val="none" w:sz="0" w:space="0" w:color="auto"/>
        <w:left w:val="none" w:sz="0" w:space="0" w:color="auto"/>
        <w:bottom w:val="none" w:sz="0" w:space="0" w:color="auto"/>
        <w:right w:val="none" w:sz="0" w:space="0" w:color="auto"/>
      </w:divBdr>
    </w:div>
    <w:div w:id="1048534321">
      <w:bodyDiv w:val="1"/>
      <w:marLeft w:val="0"/>
      <w:marRight w:val="0"/>
      <w:marTop w:val="0"/>
      <w:marBottom w:val="0"/>
      <w:divBdr>
        <w:top w:val="none" w:sz="0" w:space="0" w:color="auto"/>
        <w:left w:val="none" w:sz="0" w:space="0" w:color="auto"/>
        <w:bottom w:val="none" w:sz="0" w:space="0" w:color="auto"/>
        <w:right w:val="none" w:sz="0" w:space="0" w:color="auto"/>
      </w:divBdr>
    </w:div>
    <w:div w:id="1094399280">
      <w:bodyDiv w:val="1"/>
      <w:marLeft w:val="0"/>
      <w:marRight w:val="0"/>
      <w:marTop w:val="0"/>
      <w:marBottom w:val="0"/>
      <w:divBdr>
        <w:top w:val="none" w:sz="0" w:space="0" w:color="auto"/>
        <w:left w:val="none" w:sz="0" w:space="0" w:color="auto"/>
        <w:bottom w:val="none" w:sz="0" w:space="0" w:color="auto"/>
        <w:right w:val="none" w:sz="0" w:space="0" w:color="auto"/>
      </w:divBdr>
    </w:div>
    <w:div w:id="1230379585">
      <w:bodyDiv w:val="1"/>
      <w:marLeft w:val="0"/>
      <w:marRight w:val="0"/>
      <w:marTop w:val="0"/>
      <w:marBottom w:val="0"/>
      <w:divBdr>
        <w:top w:val="none" w:sz="0" w:space="0" w:color="auto"/>
        <w:left w:val="none" w:sz="0" w:space="0" w:color="auto"/>
        <w:bottom w:val="none" w:sz="0" w:space="0" w:color="auto"/>
        <w:right w:val="none" w:sz="0" w:space="0" w:color="auto"/>
      </w:divBdr>
    </w:div>
    <w:div w:id="1248877866">
      <w:bodyDiv w:val="1"/>
      <w:marLeft w:val="0"/>
      <w:marRight w:val="0"/>
      <w:marTop w:val="0"/>
      <w:marBottom w:val="0"/>
      <w:divBdr>
        <w:top w:val="none" w:sz="0" w:space="0" w:color="auto"/>
        <w:left w:val="none" w:sz="0" w:space="0" w:color="auto"/>
        <w:bottom w:val="none" w:sz="0" w:space="0" w:color="auto"/>
        <w:right w:val="none" w:sz="0" w:space="0" w:color="auto"/>
      </w:divBdr>
      <w:divsChild>
        <w:div w:id="1948805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2112543">
      <w:bodyDiv w:val="1"/>
      <w:marLeft w:val="0"/>
      <w:marRight w:val="0"/>
      <w:marTop w:val="0"/>
      <w:marBottom w:val="0"/>
      <w:divBdr>
        <w:top w:val="none" w:sz="0" w:space="0" w:color="auto"/>
        <w:left w:val="none" w:sz="0" w:space="0" w:color="auto"/>
        <w:bottom w:val="none" w:sz="0" w:space="0" w:color="auto"/>
        <w:right w:val="none" w:sz="0" w:space="0" w:color="auto"/>
      </w:divBdr>
    </w:div>
    <w:div w:id="1350910477">
      <w:bodyDiv w:val="1"/>
      <w:marLeft w:val="0"/>
      <w:marRight w:val="0"/>
      <w:marTop w:val="0"/>
      <w:marBottom w:val="0"/>
      <w:divBdr>
        <w:top w:val="none" w:sz="0" w:space="0" w:color="auto"/>
        <w:left w:val="none" w:sz="0" w:space="0" w:color="auto"/>
        <w:bottom w:val="none" w:sz="0" w:space="0" w:color="auto"/>
        <w:right w:val="none" w:sz="0" w:space="0" w:color="auto"/>
      </w:divBdr>
    </w:div>
    <w:div w:id="1383938424">
      <w:bodyDiv w:val="1"/>
      <w:marLeft w:val="0"/>
      <w:marRight w:val="0"/>
      <w:marTop w:val="0"/>
      <w:marBottom w:val="0"/>
      <w:divBdr>
        <w:top w:val="none" w:sz="0" w:space="0" w:color="auto"/>
        <w:left w:val="none" w:sz="0" w:space="0" w:color="auto"/>
        <w:bottom w:val="none" w:sz="0" w:space="0" w:color="auto"/>
        <w:right w:val="none" w:sz="0" w:space="0" w:color="auto"/>
      </w:divBdr>
    </w:div>
    <w:div w:id="1387221628">
      <w:bodyDiv w:val="1"/>
      <w:marLeft w:val="0"/>
      <w:marRight w:val="0"/>
      <w:marTop w:val="0"/>
      <w:marBottom w:val="0"/>
      <w:divBdr>
        <w:top w:val="none" w:sz="0" w:space="0" w:color="auto"/>
        <w:left w:val="none" w:sz="0" w:space="0" w:color="auto"/>
        <w:bottom w:val="none" w:sz="0" w:space="0" w:color="auto"/>
        <w:right w:val="none" w:sz="0" w:space="0" w:color="auto"/>
      </w:divBdr>
    </w:div>
    <w:div w:id="1485312513">
      <w:bodyDiv w:val="1"/>
      <w:marLeft w:val="0"/>
      <w:marRight w:val="0"/>
      <w:marTop w:val="0"/>
      <w:marBottom w:val="0"/>
      <w:divBdr>
        <w:top w:val="none" w:sz="0" w:space="0" w:color="auto"/>
        <w:left w:val="none" w:sz="0" w:space="0" w:color="auto"/>
        <w:bottom w:val="none" w:sz="0" w:space="0" w:color="auto"/>
        <w:right w:val="none" w:sz="0" w:space="0" w:color="auto"/>
      </w:divBdr>
    </w:div>
    <w:div w:id="1524972084">
      <w:bodyDiv w:val="1"/>
      <w:marLeft w:val="0"/>
      <w:marRight w:val="0"/>
      <w:marTop w:val="0"/>
      <w:marBottom w:val="0"/>
      <w:divBdr>
        <w:top w:val="none" w:sz="0" w:space="0" w:color="auto"/>
        <w:left w:val="none" w:sz="0" w:space="0" w:color="auto"/>
        <w:bottom w:val="none" w:sz="0" w:space="0" w:color="auto"/>
        <w:right w:val="none" w:sz="0" w:space="0" w:color="auto"/>
      </w:divBdr>
    </w:div>
    <w:div w:id="1565792773">
      <w:bodyDiv w:val="1"/>
      <w:marLeft w:val="0"/>
      <w:marRight w:val="0"/>
      <w:marTop w:val="0"/>
      <w:marBottom w:val="0"/>
      <w:divBdr>
        <w:top w:val="none" w:sz="0" w:space="0" w:color="auto"/>
        <w:left w:val="none" w:sz="0" w:space="0" w:color="auto"/>
        <w:bottom w:val="none" w:sz="0" w:space="0" w:color="auto"/>
        <w:right w:val="none" w:sz="0" w:space="0" w:color="auto"/>
      </w:divBdr>
      <w:divsChild>
        <w:div w:id="411048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2760258">
      <w:bodyDiv w:val="1"/>
      <w:marLeft w:val="0"/>
      <w:marRight w:val="0"/>
      <w:marTop w:val="0"/>
      <w:marBottom w:val="0"/>
      <w:divBdr>
        <w:top w:val="none" w:sz="0" w:space="0" w:color="auto"/>
        <w:left w:val="none" w:sz="0" w:space="0" w:color="auto"/>
        <w:bottom w:val="none" w:sz="0" w:space="0" w:color="auto"/>
        <w:right w:val="none" w:sz="0" w:space="0" w:color="auto"/>
      </w:divBdr>
    </w:div>
    <w:div w:id="1694766720">
      <w:bodyDiv w:val="1"/>
      <w:marLeft w:val="0"/>
      <w:marRight w:val="0"/>
      <w:marTop w:val="0"/>
      <w:marBottom w:val="0"/>
      <w:divBdr>
        <w:top w:val="none" w:sz="0" w:space="0" w:color="auto"/>
        <w:left w:val="none" w:sz="0" w:space="0" w:color="auto"/>
        <w:bottom w:val="none" w:sz="0" w:space="0" w:color="auto"/>
        <w:right w:val="none" w:sz="0" w:space="0" w:color="auto"/>
      </w:divBdr>
    </w:div>
    <w:div w:id="1806853410">
      <w:bodyDiv w:val="1"/>
      <w:marLeft w:val="0"/>
      <w:marRight w:val="0"/>
      <w:marTop w:val="0"/>
      <w:marBottom w:val="0"/>
      <w:divBdr>
        <w:top w:val="none" w:sz="0" w:space="0" w:color="auto"/>
        <w:left w:val="none" w:sz="0" w:space="0" w:color="auto"/>
        <w:bottom w:val="none" w:sz="0" w:space="0" w:color="auto"/>
        <w:right w:val="none" w:sz="0" w:space="0" w:color="auto"/>
      </w:divBdr>
    </w:div>
    <w:div w:id="1895310511">
      <w:bodyDiv w:val="1"/>
      <w:marLeft w:val="0"/>
      <w:marRight w:val="0"/>
      <w:marTop w:val="0"/>
      <w:marBottom w:val="0"/>
      <w:divBdr>
        <w:top w:val="none" w:sz="0" w:space="0" w:color="auto"/>
        <w:left w:val="none" w:sz="0" w:space="0" w:color="auto"/>
        <w:bottom w:val="none" w:sz="0" w:space="0" w:color="auto"/>
        <w:right w:val="none" w:sz="0" w:space="0" w:color="auto"/>
      </w:divBdr>
    </w:div>
    <w:div w:id="1961380743">
      <w:bodyDiv w:val="1"/>
      <w:marLeft w:val="0"/>
      <w:marRight w:val="0"/>
      <w:marTop w:val="0"/>
      <w:marBottom w:val="0"/>
      <w:divBdr>
        <w:top w:val="none" w:sz="0" w:space="0" w:color="auto"/>
        <w:left w:val="none" w:sz="0" w:space="0" w:color="auto"/>
        <w:bottom w:val="none" w:sz="0" w:space="0" w:color="auto"/>
        <w:right w:val="none" w:sz="0" w:space="0" w:color="auto"/>
      </w:divBdr>
    </w:div>
    <w:div w:id="2032606847">
      <w:bodyDiv w:val="1"/>
      <w:marLeft w:val="0"/>
      <w:marRight w:val="0"/>
      <w:marTop w:val="0"/>
      <w:marBottom w:val="0"/>
      <w:divBdr>
        <w:top w:val="none" w:sz="0" w:space="0" w:color="auto"/>
        <w:left w:val="none" w:sz="0" w:space="0" w:color="auto"/>
        <w:bottom w:val="none" w:sz="0" w:space="0" w:color="auto"/>
        <w:right w:val="none" w:sz="0" w:space="0" w:color="auto"/>
      </w:divBdr>
    </w:div>
    <w:div w:id="2058167477">
      <w:bodyDiv w:val="1"/>
      <w:marLeft w:val="0"/>
      <w:marRight w:val="0"/>
      <w:marTop w:val="0"/>
      <w:marBottom w:val="0"/>
      <w:divBdr>
        <w:top w:val="none" w:sz="0" w:space="0" w:color="auto"/>
        <w:left w:val="none" w:sz="0" w:space="0" w:color="auto"/>
        <w:bottom w:val="none" w:sz="0" w:space="0" w:color="auto"/>
        <w:right w:val="none" w:sz="0" w:space="0" w:color="auto"/>
      </w:divBdr>
    </w:div>
    <w:div w:id="2097286496">
      <w:bodyDiv w:val="1"/>
      <w:marLeft w:val="0"/>
      <w:marRight w:val="0"/>
      <w:marTop w:val="0"/>
      <w:marBottom w:val="0"/>
      <w:divBdr>
        <w:top w:val="none" w:sz="0" w:space="0" w:color="auto"/>
        <w:left w:val="none" w:sz="0" w:space="0" w:color="auto"/>
        <w:bottom w:val="none" w:sz="0" w:space="0" w:color="auto"/>
        <w:right w:val="none" w:sz="0" w:space="0" w:color="auto"/>
      </w:divBdr>
    </w:div>
    <w:div w:id="21131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09261-F6D7-4452-83AD-3DFD20C09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831</Words>
  <Characters>4668</Characters>
  <Application>Microsoft Office Word</Application>
  <DocSecurity>0</DocSecurity>
  <Lines>89</Lines>
  <Paragraphs>36</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5463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subject/>
  <dc:creator>BAC</dc:creator>
  <cp:keywords>ECE/TRANS/WP.15/AC.1/2012/8</cp:keywords>
  <dc:description>Final</dc:description>
  <cp:lastModifiedBy>Laurence Berthet</cp:lastModifiedBy>
  <cp:revision>5</cp:revision>
  <cp:lastPrinted>2019-09-07T18:34:00Z</cp:lastPrinted>
  <dcterms:created xsi:type="dcterms:W3CDTF">2019-09-04T14:21:00Z</dcterms:created>
  <dcterms:modified xsi:type="dcterms:W3CDTF">2019-09-07T18:35:00Z</dcterms:modified>
</cp:coreProperties>
</file>