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D8C1ADD" w14:textId="77777777" w:rsidTr="00F01738">
        <w:trPr>
          <w:trHeight w:hRule="exact" w:val="851"/>
        </w:trPr>
        <w:tc>
          <w:tcPr>
            <w:tcW w:w="1276" w:type="dxa"/>
            <w:tcBorders>
              <w:bottom w:val="single" w:sz="4" w:space="0" w:color="auto"/>
            </w:tcBorders>
          </w:tcPr>
          <w:p w14:paraId="2439CB6A" w14:textId="77777777" w:rsidR="00132EA9" w:rsidRPr="00DB58B5" w:rsidRDefault="00132EA9" w:rsidP="007A02D9">
            <w:bookmarkStart w:id="0" w:name="_GoBack"/>
            <w:bookmarkEnd w:id="0"/>
          </w:p>
        </w:tc>
        <w:tc>
          <w:tcPr>
            <w:tcW w:w="2268" w:type="dxa"/>
            <w:tcBorders>
              <w:bottom w:val="single" w:sz="4" w:space="0" w:color="auto"/>
            </w:tcBorders>
            <w:vAlign w:val="bottom"/>
          </w:tcPr>
          <w:p w14:paraId="583D5A6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C10FE8" w14:textId="77777777" w:rsidR="00132EA9" w:rsidRPr="00DB58B5" w:rsidRDefault="007A02D9" w:rsidP="007A02D9">
            <w:pPr>
              <w:jc w:val="right"/>
            </w:pPr>
            <w:r w:rsidRPr="007A02D9">
              <w:rPr>
                <w:sz w:val="40"/>
              </w:rPr>
              <w:t>ST</w:t>
            </w:r>
            <w:r>
              <w:t>/SG/AC.10/C.3/2019/34</w:t>
            </w:r>
          </w:p>
        </w:tc>
      </w:tr>
      <w:tr w:rsidR="00132EA9" w:rsidRPr="00DB58B5" w14:paraId="4AC4966F" w14:textId="77777777" w:rsidTr="00F01738">
        <w:trPr>
          <w:trHeight w:hRule="exact" w:val="2835"/>
        </w:trPr>
        <w:tc>
          <w:tcPr>
            <w:tcW w:w="1276" w:type="dxa"/>
            <w:tcBorders>
              <w:top w:val="single" w:sz="4" w:space="0" w:color="auto"/>
              <w:bottom w:val="single" w:sz="12" w:space="0" w:color="auto"/>
            </w:tcBorders>
          </w:tcPr>
          <w:p w14:paraId="42EF531F" w14:textId="77777777" w:rsidR="00132EA9" w:rsidRPr="00DB58B5" w:rsidRDefault="00132EA9" w:rsidP="00F01738">
            <w:pPr>
              <w:spacing w:before="120"/>
              <w:jc w:val="center"/>
            </w:pPr>
            <w:r>
              <w:rPr>
                <w:noProof/>
                <w:lang w:eastAsia="fr-CH"/>
              </w:rPr>
              <w:drawing>
                <wp:inline distT="0" distB="0" distL="0" distR="0" wp14:anchorId="4C066225" wp14:editId="2BF001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54A6F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4978391" w14:textId="77777777" w:rsidR="00132EA9" w:rsidRDefault="007A02D9" w:rsidP="00F01738">
            <w:pPr>
              <w:spacing w:before="240"/>
            </w:pPr>
            <w:r>
              <w:t>Distr. générale</w:t>
            </w:r>
          </w:p>
          <w:p w14:paraId="339F2020" w14:textId="77777777" w:rsidR="007A02D9" w:rsidRDefault="007A02D9" w:rsidP="007A02D9">
            <w:pPr>
              <w:spacing w:line="240" w:lineRule="exact"/>
            </w:pPr>
            <w:r>
              <w:t>9 avril 2019</w:t>
            </w:r>
          </w:p>
          <w:p w14:paraId="7AA04C47" w14:textId="77777777" w:rsidR="007A02D9" w:rsidRDefault="007A02D9" w:rsidP="007A02D9">
            <w:pPr>
              <w:spacing w:line="240" w:lineRule="exact"/>
            </w:pPr>
            <w:r>
              <w:t>Français</w:t>
            </w:r>
          </w:p>
          <w:p w14:paraId="729B4C22" w14:textId="77777777" w:rsidR="007A02D9" w:rsidRPr="00DB58B5" w:rsidRDefault="007A02D9" w:rsidP="007A02D9">
            <w:pPr>
              <w:spacing w:line="240" w:lineRule="exact"/>
            </w:pPr>
            <w:r>
              <w:t>Original : anglais</w:t>
            </w:r>
          </w:p>
        </w:tc>
      </w:tr>
    </w:tbl>
    <w:p w14:paraId="72CBF152" w14:textId="77777777" w:rsidR="007A02D9" w:rsidRPr="00CA0680" w:rsidRDefault="007A02D9" w:rsidP="000305D3">
      <w:pPr>
        <w:spacing w:before="120"/>
        <w:rPr>
          <w:b/>
          <w:sz w:val="24"/>
          <w:szCs w:val="24"/>
        </w:rPr>
      </w:pPr>
      <w:r w:rsidRPr="00CA0680">
        <w:rPr>
          <w:b/>
          <w:sz w:val="24"/>
          <w:szCs w:val="24"/>
        </w:rPr>
        <w:t>Comité d</w:t>
      </w:r>
      <w:r w:rsidR="000D5A53">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0D5A5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4F5BE31" w14:textId="77777777" w:rsidR="007A02D9" w:rsidRPr="00CA0680" w:rsidRDefault="007A02D9" w:rsidP="000305D3">
      <w:pPr>
        <w:spacing w:before="120"/>
        <w:rPr>
          <w:b/>
        </w:rPr>
      </w:pPr>
      <w:r w:rsidRPr="00CA0680">
        <w:rPr>
          <w:b/>
        </w:rPr>
        <w:t>Sous</w:t>
      </w:r>
      <w:r>
        <w:rPr>
          <w:b/>
        </w:rPr>
        <w:t>-</w:t>
      </w:r>
      <w:r w:rsidRPr="00CA0680">
        <w:rPr>
          <w:b/>
        </w:rPr>
        <w:t>Comité d</w:t>
      </w:r>
      <w:r w:rsidR="000D5A53">
        <w:rPr>
          <w:b/>
        </w:rPr>
        <w:t>’</w:t>
      </w:r>
      <w:r w:rsidRPr="00CA0680">
        <w:rPr>
          <w:b/>
        </w:rPr>
        <w:t>experts du transport des marchandises dangereuses</w:t>
      </w:r>
    </w:p>
    <w:p w14:paraId="328E2AC1" w14:textId="77777777" w:rsidR="007A02D9" w:rsidRDefault="007A02D9" w:rsidP="000305D3">
      <w:pPr>
        <w:spacing w:before="120"/>
        <w:rPr>
          <w:b/>
        </w:rPr>
      </w:pPr>
      <w:r w:rsidRPr="001227AF">
        <w:rPr>
          <w:b/>
        </w:rPr>
        <w:t>Cinquante-</w:t>
      </w:r>
      <w:r>
        <w:rPr>
          <w:b/>
        </w:rPr>
        <w:t>cinqu</w:t>
      </w:r>
      <w:r w:rsidRPr="001227AF">
        <w:rPr>
          <w:b/>
        </w:rPr>
        <w:t>ième</w:t>
      </w:r>
      <w:r>
        <w:rPr>
          <w:b/>
        </w:rPr>
        <w:t xml:space="preserve"> </w:t>
      </w:r>
      <w:r w:rsidRPr="00CA0680">
        <w:rPr>
          <w:b/>
        </w:rPr>
        <w:t>session</w:t>
      </w:r>
    </w:p>
    <w:p w14:paraId="130AF67F" w14:textId="77777777" w:rsidR="007A02D9" w:rsidRDefault="007A02D9" w:rsidP="000305D3">
      <w:r>
        <w:t>Genève, 1</w:t>
      </w:r>
      <w:r w:rsidRPr="00BC6175">
        <w:rPr>
          <w:vertAlign w:val="superscript"/>
        </w:rPr>
        <w:t>er</w:t>
      </w:r>
      <w:r>
        <w:t>-5 </w:t>
      </w:r>
      <w:r w:rsidRPr="001227AF">
        <w:t>juillet 201</w:t>
      </w:r>
      <w:r>
        <w:t>9</w:t>
      </w:r>
    </w:p>
    <w:p w14:paraId="269F2B73" w14:textId="77777777" w:rsidR="007A02D9" w:rsidRDefault="007A02D9" w:rsidP="000305D3">
      <w:r>
        <w:t>Point </w:t>
      </w:r>
      <w:r w:rsidRPr="001227AF">
        <w:t>4</w:t>
      </w:r>
      <w:r>
        <w:t> f) de l</w:t>
      </w:r>
      <w:r w:rsidR="000D5A53">
        <w:t>’</w:t>
      </w:r>
      <w:r>
        <w:t>ordre du jour provisoire</w:t>
      </w:r>
    </w:p>
    <w:p w14:paraId="43528EED" w14:textId="77777777" w:rsidR="007A02D9" w:rsidRDefault="007A02D9" w:rsidP="007A02D9">
      <w:r w:rsidRPr="001227AF">
        <w:rPr>
          <w:b/>
          <w:bCs/>
        </w:rPr>
        <w:t>Systèmes de stockage de l</w:t>
      </w:r>
      <w:r w:rsidR="000D5A53">
        <w:rPr>
          <w:b/>
          <w:bCs/>
        </w:rPr>
        <w:t>’</w:t>
      </w:r>
      <w:r w:rsidRPr="001227AF">
        <w:rPr>
          <w:b/>
          <w:bCs/>
        </w:rPr>
        <w:t xml:space="preserve">électricité : </w:t>
      </w:r>
      <w:r w:rsidR="00683DB2">
        <w:rPr>
          <w:b/>
          <w:bCs/>
        </w:rPr>
        <w:t>Q</w:t>
      </w:r>
      <w:r>
        <w:rPr>
          <w:b/>
          <w:bCs/>
        </w:rPr>
        <w:t>uestions diverses</w:t>
      </w:r>
    </w:p>
    <w:p w14:paraId="5142041F" w14:textId="77777777" w:rsidR="007A02D9" w:rsidRPr="001227AF" w:rsidRDefault="007A02D9" w:rsidP="007A02D9">
      <w:pPr>
        <w:pStyle w:val="HChG"/>
      </w:pPr>
      <w:r w:rsidRPr="006E37FA">
        <w:tab/>
      </w:r>
      <w:r w:rsidRPr="006E37FA">
        <w:tab/>
      </w:r>
      <w:r>
        <w:t>Utilisation, pour le transport de batteries au lithium, d</w:t>
      </w:r>
      <w:r w:rsidR="000D5A53">
        <w:t>’</w:t>
      </w:r>
      <w:r>
        <w:t>emballages ne devant pas satisfaire aux prescriptions du 4.1.1.3 et dont la masse nette dépasse 400 kg</w:t>
      </w:r>
    </w:p>
    <w:p w14:paraId="6CA4F3EC" w14:textId="77777777" w:rsidR="007A02D9" w:rsidRDefault="007A02D9" w:rsidP="007A02D9">
      <w:pPr>
        <w:pStyle w:val="H1G"/>
      </w:pPr>
      <w:r w:rsidRPr="001227AF">
        <w:tab/>
      </w:r>
      <w:r w:rsidRPr="001227AF">
        <w:tab/>
        <w:t xml:space="preserve">Communication de </w:t>
      </w:r>
      <w:r>
        <w:t>la Rechargeable Battery Association (PRBA)</w:t>
      </w:r>
      <w:r w:rsidRPr="007A02D9">
        <w:rPr>
          <w:rStyle w:val="FootnoteReference"/>
          <w:b w:val="0"/>
          <w:sz w:val="20"/>
          <w:vertAlign w:val="baseline"/>
        </w:rPr>
        <w:footnoteReference w:customMarkFollows="1" w:id="2"/>
        <w:t>*</w:t>
      </w:r>
    </w:p>
    <w:p w14:paraId="0F2E9CB3" w14:textId="77777777" w:rsidR="007A02D9" w:rsidRDefault="007A02D9" w:rsidP="007A02D9">
      <w:pPr>
        <w:pStyle w:val="HChG"/>
      </w:pPr>
      <w:r w:rsidRPr="001227AF">
        <w:tab/>
      </w:r>
      <w:r w:rsidRPr="001227AF">
        <w:tab/>
        <w:t>Introduction</w:t>
      </w:r>
    </w:p>
    <w:p w14:paraId="0A3E2B2A" w14:textId="77777777" w:rsidR="007A02D9" w:rsidRDefault="007A02D9" w:rsidP="007A02D9">
      <w:pPr>
        <w:pStyle w:val="SingleTxtG"/>
      </w:pPr>
      <w:r>
        <w:t>1.</w:t>
      </w:r>
      <w:r>
        <w:tab/>
        <w:t>La PRBA croit qu</w:t>
      </w:r>
      <w:r w:rsidR="000D5A53">
        <w:t>’</w:t>
      </w:r>
      <w:r>
        <w:t>il existe une confusion, notamment de la part de certaines autorités de transport, concernant l</w:t>
      </w:r>
      <w:r w:rsidR="000D5A53">
        <w:t>’</w:t>
      </w:r>
      <w:r>
        <w:t>utilisation de l</w:t>
      </w:r>
      <w:r w:rsidR="000D5A53">
        <w:t>’</w:t>
      </w:r>
      <w:r>
        <w:t>instruction d</w:t>
      </w:r>
      <w:r w:rsidR="000D5A53">
        <w:t>’</w:t>
      </w:r>
      <w:r>
        <w:t>emballage P903 relative aux emballages dont la masse nette dépasse 400 kg et qui sont dispensés des prescriptions du 4.1.1.3 (par exemple caisses en bois, palettes, etc. autorisées par les paragraphes 2) et 4) de l</w:t>
      </w:r>
      <w:r w:rsidR="000D5A53">
        <w:t>’</w:t>
      </w:r>
      <w:r>
        <w:t>instruction d</w:t>
      </w:r>
      <w:r w:rsidR="000D5A53">
        <w:t>’</w:t>
      </w:r>
      <w:r>
        <w:t>emballage P903). À ce propos, d</w:t>
      </w:r>
      <w:r w:rsidR="000D5A53">
        <w:t>’</w:t>
      </w:r>
      <w:r>
        <w:t>aucuns semblent croire à tort que si un emballage autorisé au titre des paragraphes 2) et 4) de l</w:t>
      </w:r>
      <w:r w:rsidR="000D5A53">
        <w:t>’</w:t>
      </w:r>
      <w:r>
        <w:t>instruction P903 a une masse nette supérieure à 400 kg, conformément à la prescription générale du chapitre 6.1, les batteries ou l</w:t>
      </w:r>
      <w:r w:rsidR="000D5A53">
        <w:t>’</w:t>
      </w:r>
      <w:r>
        <w:t>équipement doivent être emballés dans de grands emballages conformément à la LP903. Dans le présent document, la PRBA propose de modifier le Règlement type afin de préciser que ce n</w:t>
      </w:r>
      <w:r w:rsidR="000D5A53">
        <w:t>’</w:t>
      </w:r>
      <w:r>
        <w:t>est pas le cas et que les emballages autorisés au titre des paragraphes 2) et 4) de l</w:t>
      </w:r>
      <w:r w:rsidR="000D5A53">
        <w:t>’</w:t>
      </w:r>
      <w:r>
        <w:t>instruction P903 peuvent avoir une masse nette supérieure à 400 kg.</w:t>
      </w:r>
    </w:p>
    <w:p w14:paraId="0E0A9D36" w14:textId="77777777" w:rsidR="007A02D9" w:rsidRDefault="007A02D9" w:rsidP="007A02D9">
      <w:pPr>
        <w:pStyle w:val="SingleTxtG"/>
      </w:pPr>
      <w:r>
        <w:t>2.</w:t>
      </w:r>
      <w:r>
        <w:tab/>
        <w:t xml:space="preserve">Les principes directeurs énoncés dans la dix-neuvième édition révisée du Règlement type concernent précisément cette question. </w:t>
      </w:r>
      <w:r w:rsidR="00AF3ED7">
        <w:t>À</w:t>
      </w:r>
      <w:r>
        <w:t xml:space="preserve"> la vingtième page de ces principes directeurs, à propos des emballages autorisés en vertu des instructions d</w:t>
      </w:r>
      <w:r w:rsidR="000D5A53">
        <w:t>’</w:t>
      </w:r>
      <w:r>
        <w:t>emballage « P », il est précisé que lesdites instructions portent sur « les emballages conformes au chapitre 6.1 (jusqu</w:t>
      </w:r>
      <w:r w:rsidR="000D5A53">
        <w:t>’</w:t>
      </w:r>
      <w:r>
        <w:t>à 450 l et/ou 400 kg nets, selon le cas) » ainsi que sur « les emballages ou les méthodes d</w:t>
      </w:r>
      <w:r w:rsidR="000D5A53">
        <w:t>’</w:t>
      </w:r>
      <w:r>
        <w:t>emballage qui ne sont pas soumis aux dispositions des chapitres 6.1, 6.2, 6.3, 6.5 ou 6.6 ». C</w:t>
      </w:r>
      <w:r w:rsidR="000D5A53">
        <w:t>’</w:t>
      </w:r>
      <w:r>
        <w:t>est ainsi que les emballages qui ne sont pas soumis au 4.1.1.3 lorsqu</w:t>
      </w:r>
      <w:r w:rsidR="000D5A53">
        <w:t>’</w:t>
      </w:r>
      <w:r>
        <w:t>ils sont autorisés en vertu d</w:t>
      </w:r>
      <w:r w:rsidR="000D5A53">
        <w:t>’</w:t>
      </w:r>
      <w:r>
        <w:t>une instruction d</w:t>
      </w:r>
      <w:r w:rsidR="000D5A53">
        <w:t>’</w:t>
      </w:r>
      <w:r>
        <w:t>emballage P (par exemple P903) ne sont pas soumis à la limite des 450</w:t>
      </w:r>
      <w:r w:rsidR="00AF3ED7">
        <w:t> </w:t>
      </w:r>
      <w:r>
        <w:t>l/400</w:t>
      </w:r>
      <w:r w:rsidR="00AF3ED7">
        <w:t> </w:t>
      </w:r>
      <w:r>
        <w:t>kg, comme le prévoit le chapitre 6.1, ni en fait à aucune limite de masse. Hélas, cependant, ce principe n</w:t>
      </w:r>
      <w:r w:rsidR="000D5A53">
        <w:t>’</w:t>
      </w:r>
      <w:r>
        <w:t xml:space="preserve">est clairement énoncé nulle part dans le Règlement </w:t>
      </w:r>
      <w:r>
        <w:lastRenderedPageBreak/>
        <w:t>type et c</w:t>
      </w:r>
      <w:r w:rsidR="000D5A53">
        <w:t>’</w:t>
      </w:r>
      <w:r>
        <w:t>est précisément ce qui, de l</w:t>
      </w:r>
      <w:r w:rsidR="000D5A53">
        <w:t>’</w:t>
      </w:r>
      <w:r>
        <w:t>avis de la PRBA, crée la confusion décrite ci-dessus. La PRBA propose donc d</w:t>
      </w:r>
      <w:r w:rsidR="000D5A53">
        <w:t>’</w:t>
      </w:r>
      <w:r>
        <w:t>apporter les modifications ci-dessous au Règlement type afin de clairement affirmer ce principe et d</w:t>
      </w:r>
      <w:r w:rsidR="000D5A53">
        <w:t>’</w:t>
      </w:r>
      <w:r>
        <w:t>apporter les précisions nécessaires pour mettre fin à cette confusion.</w:t>
      </w:r>
    </w:p>
    <w:p w14:paraId="483DE7E0" w14:textId="77777777" w:rsidR="007A02D9" w:rsidRDefault="007A02D9" w:rsidP="007A02D9">
      <w:pPr>
        <w:pStyle w:val="HChG"/>
      </w:pPr>
      <w:r>
        <w:tab/>
      </w:r>
      <w:r>
        <w:tab/>
        <w:t>Proposition</w:t>
      </w:r>
    </w:p>
    <w:p w14:paraId="09F54C41" w14:textId="77777777" w:rsidR="007A02D9" w:rsidRDefault="007A02D9" w:rsidP="007A02D9">
      <w:pPr>
        <w:pStyle w:val="SingleTxtG"/>
      </w:pPr>
      <w:r>
        <w:t>3.</w:t>
      </w:r>
      <w:r>
        <w:tab/>
      </w:r>
      <w:r>
        <w:rPr>
          <w:i/>
        </w:rPr>
        <w:t>Paragraphe 4.1.</w:t>
      </w:r>
      <w:r w:rsidR="00AF3ED7">
        <w:rPr>
          <w:i/>
        </w:rPr>
        <w:t>3</w:t>
      </w:r>
      <w:r>
        <w:rPr>
          <w:i/>
        </w:rPr>
        <w:t>.3 </w:t>
      </w:r>
      <w:r>
        <w:t>ajouter une nouvelle phrase comme suit :</w:t>
      </w:r>
    </w:p>
    <w:p w14:paraId="227AFEDB" w14:textId="77777777" w:rsidR="007A02D9" w:rsidRDefault="007A02D9" w:rsidP="007A02D9">
      <w:pPr>
        <w:pStyle w:val="SingleTxtG"/>
        <w:ind w:left="2835" w:hanging="1134"/>
        <w:rPr>
          <w:u w:val="single"/>
        </w:rPr>
      </w:pPr>
      <w:r w:rsidRPr="001B3684">
        <w:t>« 4.1.</w:t>
      </w:r>
      <w:r w:rsidR="00AF3ED7">
        <w:t>3</w:t>
      </w:r>
      <w:r w:rsidRPr="001B3684">
        <w:t>.3</w:t>
      </w:r>
      <w:r w:rsidRPr="001B3684">
        <w:tab/>
        <w:t>Chaque instruction d</w:t>
      </w:r>
      <w:r w:rsidR="000D5A53">
        <w:t>’</w:t>
      </w:r>
      <w:r w:rsidRPr="001B3684">
        <w:t>emballage mentionne, s</w:t>
      </w:r>
      <w:r w:rsidR="000D5A53">
        <w:t>’</w:t>
      </w:r>
      <w:r w:rsidRPr="001B3684">
        <w:t xml:space="preserve">il y a lieu, les emballages simples ou combinés admissibles. Pour les emballages combinés sont indiqués les emballages </w:t>
      </w:r>
      <w:r>
        <w:t xml:space="preserve">extérieurs et </w:t>
      </w:r>
      <w:r w:rsidRPr="001B3684">
        <w:t>intérieurs admissibles et, s</w:t>
      </w:r>
      <w:r w:rsidR="000D5A53">
        <w:t>’</w:t>
      </w:r>
      <w:r w:rsidRPr="001B3684">
        <w:t>il y a lieu</w:t>
      </w:r>
      <w:r>
        <w:t>, la quantité maximale autorisée dans chaque emballage intérieur ou extérieur autorisé. La masse nette maximale et la contenance maximale sont définies dans la section</w:t>
      </w:r>
      <w:r w:rsidR="004E7B3D">
        <w:t> </w:t>
      </w:r>
      <w:r>
        <w:t xml:space="preserve">1.2.1. </w:t>
      </w:r>
      <w:r w:rsidRPr="00520406">
        <w:rPr>
          <w:u w:val="single"/>
        </w:rPr>
        <w:t>Lorsque les emballages dispensés des prescriptions du 4.1.1.3 (caisses ou palettes par exemple) sont autorisés dans une instruction d</w:t>
      </w:r>
      <w:r w:rsidR="000D5A53">
        <w:rPr>
          <w:u w:val="single"/>
        </w:rPr>
        <w:t>’</w:t>
      </w:r>
      <w:r w:rsidRPr="00520406">
        <w:rPr>
          <w:u w:val="single"/>
        </w:rPr>
        <w:t>emballage « P », sauf indication contraire dans l</w:t>
      </w:r>
      <w:r w:rsidR="000D5A53">
        <w:rPr>
          <w:u w:val="single"/>
        </w:rPr>
        <w:t>’</w:t>
      </w:r>
      <w:r w:rsidRPr="00520406">
        <w:rPr>
          <w:u w:val="single"/>
        </w:rPr>
        <w:t>instruction d</w:t>
      </w:r>
      <w:r w:rsidR="000D5A53">
        <w:rPr>
          <w:u w:val="single"/>
        </w:rPr>
        <w:t>’</w:t>
      </w:r>
      <w:r w:rsidRPr="00520406">
        <w:rPr>
          <w:u w:val="single"/>
        </w:rPr>
        <w:t>emballage pertinente, ces emballages ne sont pas soumis à la limite des 450</w:t>
      </w:r>
      <w:r w:rsidR="00AF3ED7">
        <w:rPr>
          <w:u w:val="single"/>
        </w:rPr>
        <w:t> </w:t>
      </w:r>
      <w:r w:rsidRPr="00520406">
        <w:rPr>
          <w:u w:val="single"/>
        </w:rPr>
        <w:t>l/400</w:t>
      </w:r>
      <w:r w:rsidR="00AF3ED7">
        <w:rPr>
          <w:u w:val="single"/>
        </w:rPr>
        <w:t> </w:t>
      </w:r>
      <w:r w:rsidRPr="00520406">
        <w:rPr>
          <w:u w:val="single"/>
        </w:rPr>
        <w:t>kg net</w:t>
      </w:r>
      <w:r>
        <w:rPr>
          <w:u w:val="single"/>
        </w:rPr>
        <w:t>s</w:t>
      </w:r>
      <w:r w:rsidRPr="00520406">
        <w:rPr>
          <w:u w:val="single"/>
        </w:rPr>
        <w:t xml:space="preserve"> généralement applicable aux emballages conformément aux prescriptions du chapitre</w:t>
      </w:r>
      <w:r w:rsidR="00AF3ED7">
        <w:rPr>
          <w:u w:val="single"/>
        </w:rPr>
        <w:t> </w:t>
      </w:r>
      <w:r w:rsidRPr="00520406">
        <w:rPr>
          <w:u w:val="single"/>
        </w:rPr>
        <w:t>6.1.</w:t>
      </w:r>
      <w:r w:rsidRPr="007A02D9">
        <w:t> ».</w:t>
      </w:r>
    </w:p>
    <w:p w14:paraId="638FD599" w14:textId="77777777" w:rsidR="007A02D9" w:rsidRDefault="007A02D9" w:rsidP="007A02D9">
      <w:pPr>
        <w:pStyle w:val="SingleTxtG"/>
      </w:pPr>
      <w:r>
        <w:t>4.</w:t>
      </w:r>
      <w:r>
        <w:tab/>
      </w:r>
      <w:r w:rsidRPr="004824CF">
        <w:rPr>
          <w:i/>
        </w:rPr>
        <w:t>Instruction d</w:t>
      </w:r>
      <w:r w:rsidR="000D5A53">
        <w:rPr>
          <w:i/>
        </w:rPr>
        <w:t>’</w:t>
      </w:r>
      <w:r w:rsidRPr="004824CF">
        <w:rPr>
          <w:i/>
        </w:rPr>
        <w:t>emballage P903</w:t>
      </w:r>
      <w:r>
        <w:t>, ajouter un nouveau NOTA après le paragraphe 4), ainsi libellé :</w:t>
      </w:r>
    </w:p>
    <w:p w14:paraId="200237B5" w14:textId="77777777" w:rsidR="007A02D9" w:rsidRPr="00520406" w:rsidRDefault="007A02D9" w:rsidP="007A02D9">
      <w:pPr>
        <w:pStyle w:val="SingleTxtG"/>
        <w:ind w:left="1701"/>
      </w:pPr>
      <w:r w:rsidRPr="00520406">
        <w:t>« </w:t>
      </w:r>
      <w:r w:rsidRPr="007A02D9">
        <w:rPr>
          <w:b/>
          <w:i/>
        </w:rPr>
        <w:t>NOTA </w:t>
      </w:r>
      <w:r w:rsidRPr="007A02D9">
        <w:rPr>
          <w:i/>
        </w:rPr>
        <w:t>: Les emballages autorisés aux paragraphes</w:t>
      </w:r>
      <w:r>
        <w:rPr>
          <w:i/>
        </w:rPr>
        <w:t> </w:t>
      </w:r>
      <w:r w:rsidRPr="007A02D9">
        <w:rPr>
          <w:i/>
        </w:rPr>
        <w:t>2) et 4) peuvent dépasser une masse nette de 400</w:t>
      </w:r>
      <w:r>
        <w:rPr>
          <w:i/>
        </w:rPr>
        <w:t> </w:t>
      </w:r>
      <w:r w:rsidRPr="007A02D9">
        <w:rPr>
          <w:i/>
        </w:rPr>
        <w:t>kg (voir 4.1.3.3).</w:t>
      </w:r>
      <w:r w:rsidRPr="00520406">
        <w:t> »</w:t>
      </w:r>
      <w:r>
        <w:t>.</w:t>
      </w:r>
    </w:p>
    <w:p w14:paraId="101FEE87" w14:textId="77777777" w:rsidR="007A02D9" w:rsidRDefault="007A02D9" w:rsidP="007A02D9">
      <w:pPr>
        <w:pStyle w:val="SingleTxtG"/>
      </w:pPr>
      <w:r>
        <w:t>5.</w:t>
      </w:r>
      <w:r>
        <w:tab/>
      </w:r>
      <w:r w:rsidRPr="004824CF">
        <w:rPr>
          <w:i/>
        </w:rPr>
        <w:t>Instruction d</w:t>
      </w:r>
      <w:r w:rsidR="000D5A53">
        <w:rPr>
          <w:i/>
        </w:rPr>
        <w:t>’</w:t>
      </w:r>
      <w:r w:rsidRPr="004824CF">
        <w:rPr>
          <w:i/>
        </w:rPr>
        <w:t>emballage LP903</w:t>
      </w:r>
      <w:r>
        <w:t>, ajouter un NOTA après « Carton rigide (50 G) », ainsi libellé :</w:t>
      </w:r>
    </w:p>
    <w:p w14:paraId="340E675E" w14:textId="77777777" w:rsidR="007A02D9" w:rsidRDefault="007A02D9" w:rsidP="007A02D9">
      <w:pPr>
        <w:pStyle w:val="SingleTxtG"/>
        <w:ind w:left="1701"/>
      </w:pPr>
      <w:r>
        <w:t>« </w:t>
      </w:r>
      <w:r w:rsidRPr="007A02D9">
        <w:rPr>
          <w:b/>
          <w:i/>
        </w:rPr>
        <w:t>NOTA </w:t>
      </w:r>
      <w:r w:rsidRPr="004E7B3D">
        <w:rPr>
          <w:i/>
        </w:rPr>
        <w:t>:</w:t>
      </w:r>
      <w:r w:rsidRPr="00520406">
        <w:rPr>
          <w:i/>
        </w:rPr>
        <w:t xml:space="preserve"> </w:t>
      </w:r>
      <w:r>
        <w:rPr>
          <w:i/>
        </w:rPr>
        <w:t>P</w:t>
      </w:r>
      <w:r w:rsidRPr="00520406">
        <w:rPr>
          <w:i/>
        </w:rPr>
        <w:t>our les piles et les batteries contenu</w:t>
      </w:r>
      <w:r w:rsidR="00AF3ED7">
        <w:rPr>
          <w:i/>
        </w:rPr>
        <w:t>e</w:t>
      </w:r>
      <w:r w:rsidRPr="00520406">
        <w:rPr>
          <w:i/>
        </w:rPr>
        <w:t>s dans une enveloppe extérieure ou un équipement robuste</w:t>
      </w:r>
      <w:r>
        <w:rPr>
          <w:i/>
        </w:rPr>
        <w:t>s</w:t>
      </w:r>
      <w:r w:rsidRPr="00520406">
        <w:rPr>
          <w:i/>
        </w:rPr>
        <w:t xml:space="preserve"> et résistant</w:t>
      </w:r>
      <w:r>
        <w:rPr>
          <w:i/>
        </w:rPr>
        <w:t>s</w:t>
      </w:r>
      <w:r w:rsidRPr="00520406">
        <w:rPr>
          <w:i/>
        </w:rPr>
        <w:t xml:space="preserve"> aux chocs, voir l</w:t>
      </w:r>
      <w:r w:rsidR="000D5A53">
        <w:rPr>
          <w:i/>
        </w:rPr>
        <w:t>’</w:t>
      </w:r>
      <w:r w:rsidRPr="00520406">
        <w:rPr>
          <w:i/>
        </w:rPr>
        <w:t>instruction d</w:t>
      </w:r>
      <w:r w:rsidR="000D5A53">
        <w:rPr>
          <w:i/>
        </w:rPr>
        <w:t>’</w:t>
      </w:r>
      <w:r w:rsidRPr="00520406">
        <w:rPr>
          <w:i/>
        </w:rPr>
        <w:t>emballage</w:t>
      </w:r>
      <w:r w:rsidR="004E7B3D">
        <w:rPr>
          <w:i/>
        </w:rPr>
        <w:t> </w:t>
      </w:r>
      <w:r w:rsidRPr="00520406">
        <w:rPr>
          <w:i/>
        </w:rPr>
        <w:t>P903</w:t>
      </w:r>
      <w:r>
        <w:t>.</w:t>
      </w:r>
      <w:r w:rsidR="000D5A53">
        <w:t> </w:t>
      </w:r>
      <w:r>
        <w:t>».</w:t>
      </w:r>
    </w:p>
    <w:p w14:paraId="27A04F13" w14:textId="77777777" w:rsidR="00446FE5" w:rsidRPr="007A02D9" w:rsidRDefault="007A02D9" w:rsidP="007A02D9">
      <w:pPr>
        <w:pStyle w:val="SingleTxtG"/>
        <w:spacing w:before="240" w:after="0"/>
        <w:jc w:val="center"/>
        <w:rPr>
          <w:u w:val="single"/>
        </w:rPr>
      </w:pPr>
      <w:r>
        <w:rPr>
          <w:u w:val="single"/>
        </w:rPr>
        <w:tab/>
      </w:r>
      <w:r>
        <w:rPr>
          <w:u w:val="single"/>
        </w:rPr>
        <w:tab/>
      </w:r>
      <w:r>
        <w:rPr>
          <w:u w:val="single"/>
        </w:rPr>
        <w:tab/>
      </w:r>
    </w:p>
    <w:sectPr w:rsidR="00446FE5" w:rsidRPr="007A02D9" w:rsidSect="007A02D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C1A8" w14:textId="77777777" w:rsidR="00165EC9" w:rsidRDefault="00165EC9" w:rsidP="00F95C08">
      <w:pPr>
        <w:spacing w:line="240" w:lineRule="auto"/>
      </w:pPr>
    </w:p>
  </w:endnote>
  <w:endnote w:type="continuationSeparator" w:id="0">
    <w:p w14:paraId="3EA3776D" w14:textId="77777777" w:rsidR="00165EC9" w:rsidRPr="00AC3823" w:rsidRDefault="00165EC9" w:rsidP="00AC3823">
      <w:pPr>
        <w:pStyle w:val="Footer"/>
      </w:pPr>
    </w:p>
  </w:endnote>
  <w:endnote w:type="continuationNotice" w:id="1">
    <w:p w14:paraId="718BA959" w14:textId="77777777" w:rsidR="00165EC9" w:rsidRDefault="00165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C44B" w14:textId="77777777" w:rsidR="007A02D9" w:rsidRPr="007A02D9" w:rsidRDefault="007A02D9" w:rsidP="007A02D9">
    <w:pPr>
      <w:pStyle w:val="Footer"/>
      <w:tabs>
        <w:tab w:val="right" w:pos="9638"/>
      </w:tabs>
    </w:pPr>
    <w:r w:rsidRPr="007A02D9">
      <w:rPr>
        <w:b/>
        <w:sz w:val="18"/>
      </w:rPr>
      <w:fldChar w:fldCharType="begin"/>
    </w:r>
    <w:r w:rsidRPr="007A02D9">
      <w:rPr>
        <w:b/>
        <w:sz w:val="18"/>
      </w:rPr>
      <w:instrText xml:space="preserve"> PAGE  \* MERGEFORMAT </w:instrText>
    </w:r>
    <w:r w:rsidRPr="007A02D9">
      <w:rPr>
        <w:b/>
        <w:sz w:val="18"/>
      </w:rPr>
      <w:fldChar w:fldCharType="separate"/>
    </w:r>
    <w:r w:rsidRPr="007A02D9">
      <w:rPr>
        <w:b/>
        <w:noProof/>
        <w:sz w:val="18"/>
      </w:rPr>
      <w:t>2</w:t>
    </w:r>
    <w:r w:rsidRPr="007A02D9">
      <w:rPr>
        <w:b/>
        <w:sz w:val="18"/>
      </w:rPr>
      <w:fldChar w:fldCharType="end"/>
    </w:r>
    <w:r>
      <w:rPr>
        <w:b/>
        <w:sz w:val="18"/>
      </w:rPr>
      <w:tab/>
    </w:r>
    <w:r>
      <w:t>GE.19-05942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373F" w14:textId="77777777" w:rsidR="007A02D9" w:rsidRPr="007A02D9" w:rsidRDefault="007A02D9" w:rsidP="007A02D9">
    <w:pPr>
      <w:pStyle w:val="Footer"/>
      <w:tabs>
        <w:tab w:val="right" w:pos="9638"/>
      </w:tabs>
      <w:rPr>
        <w:b/>
        <w:sz w:val="18"/>
      </w:rPr>
    </w:pPr>
    <w:r>
      <w:t>GE.19-05942</w:t>
    </w:r>
    <w:r>
      <w:tab/>
    </w:r>
    <w:r w:rsidRPr="007A02D9">
      <w:rPr>
        <w:b/>
        <w:sz w:val="18"/>
      </w:rPr>
      <w:fldChar w:fldCharType="begin"/>
    </w:r>
    <w:r w:rsidRPr="007A02D9">
      <w:rPr>
        <w:b/>
        <w:sz w:val="18"/>
      </w:rPr>
      <w:instrText xml:space="preserve"> PAGE  \* MERGEFORMAT </w:instrText>
    </w:r>
    <w:r w:rsidRPr="007A02D9">
      <w:rPr>
        <w:b/>
        <w:sz w:val="18"/>
      </w:rPr>
      <w:fldChar w:fldCharType="separate"/>
    </w:r>
    <w:r w:rsidRPr="007A02D9">
      <w:rPr>
        <w:b/>
        <w:noProof/>
        <w:sz w:val="18"/>
      </w:rPr>
      <w:t>3</w:t>
    </w:r>
    <w:r w:rsidRPr="007A02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F72E" w14:textId="77777777" w:rsidR="0068456F" w:rsidRPr="007A02D9" w:rsidRDefault="007A02D9" w:rsidP="007A02D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D10E2ED" wp14:editId="1BDE774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19-05942  (F)    060519    090519</w:t>
    </w:r>
    <w:r>
      <w:rPr>
        <w:sz w:val="20"/>
      </w:rPr>
      <w:br/>
    </w:r>
    <w:r w:rsidRPr="007A02D9">
      <w:rPr>
        <w:rFonts w:ascii="C39T30Lfz" w:hAnsi="C39T30Lfz"/>
        <w:sz w:val="56"/>
      </w:rPr>
      <w:t></w:t>
    </w:r>
    <w:r w:rsidRPr="007A02D9">
      <w:rPr>
        <w:rFonts w:ascii="C39T30Lfz" w:hAnsi="C39T30Lfz"/>
        <w:sz w:val="56"/>
      </w:rPr>
      <w:t></w:t>
    </w:r>
    <w:r w:rsidRPr="007A02D9">
      <w:rPr>
        <w:rFonts w:ascii="C39T30Lfz" w:hAnsi="C39T30Lfz"/>
        <w:sz w:val="56"/>
      </w:rPr>
      <w:t></w:t>
    </w:r>
    <w:r w:rsidRPr="007A02D9">
      <w:rPr>
        <w:rFonts w:ascii="C39T30Lfz" w:hAnsi="C39T30Lfz"/>
        <w:sz w:val="56"/>
      </w:rPr>
      <w:t></w:t>
    </w:r>
    <w:r w:rsidRPr="007A02D9">
      <w:rPr>
        <w:rFonts w:ascii="C39T30Lfz" w:hAnsi="C39T30Lfz"/>
        <w:sz w:val="56"/>
      </w:rPr>
      <w:t></w:t>
    </w:r>
    <w:r w:rsidRPr="007A02D9">
      <w:rPr>
        <w:rFonts w:ascii="C39T30Lfz" w:hAnsi="C39T30Lfz"/>
        <w:sz w:val="56"/>
      </w:rPr>
      <w:t></w:t>
    </w:r>
    <w:r w:rsidRPr="007A02D9">
      <w:rPr>
        <w:rFonts w:ascii="C39T30Lfz" w:hAnsi="C39T30Lfz"/>
        <w:sz w:val="56"/>
      </w:rPr>
      <w:t></w:t>
    </w:r>
    <w:r w:rsidRPr="007A02D9">
      <w:rPr>
        <w:rFonts w:ascii="C39T30Lfz" w:hAnsi="C39T30Lfz"/>
        <w:sz w:val="56"/>
      </w:rPr>
      <w:t></w:t>
    </w:r>
    <w:r w:rsidRPr="007A02D9">
      <w:rPr>
        <w:rFonts w:ascii="C39T30Lfz" w:hAnsi="C39T30Lfz"/>
        <w:sz w:val="56"/>
      </w:rPr>
      <w:t></w:t>
    </w:r>
    <w:r>
      <w:rPr>
        <w:noProof/>
        <w:sz w:val="20"/>
      </w:rPr>
      <w:drawing>
        <wp:anchor distT="0" distB="0" distL="114300" distR="114300" simplePos="0" relativeHeight="251658240" behindDoc="0" locked="0" layoutInCell="1" allowOverlap="1" wp14:anchorId="1224EAD9" wp14:editId="2D523B0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15FE" w14:textId="77777777" w:rsidR="00165EC9" w:rsidRPr="00AC3823" w:rsidRDefault="00165EC9" w:rsidP="00AC3823">
      <w:pPr>
        <w:pStyle w:val="Footer"/>
        <w:tabs>
          <w:tab w:val="right" w:pos="2155"/>
        </w:tabs>
        <w:spacing w:after="80" w:line="240" w:lineRule="atLeast"/>
        <w:ind w:left="680"/>
        <w:rPr>
          <w:u w:val="single"/>
        </w:rPr>
      </w:pPr>
      <w:r>
        <w:rPr>
          <w:u w:val="single"/>
        </w:rPr>
        <w:tab/>
      </w:r>
    </w:p>
  </w:footnote>
  <w:footnote w:type="continuationSeparator" w:id="0">
    <w:p w14:paraId="37B6F90B" w14:textId="77777777" w:rsidR="00165EC9" w:rsidRPr="00AC3823" w:rsidRDefault="00165EC9" w:rsidP="00AC3823">
      <w:pPr>
        <w:pStyle w:val="Footer"/>
        <w:tabs>
          <w:tab w:val="right" w:pos="2155"/>
        </w:tabs>
        <w:spacing w:after="80" w:line="240" w:lineRule="atLeast"/>
        <w:ind w:left="680"/>
        <w:rPr>
          <w:u w:val="single"/>
        </w:rPr>
      </w:pPr>
      <w:r>
        <w:rPr>
          <w:u w:val="single"/>
        </w:rPr>
        <w:tab/>
      </w:r>
    </w:p>
  </w:footnote>
  <w:footnote w:type="continuationNotice" w:id="1">
    <w:p w14:paraId="2F42C484" w14:textId="77777777" w:rsidR="00165EC9" w:rsidRPr="00AC3823" w:rsidRDefault="00165EC9">
      <w:pPr>
        <w:spacing w:line="240" w:lineRule="auto"/>
        <w:rPr>
          <w:sz w:val="2"/>
          <w:szCs w:val="2"/>
        </w:rPr>
      </w:pPr>
    </w:p>
  </w:footnote>
  <w:footnote w:id="2">
    <w:p w14:paraId="46B07914" w14:textId="77777777" w:rsidR="007A02D9" w:rsidRPr="007A02D9" w:rsidRDefault="007A02D9">
      <w:pPr>
        <w:pStyle w:val="FootnoteText"/>
      </w:pPr>
      <w:r>
        <w:rPr>
          <w:rStyle w:val="FootnoteReference"/>
        </w:rPr>
        <w:tab/>
      </w:r>
      <w:r w:rsidRPr="007A02D9">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D98" w14:textId="0342E275" w:rsidR="007A02D9" w:rsidRPr="007A02D9" w:rsidRDefault="00FD75CB">
    <w:pPr>
      <w:pStyle w:val="Header"/>
    </w:pPr>
    <w:r>
      <w:fldChar w:fldCharType="begin"/>
    </w:r>
    <w:r>
      <w:instrText xml:space="preserve"> TITLE  \* MERGEFORMAT </w:instrText>
    </w:r>
    <w:r>
      <w:fldChar w:fldCharType="separate"/>
    </w:r>
    <w:r>
      <w:t>ST/SG/AC.10/C.3/2019/34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29F0" w14:textId="004A6FFE" w:rsidR="007A02D9" w:rsidRPr="007A02D9" w:rsidRDefault="00FD75CB" w:rsidP="007A02D9">
    <w:pPr>
      <w:pStyle w:val="Header"/>
      <w:jc w:val="right"/>
    </w:pPr>
    <w:r>
      <w:fldChar w:fldCharType="begin"/>
    </w:r>
    <w:r>
      <w:instrText xml:space="preserve"> TITLE  \* MERGEFORMAT </w:instrText>
    </w:r>
    <w:r>
      <w:fldChar w:fldCharType="separate"/>
    </w:r>
    <w:r>
      <w:t>ST/SG/AC.10/C.3/2019/34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C9"/>
    <w:rsid w:val="00017F94"/>
    <w:rsid w:val="00023842"/>
    <w:rsid w:val="000305D3"/>
    <w:rsid w:val="000334F9"/>
    <w:rsid w:val="0007796D"/>
    <w:rsid w:val="000B7790"/>
    <w:rsid w:val="000D5A53"/>
    <w:rsid w:val="00111F2F"/>
    <w:rsid w:val="00132EA9"/>
    <w:rsid w:val="0014365E"/>
    <w:rsid w:val="00165EC9"/>
    <w:rsid w:val="00176178"/>
    <w:rsid w:val="001F525A"/>
    <w:rsid w:val="00223272"/>
    <w:rsid w:val="0024779E"/>
    <w:rsid w:val="00283190"/>
    <w:rsid w:val="002832AC"/>
    <w:rsid w:val="00293CDC"/>
    <w:rsid w:val="002D7C93"/>
    <w:rsid w:val="00441BD7"/>
    <w:rsid w:val="00441C3B"/>
    <w:rsid w:val="00446FE5"/>
    <w:rsid w:val="00452396"/>
    <w:rsid w:val="004E468C"/>
    <w:rsid w:val="004E7B3D"/>
    <w:rsid w:val="005505B7"/>
    <w:rsid w:val="00573BE5"/>
    <w:rsid w:val="00584DC4"/>
    <w:rsid w:val="00586ED3"/>
    <w:rsid w:val="00596AA9"/>
    <w:rsid w:val="00683DB2"/>
    <w:rsid w:val="0068456F"/>
    <w:rsid w:val="006C631F"/>
    <w:rsid w:val="0071601D"/>
    <w:rsid w:val="007A02D9"/>
    <w:rsid w:val="007A62E6"/>
    <w:rsid w:val="0080684C"/>
    <w:rsid w:val="00871C75"/>
    <w:rsid w:val="008776DC"/>
    <w:rsid w:val="008B40CD"/>
    <w:rsid w:val="008C32F8"/>
    <w:rsid w:val="009705C8"/>
    <w:rsid w:val="009C1CF4"/>
    <w:rsid w:val="00A30353"/>
    <w:rsid w:val="00AC3823"/>
    <w:rsid w:val="00AE323C"/>
    <w:rsid w:val="00AF3ED7"/>
    <w:rsid w:val="00B00181"/>
    <w:rsid w:val="00B00B0D"/>
    <w:rsid w:val="00B765F7"/>
    <w:rsid w:val="00BA0CA9"/>
    <w:rsid w:val="00C02897"/>
    <w:rsid w:val="00D3439C"/>
    <w:rsid w:val="00DB1831"/>
    <w:rsid w:val="00DD3BFD"/>
    <w:rsid w:val="00DF6678"/>
    <w:rsid w:val="00E7452D"/>
    <w:rsid w:val="00EF2E22"/>
    <w:rsid w:val="00F01738"/>
    <w:rsid w:val="00F660DF"/>
    <w:rsid w:val="00F730C8"/>
    <w:rsid w:val="00F95C08"/>
    <w:rsid w:val="00FD75C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B3496"/>
  <w15:docId w15:val="{4F8277FD-9E8C-4CCA-9CDB-B3E1A9F5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ST/SG/AC.10/C.3/2019/34</vt:lpstr>
      <vt:lpstr>ST/SG/AC.10/C.3/2019/34</vt:lpstr>
    </vt:vector>
  </TitlesOfParts>
  <Company>DCM</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ST/SG/AC.10/C.3/2019/34</dc:title>
  <dc:subject/>
  <dc:creator>Julien OKRZESIK</dc:creator>
  <cp:keywords/>
  <cp:lastModifiedBy>Laurence Berthet</cp:lastModifiedBy>
  <cp:revision>3</cp:revision>
  <cp:lastPrinted>2019-05-10T09:54:00Z</cp:lastPrinted>
  <dcterms:created xsi:type="dcterms:W3CDTF">2019-05-10T09:54:00Z</dcterms:created>
  <dcterms:modified xsi:type="dcterms:W3CDTF">2019-05-10T09:54:00Z</dcterms:modified>
</cp:coreProperties>
</file>