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CD67BD" w14:textId="77777777" w:rsidTr="00C97039">
        <w:trPr>
          <w:trHeight w:hRule="exact" w:val="851"/>
        </w:trPr>
        <w:tc>
          <w:tcPr>
            <w:tcW w:w="1276" w:type="dxa"/>
            <w:tcBorders>
              <w:bottom w:val="single" w:sz="4" w:space="0" w:color="auto"/>
            </w:tcBorders>
          </w:tcPr>
          <w:p w14:paraId="6943D3FF" w14:textId="77777777" w:rsidR="00F35BAF" w:rsidRPr="00DB58B5" w:rsidRDefault="00F35BAF" w:rsidP="00BE0CAD">
            <w:bookmarkStart w:id="0" w:name="_GoBack"/>
            <w:bookmarkEnd w:id="0"/>
          </w:p>
        </w:tc>
        <w:tc>
          <w:tcPr>
            <w:tcW w:w="2268" w:type="dxa"/>
            <w:tcBorders>
              <w:bottom w:val="single" w:sz="4" w:space="0" w:color="auto"/>
            </w:tcBorders>
            <w:vAlign w:val="bottom"/>
          </w:tcPr>
          <w:p w14:paraId="6A28D6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CADEAD" w14:textId="77777777" w:rsidR="00F35BAF" w:rsidRPr="00DB58B5" w:rsidRDefault="00BE0CAD" w:rsidP="00BE0CAD">
            <w:pPr>
              <w:jc w:val="right"/>
            </w:pPr>
            <w:r w:rsidRPr="00BE0CAD">
              <w:rPr>
                <w:sz w:val="40"/>
              </w:rPr>
              <w:t>ST</w:t>
            </w:r>
            <w:r>
              <w:t>/SG/AC.10/C.3/2019/33</w:t>
            </w:r>
          </w:p>
        </w:tc>
      </w:tr>
      <w:tr w:rsidR="00F35BAF" w:rsidRPr="00DB58B5" w14:paraId="30BC4B37" w14:textId="77777777" w:rsidTr="00C97039">
        <w:trPr>
          <w:trHeight w:hRule="exact" w:val="2835"/>
        </w:trPr>
        <w:tc>
          <w:tcPr>
            <w:tcW w:w="1276" w:type="dxa"/>
            <w:tcBorders>
              <w:top w:val="single" w:sz="4" w:space="0" w:color="auto"/>
              <w:bottom w:val="single" w:sz="12" w:space="0" w:color="auto"/>
            </w:tcBorders>
          </w:tcPr>
          <w:p w14:paraId="1311B626" w14:textId="77777777" w:rsidR="00F35BAF" w:rsidRPr="00DB58B5" w:rsidRDefault="00F35BAF" w:rsidP="00C97039">
            <w:pPr>
              <w:spacing w:before="120"/>
              <w:jc w:val="center"/>
            </w:pPr>
            <w:r>
              <w:rPr>
                <w:noProof/>
                <w:lang w:eastAsia="fr-CH"/>
              </w:rPr>
              <w:drawing>
                <wp:inline distT="0" distB="0" distL="0" distR="0" wp14:anchorId="318F4BD5" wp14:editId="615D08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8586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7D2DA9" w14:textId="77777777" w:rsidR="00F35BAF" w:rsidRDefault="00BE0CAD" w:rsidP="00C97039">
            <w:pPr>
              <w:spacing w:before="240"/>
            </w:pPr>
            <w:r>
              <w:t>Distr. générale</w:t>
            </w:r>
          </w:p>
          <w:p w14:paraId="174D5409" w14:textId="77777777" w:rsidR="00BE0CAD" w:rsidRDefault="00BE0CAD" w:rsidP="00BE0CAD">
            <w:pPr>
              <w:spacing w:line="240" w:lineRule="exact"/>
            </w:pPr>
            <w:r>
              <w:t>9 avril 2019</w:t>
            </w:r>
          </w:p>
          <w:p w14:paraId="0C9D941F" w14:textId="77777777" w:rsidR="00BE0CAD" w:rsidRDefault="00BE0CAD" w:rsidP="00BE0CAD">
            <w:pPr>
              <w:spacing w:line="240" w:lineRule="exact"/>
            </w:pPr>
            <w:r>
              <w:t>Français</w:t>
            </w:r>
          </w:p>
          <w:p w14:paraId="1448323F" w14:textId="77777777" w:rsidR="00BE0CAD" w:rsidRPr="00DB58B5" w:rsidRDefault="00BE0CAD" w:rsidP="00BE0CAD">
            <w:pPr>
              <w:spacing w:line="240" w:lineRule="exact"/>
            </w:pPr>
            <w:r>
              <w:t>Original</w:t>
            </w:r>
            <w:r w:rsidR="00F61E04">
              <w:t> :</w:t>
            </w:r>
            <w:r>
              <w:t xml:space="preserve"> anglais</w:t>
            </w:r>
          </w:p>
        </w:tc>
      </w:tr>
    </w:tbl>
    <w:p w14:paraId="429E5CE4" w14:textId="77777777" w:rsidR="00F61E04" w:rsidRPr="001227AF" w:rsidRDefault="00F61E04" w:rsidP="00F61E04">
      <w:pPr>
        <w:spacing w:before="120"/>
        <w:rPr>
          <w:b/>
          <w:sz w:val="24"/>
          <w:szCs w:val="24"/>
        </w:rPr>
      </w:pPr>
      <w:r w:rsidRPr="001227AF">
        <w:rPr>
          <w:b/>
          <w:sz w:val="24"/>
          <w:szCs w:val="24"/>
        </w:rPr>
        <w:t>Comité</w:t>
      </w:r>
      <w:r>
        <w:rPr>
          <w:b/>
          <w:sz w:val="24"/>
          <w:szCs w:val="24"/>
        </w:rPr>
        <w:t xml:space="preserve"> </w:t>
      </w:r>
      <w:r w:rsidRPr="001227AF">
        <w:rPr>
          <w:b/>
          <w:sz w:val="24"/>
          <w:szCs w:val="24"/>
        </w:rPr>
        <w:t>d</w:t>
      </w:r>
      <w:r>
        <w:rPr>
          <w:b/>
          <w:sz w:val="24"/>
          <w:szCs w:val="24"/>
        </w:rPr>
        <w:t>’</w:t>
      </w:r>
      <w:r w:rsidRPr="001227AF">
        <w:rPr>
          <w:b/>
          <w:sz w:val="24"/>
          <w:szCs w:val="24"/>
        </w:rPr>
        <w:t>experts</w:t>
      </w:r>
      <w:r>
        <w:rPr>
          <w:b/>
          <w:sz w:val="24"/>
          <w:szCs w:val="24"/>
        </w:rPr>
        <w:t xml:space="preserve"> </w:t>
      </w:r>
      <w:r w:rsidRPr="001227AF">
        <w:rPr>
          <w:b/>
          <w:sz w:val="24"/>
          <w:szCs w:val="24"/>
        </w:rPr>
        <w:t>du</w:t>
      </w:r>
      <w:r>
        <w:rPr>
          <w:b/>
          <w:sz w:val="24"/>
          <w:szCs w:val="24"/>
        </w:rPr>
        <w:t xml:space="preserve"> </w:t>
      </w:r>
      <w:r w:rsidRPr="001227AF">
        <w:rPr>
          <w:b/>
          <w:sz w:val="24"/>
          <w:szCs w:val="24"/>
        </w:rPr>
        <w:t>transport</w:t>
      </w:r>
      <w:r>
        <w:rPr>
          <w:b/>
          <w:sz w:val="24"/>
          <w:szCs w:val="24"/>
        </w:rPr>
        <w:t xml:space="preserve"> </w:t>
      </w:r>
      <w:r w:rsidRPr="001227AF">
        <w:rPr>
          <w:b/>
          <w:sz w:val="24"/>
          <w:szCs w:val="24"/>
        </w:rPr>
        <w:t>des</w:t>
      </w:r>
      <w:r>
        <w:rPr>
          <w:b/>
          <w:sz w:val="24"/>
          <w:szCs w:val="24"/>
        </w:rPr>
        <w:t xml:space="preserve"> </w:t>
      </w:r>
      <w:r w:rsidRPr="001227AF">
        <w:rPr>
          <w:b/>
          <w:sz w:val="24"/>
          <w:szCs w:val="24"/>
        </w:rPr>
        <w:t>marchandises</w:t>
      </w:r>
      <w:r>
        <w:rPr>
          <w:b/>
          <w:sz w:val="24"/>
          <w:szCs w:val="24"/>
        </w:rPr>
        <w:t xml:space="preserve"> </w:t>
      </w:r>
      <w:r w:rsidRPr="001227AF">
        <w:rPr>
          <w:b/>
          <w:sz w:val="24"/>
          <w:szCs w:val="24"/>
        </w:rPr>
        <w:t>dangereuses</w:t>
      </w:r>
      <w:r w:rsidRPr="001227AF">
        <w:rPr>
          <w:b/>
          <w:sz w:val="24"/>
          <w:szCs w:val="24"/>
        </w:rPr>
        <w:br/>
        <w:t>et</w:t>
      </w:r>
      <w:r>
        <w:rPr>
          <w:b/>
          <w:sz w:val="24"/>
          <w:szCs w:val="24"/>
        </w:rPr>
        <w:t xml:space="preserve"> </w:t>
      </w:r>
      <w:r w:rsidRPr="001227AF">
        <w:rPr>
          <w:b/>
          <w:sz w:val="24"/>
          <w:szCs w:val="24"/>
        </w:rPr>
        <w:t>du</w:t>
      </w:r>
      <w:r>
        <w:rPr>
          <w:b/>
          <w:sz w:val="24"/>
          <w:szCs w:val="24"/>
        </w:rPr>
        <w:t xml:space="preserve"> </w:t>
      </w:r>
      <w:r w:rsidRPr="001227AF">
        <w:rPr>
          <w:b/>
          <w:sz w:val="24"/>
          <w:szCs w:val="24"/>
        </w:rPr>
        <w:t>Système</w:t>
      </w:r>
      <w:r>
        <w:rPr>
          <w:b/>
          <w:sz w:val="24"/>
          <w:szCs w:val="24"/>
        </w:rPr>
        <w:t xml:space="preserve"> </w:t>
      </w:r>
      <w:r w:rsidRPr="001227AF">
        <w:rPr>
          <w:b/>
          <w:sz w:val="24"/>
          <w:szCs w:val="24"/>
        </w:rPr>
        <w:t>général</w:t>
      </w:r>
      <w:r>
        <w:rPr>
          <w:b/>
          <w:sz w:val="24"/>
          <w:szCs w:val="24"/>
        </w:rPr>
        <w:t xml:space="preserve"> </w:t>
      </w:r>
      <w:r w:rsidRPr="001227AF">
        <w:rPr>
          <w:b/>
          <w:sz w:val="24"/>
          <w:szCs w:val="24"/>
        </w:rPr>
        <w:t>harmonisé</w:t>
      </w:r>
      <w:r>
        <w:rPr>
          <w:b/>
          <w:sz w:val="24"/>
          <w:szCs w:val="24"/>
        </w:rPr>
        <w:t xml:space="preserve"> </w:t>
      </w:r>
      <w:r w:rsidRPr="001227AF">
        <w:rPr>
          <w:b/>
          <w:sz w:val="24"/>
          <w:szCs w:val="24"/>
        </w:rPr>
        <w:t>de</w:t>
      </w:r>
      <w:r>
        <w:rPr>
          <w:b/>
          <w:sz w:val="24"/>
          <w:szCs w:val="24"/>
        </w:rPr>
        <w:t xml:space="preserve"> </w:t>
      </w:r>
      <w:r w:rsidRPr="001227AF">
        <w:rPr>
          <w:b/>
          <w:sz w:val="24"/>
          <w:szCs w:val="24"/>
        </w:rPr>
        <w:t>classification</w:t>
      </w:r>
      <w:r w:rsidRPr="001227AF">
        <w:rPr>
          <w:b/>
          <w:sz w:val="24"/>
          <w:szCs w:val="24"/>
        </w:rPr>
        <w:br/>
        <w:t>et</w:t>
      </w:r>
      <w:r>
        <w:rPr>
          <w:b/>
          <w:sz w:val="24"/>
          <w:szCs w:val="24"/>
        </w:rPr>
        <w:t xml:space="preserve"> </w:t>
      </w:r>
      <w:r w:rsidRPr="001227AF">
        <w:rPr>
          <w:b/>
          <w:sz w:val="24"/>
          <w:szCs w:val="24"/>
        </w:rPr>
        <w:t>d</w:t>
      </w:r>
      <w:r>
        <w:rPr>
          <w:b/>
          <w:sz w:val="24"/>
          <w:szCs w:val="24"/>
        </w:rPr>
        <w:t>’</w:t>
      </w:r>
      <w:r w:rsidRPr="001227AF">
        <w:rPr>
          <w:b/>
          <w:sz w:val="24"/>
          <w:szCs w:val="24"/>
        </w:rPr>
        <w:t>étiquetage</w:t>
      </w:r>
      <w:r>
        <w:rPr>
          <w:b/>
          <w:sz w:val="24"/>
          <w:szCs w:val="24"/>
        </w:rPr>
        <w:t xml:space="preserve"> </w:t>
      </w:r>
      <w:r w:rsidRPr="001227AF">
        <w:rPr>
          <w:b/>
          <w:sz w:val="24"/>
          <w:szCs w:val="24"/>
        </w:rPr>
        <w:t>des</w:t>
      </w:r>
      <w:r>
        <w:rPr>
          <w:b/>
          <w:sz w:val="24"/>
          <w:szCs w:val="24"/>
        </w:rPr>
        <w:t xml:space="preserve"> </w:t>
      </w:r>
      <w:r w:rsidRPr="001227AF">
        <w:rPr>
          <w:b/>
          <w:sz w:val="24"/>
          <w:szCs w:val="24"/>
        </w:rPr>
        <w:t>produits</w:t>
      </w:r>
      <w:r>
        <w:rPr>
          <w:b/>
          <w:sz w:val="24"/>
          <w:szCs w:val="24"/>
        </w:rPr>
        <w:t xml:space="preserve"> </w:t>
      </w:r>
      <w:r w:rsidRPr="001227AF">
        <w:rPr>
          <w:b/>
          <w:sz w:val="24"/>
          <w:szCs w:val="24"/>
        </w:rPr>
        <w:t>chimiques</w:t>
      </w:r>
    </w:p>
    <w:p w14:paraId="505E5D7C" w14:textId="77777777" w:rsidR="00F61E04" w:rsidRPr="00F61E04" w:rsidRDefault="00F61E04" w:rsidP="00F61E04">
      <w:pPr>
        <w:spacing w:before="120"/>
        <w:rPr>
          <w:b/>
        </w:rPr>
      </w:pPr>
      <w:r w:rsidRPr="00F61E04">
        <w:rPr>
          <w:b/>
        </w:rPr>
        <w:t>Sous-Comité d’experts du transport des marchandises dangereuses</w:t>
      </w:r>
    </w:p>
    <w:p w14:paraId="4F3542E6" w14:textId="77777777" w:rsidR="00F61E04" w:rsidRPr="00F61E04" w:rsidRDefault="00F61E04" w:rsidP="00F61E04">
      <w:pPr>
        <w:spacing w:before="120"/>
        <w:rPr>
          <w:b/>
        </w:rPr>
      </w:pPr>
      <w:r w:rsidRPr="00F61E04">
        <w:rPr>
          <w:b/>
        </w:rPr>
        <w:t>Cinquante-cinquième session</w:t>
      </w:r>
    </w:p>
    <w:p w14:paraId="49545E20" w14:textId="77777777" w:rsidR="00F61E04" w:rsidRPr="001227AF" w:rsidRDefault="00F61E04" w:rsidP="00F61E04">
      <w:r w:rsidRPr="001227AF">
        <w:t>Genève,</w:t>
      </w:r>
      <w:r>
        <w:t xml:space="preserve"> 1</w:t>
      </w:r>
      <w:r w:rsidRPr="00BC6175">
        <w:rPr>
          <w:vertAlign w:val="superscript"/>
        </w:rPr>
        <w:t>er</w:t>
      </w:r>
      <w:r>
        <w:t>-5 </w:t>
      </w:r>
      <w:r w:rsidRPr="001227AF">
        <w:t>juillet</w:t>
      </w:r>
      <w:r>
        <w:t xml:space="preserve"> </w:t>
      </w:r>
      <w:r w:rsidRPr="001227AF">
        <w:t>201</w:t>
      </w:r>
      <w:r>
        <w:t>9</w:t>
      </w:r>
    </w:p>
    <w:p w14:paraId="44ABD308" w14:textId="77777777" w:rsidR="00F61E04" w:rsidRPr="001227AF" w:rsidRDefault="00F61E04" w:rsidP="00F61E04">
      <w:r w:rsidRPr="001227AF">
        <w:t>Point</w:t>
      </w:r>
      <w:r>
        <w:t xml:space="preserve"> 4 a</w:t>
      </w:r>
      <w:r w:rsidRPr="001227AF">
        <w:t>)</w:t>
      </w:r>
      <w:r>
        <w:t xml:space="preserve"> </w:t>
      </w:r>
      <w:r w:rsidRPr="001227AF">
        <w:t>de</w:t>
      </w:r>
      <w:r>
        <w:t xml:space="preserve"> </w:t>
      </w:r>
      <w:r w:rsidRPr="001227AF">
        <w:t>l</w:t>
      </w:r>
      <w:r>
        <w:t>’</w:t>
      </w:r>
      <w:r w:rsidRPr="001227AF">
        <w:t>ordre</w:t>
      </w:r>
      <w:r>
        <w:t xml:space="preserve"> </w:t>
      </w:r>
      <w:r w:rsidRPr="001227AF">
        <w:t>du</w:t>
      </w:r>
      <w:r>
        <w:t xml:space="preserve"> </w:t>
      </w:r>
      <w:r w:rsidRPr="001227AF">
        <w:t>jour</w:t>
      </w:r>
      <w:r>
        <w:t xml:space="preserve"> </w:t>
      </w:r>
      <w:r w:rsidRPr="001227AF">
        <w:t>provisoire</w:t>
      </w:r>
    </w:p>
    <w:p w14:paraId="0ECBB8D8" w14:textId="77777777" w:rsidR="00F61E04" w:rsidRPr="00F61E04" w:rsidRDefault="00F61E04" w:rsidP="00F61E04">
      <w:pPr>
        <w:rPr>
          <w:b/>
        </w:rPr>
      </w:pPr>
      <w:r w:rsidRPr="00F61E04">
        <w:rPr>
          <w:b/>
          <w:bCs/>
        </w:rPr>
        <w:t>Systèmes de stockage d’électricité : épreuves pour les batteries au lithium</w:t>
      </w:r>
    </w:p>
    <w:p w14:paraId="387EEF44" w14:textId="77777777" w:rsidR="00F61E04" w:rsidRDefault="00F61E04" w:rsidP="00F61E04">
      <w:pPr>
        <w:pStyle w:val="HChG"/>
      </w:pPr>
      <w:r w:rsidRPr="001227AF">
        <w:tab/>
      </w:r>
      <w:r w:rsidRPr="001227AF">
        <w:tab/>
      </w:r>
      <w:r>
        <w:t>Modifications à apporter au paragraphe 38.3.3 d) et g) du Manuel d’épreuves et de critères</w:t>
      </w:r>
    </w:p>
    <w:p w14:paraId="78ADD167" w14:textId="77777777" w:rsidR="00F61E04" w:rsidRDefault="00F61E04" w:rsidP="00F61E04">
      <w:pPr>
        <w:pStyle w:val="H1G"/>
      </w:pPr>
      <w:r>
        <w:tab/>
      </w:r>
      <w:r>
        <w:tab/>
        <w:t>Communication de la European Association for Advanced Rechargeable Batteries (RECHARGE) et de la Rechargeable Battery Association (PRBA)</w:t>
      </w:r>
      <w:r w:rsidR="00CE56E0" w:rsidRPr="00CE56E0">
        <w:rPr>
          <w:rStyle w:val="FootnoteReference"/>
          <w:b w:val="0"/>
          <w:sz w:val="20"/>
          <w:vertAlign w:val="baseline"/>
        </w:rPr>
        <w:footnoteReference w:customMarkFollows="1" w:id="2"/>
        <w:t>*</w:t>
      </w:r>
    </w:p>
    <w:p w14:paraId="3F47441E" w14:textId="77777777" w:rsidR="00F61E04" w:rsidRDefault="00F61E04" w:rsidP="00F61E04">
      <w:pPr>
        <w:pStyle w:val="HChG"/>
      </w:pPr>
      <w:r>
        <w:tab/>
      </w:r>
      <w:r>
        <w:tab/>
        <w:t>Introduction</w:t>
      </w:r>
    </w:p>
    <w:p w14:paraId="2C0D1BBA" w14:textId="77777777" w:rsidR="00F61E04" w:rsidRDefault="00F61E04" w:rsidP="00F61E04">
      <w:pPr>
        <w:pStyle w:val="SingleTxtG"/>
      </w:pPr>
      <w:r>
        <w:t>1.</w:t>
      </w:r>
      <w:r>
        <w:tab/>
        <w:t>Le présent document reproduit en premier lieu les débats qui ont eu lieu et les observations qui ont été formulées à la suite des propositions de modification présentées dans le document ST/SG/AC.10/C.3/2018/84 et le document INF.53/Rev.1 (cinquante-quatrième session). La proposition présentée ici vi</w:t>
      </w:r>
      <w:r w:rsidR="005D66E1">
        <w:t>s</w:t>
      </w:r>
      <w:r>
        <w:t>e à compléter le paragraphe 38.3.3 g) du Manuel d’épreuves et de critères, qui définit les prescriptions applicables aux batteries « assemblées »</w:t>
      </w:r>
      <w:r w:rsidR="00A25243">
        <w:t>,</w:t>
      </w:r>
      <w:r>
        <w:t xml:space="preserve"> c’est-à-dire les batteries qui ont satisfait à toutes les épreuves du 38.3 et qui sont reliées électriquement entre elles pour former une grande batterie. Il s’agit notamment de l’assemblage et de l’entretien des grandes batteries assemblées utilisées pour les véhicules électriques ou le stockage de l’énergie, qui nécessitent le transport des pièces de ces grandes batteries. Bien que ces pièces puissent être de grandes dimensions, elles ne sont pas forcément équipées d’une protection contre la surcharge, étant donné que cette protection est déjà assurée par le véhicule, l’équipement ou la batterie elle-même. Notre première préoccupation dans notre proposition initiale était de savoir comment gérer le risque de surcharge, lorsqu’il s’agit de batteries assemblées transportées sans protection contre la surcharge.</w:t>
      </w:r>
    </w:p>
    <w:p w14:paraId="0DED6678" w14:textId="77777777" w:rsidR="00F61E04" w:rsidRDefault="00F61E04" w:rsidP="00F61E04">
      <w:pPr>
        <w:pStyle w:val="SingleTxtG"/>
      </w:pPr>
      <w:r>
        <w:t>2.</w:t>
      </w:r>
      <w:r>
        <w:tab/>
        <w:t>Le paragraphe 38.3.3 g) du Manuel d’épreuves et de critères rend obligatoire la vérification de la protection contre la surcharge. Dans certains cas, cela suppose que cette protection fait partie de la batterie.</w:t>
      </w:r>
    </w:p>
    <w:p w14:paraId="6780D066" w14:textId="77777777" w:rsidR="00F61E04" w:rsidRDefault="00F61E04" w:rsidP="00F61E04">
      <w:pPr>
        <w:pStyle w:val="SingleTxtG"/>
        <w:keepLines/>
      </w:pPr>
      <w:r>
        <w:lastRenderedPageBreak/>
        <w:t>3.</w:t>
      </w:r>
      <w:r>
        <w:tab/>
        <w:t>Le risque de transporter une batterie ou une batterie assemblée en état de surcharge est manifestement lié à leur recharge avant le transport. En effet, pendant leur fabrication, les batteries sont protégées de la surcharge grâce à l’équipement utilisé. Ensuite, pendant le transport, les batteries, et les batteries assemblées, qui sont protégées contre les court</w:t>
      </w:r>
      <w:r w:rsidR="000F7331">
        <w:noBreakHyphen/>
      </w:r>
      <w:r>
        <w:t>circuits et la surcharge entre les batteries assemblées, ne peuvent être en état de surcharge étant donné qu’elles ne sont jamais raccordées à un système de charge actif.</w:t>
      </w:r>
    </w:p>
    <w:p w14:paraId="53C7CBD8" w14:textId="77777777" w:rsidR="00F61E04" w:rsidRDefault="00F61E04" w:rsidP="00F61E04">
      <w:pPr>
        <w:pStyle w:val="SingleTxtG"/>
      </w:pPr>
      <w:r>
        <w:t>4.</w:t>
      </w:r>
      <w:r>
        <w:tab/>
        <w:t>Afin de préciser le risque spécifique de surcharge, sans exiger que la batterie assemblée soit nécessairement équipée d’une protection contre la surcharge pendant le transport, nous proposons l’ajout d’un NOTA à la fin du paragraphe 38.3.3 g).</w:t>
      </w:r>
    </w:p>
    <w:p w14:paraId="32E401CD" w14:textId="77777777" w:rsidR="00F61E04" w:rsidRDefault="00F61E04" w:rsidP="00F61E04">
      <w:pPr>
        <w:pStyle w:val="SingleTxtG"/>
      </w:pPr>
      <w:r>
        <w:t>5.</w:t>
      </w:r>
      <w:r>
        <w:tab/>
        <w:t>À ce propos, on peut citer le paragraphe 38.3.3 d) comme exemple de dispense de cette épreuve : « Les batteries ou les batteries à une seule pile dépourvues de dispositif de protection contre les surcharges, qui sont conçues pour être utilisées seulement en tant qu’élément d’une autre batterie ou d’un équipement conférant une telle protection, ne sont pas soumises à cette épreuve. ». Nous estimons que le Groupe de travail des batteries au lithium a commis l’erreur de ne pas tenir compte des véhicules dans ce paragraphe, sachant que ces derniers sont désormais capables de conférer une telle protection, comme on l’a vu ci-dessus. Nous proposons donc d’ajouter le mot « véhicule » dans le dernier alinéa du paragraphe 38.3.3 d).</w:t>
      </w:r>
    </w:p>
    <w:p w14:paraId="7025D143" w14:textId="77777777" w:rsidR="00F61E04" w:rsidRDefault="00F61E04" w:rsidP="00F61E04">
      <w:pPr>
        <w:pStyle w:val="SingleTxtG"/>
      </w:pPr>
      <w:r>
        <w:t>6.</w:t>
      </w:r>
      <w:r>
        <w:tab/>
        <w:t>Les propositions ci-après sont soumises au Sous-Comité aux fins d’approbation.</w:t>
      </w:r>
    </w:p>
    <w:p w14:paraId="75D9F597" w14:textId="77777777" w:rsidR="00F61E04" w:rsidRPr="00E5399F" w:rsidRDefault="00F61E04" w:rsidP="00F61E04">
      <w:pPr>
        <w:pStyle w:val="HChG"/>
      </w:pPr>
      <w:r>
        <w:tab/>
      </w:r>
      <w:r>
        <w:tab/>
      </w:r>
      <w:r w:rsidRPr="00E5399F">
        <w:t>Proposition</w:t>
      </w:r>
    </w:p>
    <w:p w14:paraId="45AFA49B" w14:textId="77777777" w:rsidR="00F61E04" w:rsidRPr="001859CC" w:rsidRDefault="00F61E04" w:rsidP="00F61E04">
      <w:pPr>
        <w:pStyle w:val="SingleTxtG"/>
        <w:rPr>
          <w:b/>
        </w:rPr>
      </w:pPr>
      <w:r w:rsidRPr="001859CC">
        <w:t>7.</w:t>
      </w:r>
      <w:r w:rsidRPr="001859CC">
        <w:tab/>
        <w:t>Ajouter</w:t>
      </w:r>
      <w:r>
        <w:t xml:space="preserve"> un NOTA à la fin du paragraphe 38.3.3 g), comme suit (le nouveau texte est souligné) :</w:t>
      </w:r>
    </w:p>
    <w:p w14:paraId="7E4AA6CC" w14:textId="77777777" w:rsidR="00F61E04" w:rsidRDefault="00F61E04" w:rsidP="005608EB">
      <w:pPr>
        <w:pStyle w:val="SingleTxtG"/>
        <w:ind w:left="1701"/>
      </w:pPr>
      <w:r>
        <w:t>« </w:t>
      </w:r>
      <w:r w:rsidRPr="001859CC">
        <w:t>g)</w:t>
      </w:r>
      <w:r w:rsidR="005608EB">
        <w:tab/>
      </w:r>
      <w:r>
        <w:t>Lorsque des batteries qui ont passé toutes les épreuves applicables sont électriquement reliées pour former une batterie dans laquelle le contenu total de lithium dans l’ensemble des anodes à l’état complètement chargé est supérieur à 500</w:t>
      </w:r>
      <w:r w:rsidR="005608EB">
        <w:t> </w:t>
      </w:r>
      <w:r>
        <w:t>g, ou, dans le cas de batteries au lithium-ion ayant une énergie nominale en watt-heure supérieure à 6</w:t>
      </w:r>
      <w:r w:rsidR="005608EB">
        <w:t> </w:t>
      </w:r>
      <w:r>
        <w:t>200</w:t>
      </w:r>
      <w:r w:rsidR="005608EB">
        <w:t> </w:t>
      </w:r>
      <w:r>
        <w:t>Wh, la batterie assemblée n’a pas à être éprouvée si elle est d’un type qui a été vérifié comme protégeant contre :</w:t>
      </w:r>
    </w:p>
    <w:p w14:paraId="10EDCDCF" w14:textId="77777777" w:rsidR="00F61E04" w:rsidRDefault="00F61E04" w:rsidP="005608EB">
      <w:pPr>
        <w:pStyle w:val="SingleTxtG"/>
        <w:ind w:left="2268"/>
      </w:pPr>
      <w:r>
        <w:t>i)</w:t>
      </w:r>
      <w:r>
        <w:tab/>
        <w:t>La surcharge ;</w:t>
      </w:r>
    </w:p>
    <w:p w14:paraId="0DFD2EAE" w14:textId="77777777" w:rsidR="00F61E04" w:rsidRDefault="00F61E04" w:rsidP="005608EB">
      <w:pPr>
        <w:pStyle w:val="SingleTxtG"/>
        <w:ind w:left="2268"/>
      </w:pPr>
      <w:r>
        <w:t>ii)</w:t>
      </w:r>
      <w:r>
        <w:tab/>
        <w:t>Les court-circuits ; et</w:t>
      </w:r>
    </w:p>
    <w:p w14:paraId="44F490B1" w14:textId="77777777" w:rsidR="00F61E04" w:rsidRDefault="00F61E04" w:rsidP="005608EB">
      <w:pPr>
        <w:pStyle w:val="SingleTxtG"/>
        <w:ind w:left="2268"/>
      </w:pPr>
      <w:r>
        <w:t>iii)</w:t>
      </w:r>
      <w:r>
        <w:tab/>
        <w:t>La décharge excessive entre les batteries.</w:t>
      </w:r>
    </w:p>
    <w:p w14:paraId="755FBB14" w14:textId="77777777" w:rsidR="00F61E04" w:rsidRDefault="00F61E04" w:rsidP="005608EB">
      <w:pPr>
        <w:pStyle w:val="SingleTxtG"/>
        <w:ind w:left="1701"/>
        <w:rPr>
          <w:i/>
          <w:u w:val="single"/>
        </w:rPr>
      </w:pPr>
      <w:r w:rsidRPr="000F7331">
        <w:rPr>
          <w:u w:val="single"/>
        </w:rPr>
        <w:t xml:space="preserve">NOTA : </w:t>
      </w:r>
      <w:r w:rsidRPr="000F7331">
        <w:rPr>
          <w:i/>
          <w:u w:val="single"/>
        </w:rPr>
        <w:t>Pour</w:t>
      </w:r>
      <w:r>
        <w:rPr>
          <w:i/>
          <w:u w:val="single"/>
        </w:rPr>
        <w:t xml:space="preserve"> une batterie assemblée dépourvue de protection contre la surcharge conçue uniquement pour être utilisée en tant qu’élément d’une autre batterie, d’un équipement ou d’un véhicule conférant cette protection, la protection contre la surcharge peut être vérifiée sur la batterie, l’équipement ou le véhicule, selon le cas.</w:t>
      </w:r>
      <w:r w:rsidR="005608EB" w:rsidRPr="005608EB">
        <w:t> </w:t>
      </w:r>
      <w:r w:rsidRPr="005608EB">
        <w:t>».</w:t>
      </w:r>
    </w:p>
    <w:p w14:paraId="7498D3DE" w14:textId="77777777" w:rsidR="00F61E04" w:rsidRPr="005608EB" w:rsidRDefault="00F61E04" w:rsidP="005608EB">
      <w:pPr>
        <w:pStyle w:val="SingleTxtG"/>
      </w:pPr>
      <w:r w:rsidRPr="005608EB">
        <w:t>8.</w:t>
      </w:r>
      <w:r w:rsidRPr="005608EB">
        <w:tab/>
        <w:t>Au paragraphe 38.3.3 d) ajouter le mot «</w:t>
      </w:r>
      <w:r w:rsidR="005608EB">
        <w:t> </w:t>
      </w:r>
      <w:r w:rsidRPr="005608EB">
        <w:t>véhicule</w:t>
      </w:r>
      <w:r w:rsidR="005608EB">
        <w:t> </w:t>
      </w:r>
      <w:r w:rsidRPr="005608EB">
        <w:t>» dans le dernier alinéa, comme suit :</w:t>
      </w:r>
    </w:p>
    <w:p w14:paraId="2604D12E" w14:textId="77777777" w:rsidR="00F9573C" w:rsidRDefault="00F61E04" w:rsidP="005608EB">
      <w:pPr>
        <w:pStyle w:val="SingleTxtG"/>
        <w:ind w:left="1701"/>
      </w:pPr>
      <w:r w:rsidRPr="00126A8A">
        <w:t>«</w:t>
      </w:r>
      <w:r w:rsidR="005608EB">
        <w:t> </w:t>
      </w:r>
      <w:r w:rsidRPr="00126A8A">
        <w:t>Les</w:t>
      </w:r>
      <w:r>
        <w:t xml:space="preserve"> </w:t>
      </w:r>
      <w:r w:rsidRPr="00126A8A">
        <w:t>batteries</w:t>
      </w:r>
      <w:r>
        <w:t xml:space="preserve"> </w:t>
      </w:r>
      <w:r w:rsidRPr="00126A8A">
        <w:t>ou</w:t>
      </w:r>
      <w:r>
        <w:t xml:space="preserve"> </w:t>
      </w:r>
      <w:r w:rsidRPr="00126A8A">
        <w:t>les</w:t>
      </w:r>
      <w:r>
        <w:t xml:space="preserve"> </w:t>
      </w:r>
      <w:r w:rsidRPr="00126A8A">
        <w:t>batteries</w:t>
      </w:r>
      <w:r>
        <w:t xml:space="preserve"> </w:t>
      </w:r>
      <w:r w:rsidRPr="00126A8A">
        <w:t>à</w:t>
      </w:r>
      <w:r>
        <w:t xml:space="preserve"> </w:t>
      </w:r>
      <w:r w:rsidRPr="00126A8A">
        <w:t>une</w:t>
      </w:r>
      <w:r>
        <w:t xml:space="preserve"> </w:t>
      </w:r>
      <w:r w:rsidRPr="00126A8A">
        <w:t>seule</w:t>
      </w:r>
      <w:r>
        <w:t xml:space="preserve"> </w:t>
      </w:r>
      <w:r w:rsidRPr="00126A8A">
        <w:t>pile</w:t>
      </w:r>
      <w:r>
        <w:t xml:space="preserve"> </w:t>
      </w:r>
      <w:r w:rsidRPr="00126A8A">
        <w:t>dépourvues</w:t>
      </w:r>
      <w:r>
        <w:t xml:space="preserve"> </w:t>
      </w:r>
      <w:r w:rsidRPr="00126A8A">
        <w:t>de</w:t>
      </w:r>
      <w:r>
        <w:t xml:space="preserve"> </w:t>
      </w:r>
      <w:r w:rsidRPr="00126A8A">
        <w:t>dispositif</w:t>
      </w:r>
      <w:r>
        <w:t xml:space="preserve"> </w:t>
      </w:r>
      <w:r w:rsidRPr="00126A8A">
        <w:t>de</w:t>
      </w:r>
      <w:r>
        <w:t xml:space="preserve"> </w:t>
      </w:r>
      <w:r w:rsidRPr="00126A8A">
        <w:t>protection</w:t>
      </w:r>
      <w:r>
        <w:t xml:space="preserve"> </w:t>
      </w:r>
      <w:r w:rsidRPr="00126A8A">
        <w:t>contre</w:t>
      </w:r>
      <w:r>
        <w:t xml:space="preserve"> </w:t>
      </w:r>
      <w:r w:rsidRPr="00126A8A">
        <w:t>les</w:t>
      </w:r>
      <w:r>
        <w:t xml:space="preserve"> </w:t>
      </w:r>
      <w:r w:rsidRPr="00126A8A">
        <w:t>surcharges</w:t>
      </w:r>
      <w:r>
        <w:t xml:space="preserve"> </w:t>
      </w:r>
      <w:r w:rsidRPr="00126A8A">
        <w:t>qui</w:t>
      </w:r>
      <w:r>
        <w:t xml:space="preserve"> </w:t>
      </w:r>
      <w:r w:rsidRPr="00126A8A">
        <w:t>sont</w:t>
      </w:r>
      <w:r>
        <w:t xml:space="preserve"> </w:t>
      </w:r>
      <w:r w:rsidRPr="00126A8A">
        <w:t>conçues</w:t>
      </w:r>
      <w:r>
        <w:t xml:space="preserve"> </w:t>
      </w:r>
      <w:r w:rsidRPr="00126A8A">
        <w:t>pour</w:t>
      </w:r>
      <w:r>
        <w:t xml:space="preserve"> </w:t>
      </w:r>
      <w:r w:rsidRPr="00126A8A">
        <w:t>être</w:t>
      </w:r>
      <w:r>
        <w:t xml:space="preserve"> </w:t>
      </w:r>
      <w:r w:rsidRPr="00126A8A">
        <w:t>utilisées</w:t>
      </w:r>
      <w:r>
        <w:t xml:space="preserve"> </w:t>
      </w:r>
      <w:r w:rsidRPr="00126A8A">
        <w:t>seulement</w:t>
      </w:r>
      <w:r>
        <w:t xml:space="preserve"> </w:t>
      </w:r>
      <w:r w:rsidRPr="00126A8A">
        <w:t>en</w:t>
      </w:r>
      <w:r>
        <w:t xml:space="preserve"> </w:t>
      </w:r>
      <w:r w:rsidRPr="00126A8A">
        <w:t>tant</w:t>
      </w:r>
      <w:r>
        <w:t xml:space="preserve"> </w:t>
      </w:r>
      <w:r w:rsidRPr="00126A8A">
        <w:t>qu</w:t>
      </w:r>
      <w:r>
        <w:t>’</w:t>
      </w:r>
      <w:r w:rsidRPr="00126A8A">
        <w:t>élément</w:t>
      </w:r>
      <w:r>
        <w:t xml:space="preserve"> </w:t>
      </w:r>
      <w:r w:rsidRPr="00126A8A">
        <w:t>d</w:t>
      </w:r>
      <w:r>
        <w:t>’</w:t>
      </w:r>
      <w:r w:rsidRPr="00126A8A">
        <w:t>une</w:t>
      </w:r>
      <w:r>
        <w:t xml:space="preserve"> </w:t>
      </w:r>
      <w:r w:rsidRPr="00126A8A">
        <w:t>autre</w:t>
      </w:r>
      <w:r>
        <w:t xml:space="preserve"> </w:t>
      </w:r>
      <w:r w:rsidRPr="00126A8A">
        <w:t>batterie,</w:t>
      </w:r>
      <w:r>
        <w:t xml:space="preserve"> </w:t>
      </w:r>
      <w:r w:rsidRPr="00E5399F">
        <w:rPr>
          <w:u w:val="single"/>
        </w:rPr>
        <w:t>d</w:t>
      </w:r>
      <w:r>
        <w:rPr>
          <w:u w:val="single"/>
        </w:rPr>
        <w:t>’</w:t>
      </w:r>
      <w:r w:rsidRPr="00E5399F">
        <w:rPr>
          <w:u w:val="single"/>
        </w:rPr>
        <w:t>un</w:t>
      </w:r>
      <w:r w:rsidRPr="005608EB">
        <w:rPr>
          <w:u w:val="single"/>
        </w:rPr>
        <w:t xml:space="preserve"> </w:t>
      </w:r>
      <w:r w:rsidRPr="00126A8A">
        <w:rPr>
          <w:u w:val="single"/>
        </w:rPr>
        <w:t>véhicule</w:t>
      </w:r>
      <w:r>
        <w:t xml:space="preserve"> ou d’un équipement conférant cette protection, ne sont pas soumises à cette épreuve.</w:t>
      </w:r>
      <w:r w:rsidR="005608EB">
        <w:t> </w:t>
      </w:r>
      <w:r>
        <w:t>».</w:t>
      </w:r>
    </w:p>
    <w:p w14:paraId="21D989FC" w14:textId="77777777" w:rsidR="00F61E04" w:rsidRPr="00F61E04" w:rsidRDefault="00F61E04" w:rsidP="00F61E04">
      <w:pPr>
        <w:pStyle w:val="SingleTxtG"/>
        <w:spacing w:before="240" w:after="0"/>
        <w:jc w:val="center"/>
        <w:rPr>
          <w:u w:val="single"/>
        </w:rPr>
      </w:pPr>
      <w:r>
        <w:rPr>
          <w:u w:val="single"/>
        </w:rPr>
        <w:tab/>
      </w:r>
      <w:r>
        <w:rPr>
          <w:u w:val="single"/>
        </w:rPr>
        <w:tab/>
      </w:r>
      <w:r>
        <w:rPr>
          <w:u w:val="single"/>
        </w:rPr>
        <w:tab/>
      </w:r>
    </w:p>
    <w:sectPr w:rsidR="00F61E04" w:rsidRPr="00F61E04" w:rsidSect="00BE0CA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BC11" w14:textId="77777777" w:rsidR="00F61E04" w:rsidRDefault="00F61E04" w:rsidP="00F95C08">
      <w:pPr>
        <w:spacing w:line="240" w:lineRule="auto"/>
      </w:pPr>
    </w:p>
  </w:endnote>
  <w:endnote w:type="continuationSeparator" w:id="0">
    <w:p w14:paraId="5E3A2BF1" w14:textId="77777777" w:rsidR="00F61E04" w:rsidRPr="00AC3823" w:rsidRDefault="00F61E04" w:rsidP="00AC3823">
      <w:pPr>
        <w:pStyle w:val="Footer"/>
      </w:pPr>
    </w:p>
  </w:endnote>
  <w:endnote w:type="continuationNotice" w:id="1">
    <w:p w14:paraId="450E1413" w14:textId="77777777" w:rsidR="00F61E04" w:rsidRDefault="00F61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994A" w14:textId="77777777" w:rsidR="00F61E04" w:rsidRPr="00BE0CAD" w:rsidRDefault="00F61E04" w:rsidP="00BE0CAD">
    <w:pPr>
      <w:pStyle w:val="Footer"/>
      <w:tabs>
        <w:tab w:val="right" w:pos="9638"/>
      </w:tabs>
    </w:pPr>
    <w:r w:rsidRPr="00BE0CAD">
      <w:rPr>
        <w:b/>
        <w:sz w:val="18"/>
      </w:rPr>
      <w:fldChar w:fldCharType="begin"/>
    </w:r>
    <w:r w:rsidRPr="00BE0CAD">
      <w:rPr>
        <w:b/>
        <w:sz w:val="18"/>
      </w:rPr>
      <w:instrText xml:space="preserve"> PAGE  \* MERGEFORMAT </w:instrText>
    </w:r>
    <w:r w:rsidRPr="00BE0CAD">
      <w:rPr>
        <w:b/>
        <w:sz w:val="18"/>
      </w:rPr>
      <w:fldChar w:fldCharType="separate"/>
    </w:r>
    <w:r w:rsidRPr="00BE0CAD">
      <w:rPr>
        <w:b/>
        <w:noProof/>
        <w:sz w:val="18"/>
      </w:rPr>
      <w:t>2</w:t>
    </w:r>
    <w:r w:rsidRPr="00BE0CAD">
      <w:rPr>
        <w:b/>
        <w:sz w:val="18"/>
      </w:rPr>
      <w:fldChar w:fldCharType="end"/>
    </w:r>
    <w:r>
      <w:rPr>
        <w:b/>
        <w:sz w:val="18"/>
      </w:rPr>
      <w:tab/>
    </w:r>
    <w:r>
      <w:t>GE.19-05939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541F" w14:textId="77777777" w:rsidR="00F61E04" w:rsidRPr="00BE0CAD" w:rsidRDefault="00F61E04" w:rsidP="00BE0CAD">
    <w:pPr>
      <w:pStyle w:val="Footer"/>
      <w:tabs>
        <w:tab w:val="right" w:pos="9638"/>
      </w:tabs>
      <w:rPr>
        <w:b/>
        <w:sz w:val="18"/>
      </w:rPr>
    </w:pPr>
    <w:r>
      <w:t>GE.19-05939</w:t>
    </w:r>
    <w:r>
      <w:tab/>
    </w:r>
    <w:r w:rsidRPr="00BE0CAD">
      <w:rPr>
        <w:b/>
        <w:sz w:val="18"/>
      </w:rPr>
      <w:fldChar w:fldCharType="begin"/>
    </w:r>
    <w:r w:rsidRPr="00BE0CAD">
      <w:rPr>
        <w:b/>
        <w:sz w:val="18"/>
      </w:rPr>
      <w:instrText xml:space="preserve"> PAGE  \* MERGEFORMAT </w:instrText>
    </w:r>
    <w:r w:rsidRPr="00BE0CAD">
      <w:rPr>
        <w:b/>
        <w:sz w:val="18"/>
      </w:rPr>
      <w:fldChar w:fldCharType="separate"/>
    </w:r>
    <w:r w:rsidRPr="00BE0CAD">
      <w:rPr>
        <w:b/>
        <w:noProof/>
        <w:sz w:val="18"/>
      </w:rPr>
      <w:t>3</w:t>
    </w:r>
    <w:r w:rsidRPr="00BE0C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2C61" w14:textId="77777777" w:rsidR="00F61E04" w:rsidRPr="00BE0CAD" w:rsidRDefault="00F61E04" w:rsidP="00BE0CAD">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6B9C7094" wp14:editId="6B97C4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19-05939  (F)    060519    100519</w:t>
    </w:r>
    <w:r>
      <w:rPr>
        <w:sz w:val="20"/>
      </w:rPr>
      <w:br/>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sidRPr="00BE0CAD">
      <w:rPr>
        <w:rFonts w:ascii="C39T30Lfz" w:hAnsi="C39T30Lfz"/>
        <w:sz w:val="56"/>
      </w:rPr>
      <w:t></w:t>
    </w:r>
    <w:r>
      <w:rPr>
        <w:noProof/>
        <w:sz w:val="20"/>
      </w:rPr>
      <w:drawing>
        <wp:anchor distT="0" distB="0" distL="114300" distR="114300" simplePos="0" relativeHeight="251654144" behindDoc="0" locked="0" layoutInCell="1" allowOverlap="1" wp14:anchorId="3848B197" wp14:editId="57D1AE5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3281" w14:textId="77777777" w:rsidR="00F61E04" w:rsidRPr="00AC3823" w:rsidRDefault="00F61E04" w:rsidP="00AC3823">
      <w:pPr>
        <w:pStyle w:val="Footer"/>
        <w:tabs>
          <w:tab w:val="right" w:pos="2155"/>
        </w:tabs>
        <w:spacing w:after="80" w:line="240" w:lineRule="atLeast"/>
        <w:ind w:left="680"/>
        <w:rPr>
          <w:u w:val="single"/>
        </w:rPr>
      </w:pPr>
      <w:r>
        <w:rPr>
          <w:u w:val="single"/>
        </w:rPr>
        <w:tab/>
      </w:r>
    </w:p>
  </w:footnote>
  <w:footnote w:type="continuationSeparator" w:id="0">
    <w:p w14:paraId="6D6813D1" w14:textId="77777777" w:rsidR="00F61E04" w:rsidRPr="00AC3823" w:rsidRDefault="00F61E04" w:rsidP="00AC3823">
      <w:pPr>
        <w:pStyle w:val="Footer"/>
        <w:tabs>
          <w:tab w:val="right" w:pos="2155"/>
        </w:tabs>
        <w:spacing w:after="80" w:line="240" w:lineRule="atLeast"/>
        <w:ind w:left="680"/>
        <w:rPr>
          <w:u w:val="single"/>
        </w:rPr>
      </w:pPr>
      <w:r>
        <w:rPr>
          <w:u w:val="single"/>
        </w:rPr>
        <w:tab/>
      </w:r>
    </w:p>
  </w:footnote>
  <w:footnote w:type="continuationNotice" w:id="1">
    <w:p w14:paraId="75217AAB" w14:textId="77777777" w:rsidR="00F61E04" w:rsidRPr="00AC3823" w:rsidRDefault="00F61E04">
      <w:pPr>
        <w:spacing w:line="240" w:lineRule="auto"/>
        <w:rPr>
          <w:sz w:val="2"/>
          <w:szCs w:val="2"/>
        </w:rPr>
      </w:pPr>
    </w:p>
  </w:footnote>
  <w:footnote w:id="2">
    <w:p w14:paraId="221B350D" w14:textId="77777777" w:rsidR="00CE56E0" w:rsidRPr="00CE56E0" w:rsidRDefault="00CE56E0">
      <w:pPr>
        <w:pStyle w:val="FootnoteText"/>
      </w:pPr>
      <w:r>
        <w:rPr>
          <w:rStyle w:val="FootnoteReference"/>
        </w:rPr>
        <w:tab/>
      </w:r>
      <w:r w:rsidRPr="00CE56E0">
        <w:rPr>
          <w:rStyle w:val="FootnoteReference"/>
          <w:sz w:val="20"/>
          <w:vertAlign w:val="baseline"/>
        </w:rPr>
        <w:t>*</w:t>
      </w:r>
      <w:r>
        <w:rPr>
          <w:rStyle w:val="FootnoteReference"/>
          <w:sz w:val="20"/>
          <w:vertAlign w:val="baseline"/>
        </w:rPr>
        <w:tab/>
      </w:r>
      <w:r w:rsidRPr="00FD79DC">
        <w:rPr>
          <w:lang w:val="fr-FR"/>
        </w:rPr>
        <w:t>Conformément</w:t>
      </w:r>
      <w:r>
        <w:rPr>
          <w:lang w:val="fr-FR"/>
        </w:rPr>
        <w:t xml:space="preserve"> </w:t>
      </w:r>
      <w:r w:rsidRPr="00FD79DC">
        <w:rPr>
          <w:lang w:val="fr-FR"/>
        </w:rPr>
        <w:t>au</w:t>
      </w:r>
      <w:r>
        <w:rPr>
          <w:lang w:val="fr-FR"/>
        </w:rPr>
        <w:t xml:space="preserve"> </w:t>
      </w:r>
      <w:r w:rsidRPr="00FD79DC">
        <w:rPr>
          <w:lang w:val="fr-FR"/>
        </w:rPr>
        <w:t>programme</w:t>
      </w:r>
      <w:r>
        <w:rPr>
          <w:lang w:val="fr-FR"/>
        </w:rPr>
        <w:t xml:space="preserve"> </w:t>
      </w:r>
      <w:r w:rsidRPr="00FD79DC">
        <w:rPr>
          <w:lang w:val="fr-FR"/>
        </w:rPr>
        <w:t>de</w:t>
      </w:r>
      <w:r>
        <w:rPr>
          <w:lang w:val="fr-FR"/>
        </w:rPr>
        <w:t xml:space="preserve"> </w:t>
      </w:r>
      <w:r w:rsidRPr="00FD79DC">
        <w:rPr>
          <w:lang w:val="fr-FR"/>
        </w:rPr>
        <w:t>travail</w:t>
      </w:r>
      <w:r>
        <w:rPr>
          <w:lang w:val="fr-FR"/>
        </w:rPr>
        <w:t xml:space="preserve"> </w:t>
      </w:r>
      <w:r w:rsidRPr="00FD79DC">
        <w:rPr>
          <w:lang w:val="fr-FR"/>
        </w:rPr>
        <w:t>du</w:t>
      </w:r>
      <w:r>
        <w:rPr>
          <w:lang w:val="fr-FR"/>
        </w:rPr>
        <w:t xml:space="preserve"> </w:t>
      </w:r>
      <w:r w:rsidRPr="00FD79DC">
        <w:rPr>
          <w:lang w:val="fr-FR"/>
        </w:rPr>
        <w:t>Sous-Comité</w:t>
      </w:r>
      <w:r>
        <w:rPr>
          <w:lang w:val="fr-FR"/>
        </w:rPr>
        <w:t xml:space="preserve"> </w:t>
      </w:r>
      <w:r w:rsidRPr="00FD79DC">
        <w:rPr>
          <w:lang w:val="fr-FR"/>
        </w:rPr>
        <w:t>pour</w:t>
      </w:r>
      <w:r>
        <w:rPr>
          <w:lang w:val="fr-FR"/>
        </w:rPr>
        <w:t xml:space="preserve"> </w:t>
      </w:r>
      <w:r w:rsidRPr="00FD79DC">
        <w:rPr>
          <w:lang w:val="fr-FR"/>
        </w:rPr>
        <w:t>la</w:t>
      </w:r>
      <w:r>
        <w:rPr>
          <w:lang w:val="fr-FR"/>
        </w:rPr>
        <w:t xml:space="preserve"> </w:t>
      </w:r>
      <w:r w:rsidRPr="00FD79DC">
        <w:rPr>
          <w:lang w:val="fr-FR"/>
        </w:rPr>
        <w:t>période</w:t>
      </w:r>
      <w:r>
        <w:rPr>
          <w:lang w:val="fr-FR"/>
        </w:rPr>
        <w:t xml:space="preserve"> 2019-2020 </w:t>
      </w:r>
      <w:r w:rsidRPr="00FD79DC">
        <w:rPr>
          <w:lang w:val="fr-FR"/>
        </w:rPr>
        <w:t>approuvé</w:t>
      </w:r>
      <w:r>
        <w:rPr>
          <w:lang w:val="fr-FR"/>
        </w:rPr>
        <w:t xml:space="preserve"> </w:t>
      </w:r>
      <w:r w:rsidRPr="00FD79DC">
        <w:rPr>
          <w:lang w:val="fr-FR"/>
        </w:rPr>
        <w:t>par</w:t>
      </w:r>
      <w:r>
        <w:rPr>
          <w:lang w:val="fr-FR"/>
        </w:rPr>
        <w:t xml:space="preserve"> </w:t>
      </w:r>
      <w:r w:rsidRPr="00FD79DC">
        <w:rPr>
          <w:lang w:val="fr-FR"/>
        </w:rPr>
        <w:t>le</w:t>
      </w:r>
      <w:r>
        <w:rPr>
          <w:lang w:val="fr-FR"/>
        </w:rPr>
        <w:t xml:space="preserve"> </w:t>
      </w:r>
      <w:r w:rsidRPr="00FD79DC">
        <w:rPr>
          <w:lang w:val="fr-FR"/>
        </w:rPr>
        <w:t>Comité</w:t>
      </w:r>
      <w:r>
        <w:rPr>
          <w:lang w:val="fr-FR"/>
        </w:rPr>
        <w:t xml:space="preserve"> </w:t>
      </w:r>
      <w:r w:rsidRPr="00FD79DC">
        <w:rPr>
          <w:lang w:val="fr-FR"/>
        </w:rPr>
        <w:t>à</w:t>
      </w:r>
      <w:r>
        <w:rPr>
          <w:lang w:val="fr-FR"/>
        </w:rPr>
        <w:t xml:space="preserve"> sa neuvième </w:t>
      </w:r>
      <w:r w:rsidRPr="00FD79DC">
        <w:rPr>
          <w:lang w:val="fr-FR"/>
        </w:rPr>
        <w:t>session</w:t>
      </w:r>
      <w:r>
        <w:rPr>
          <w:lang w:val="fr-FR"/>
        </w:rPr>
        <w:t xml:space="preserve"> </w:t>
      </w:r>
      <w:r w:rsidRPr="00FD79DC">
        <w:rPr>
          <w:lang w:val="fr-FR"/>
        </w:rPr>
        <w:t>(voir</w:t>
      </w:r>
      <w:r>
        <w:rPr>
          <w:lang w:val="fr-FR"/>
        </w:rPr>
        <w:t xml:space="preserve"> </w:t>
      </w:r>
      <w:r w:rsidRPr="00FD79DC">
        <w:rPr>
          <w:lang w:val="fr-FR"/>
        </w:rPr>
        <w:t>ST/SG/AC.10/C.3/10</w:t>
      </w:r>
      <w:r>
        <w:rPr>
          <w:lang w:val="fr-FR"/>
        </w:rPr>
        <w:t>8</w:t>
      </w:r>
      <w:r w:rsidRPr="00FD79DC">
        <w:rPr>
          <w:lang w:val="fr-FR"/>
        </w:rPr>
        <w:t>,</w:t>
      </w:r>
      <w:r>
        <w:rPr>
          <w:lang w:val="fr-FR"/>
        </w:rPr>
        <w:t xml:space="preserve"> </w:t>
      </w:r>
      <w:r w:rsidRPr="00FD79DC">
        <w:rPr>
          <w:lang w:val="fr-FR"/>
        </w:rPr>
        <w:t>par.</w:t>
      </w:r>
      <w:r>
        <w:rPr>
          <w:lang w:val="fr-FR"/>
        </w:rPr>
        <w:t> 141</w:t>
      </w:r>
      <w:r w:rsidRPr="00FD79DC">
        <w:rPr>
          <w:lang w:val="fr-FR"/>
        </w:rPr>
        <w:t>,</w:t>
      </w:r>
      <w:r>
        <w:rPr>
          <w:lang w:val="fr-FR"/>
        </w:rPr>
        <w:t xml:space="preserve"> </w:t>
      </w:r>
      <w:r w:rsidRPr="00FD79DC">
        <w:rPr>
          <w:lang w:val="fr-FR"/>
        </w:rPr>
        <w:t>et</w:t>
      </w:r>
      <w:r>
        <w:rPr>
          <w:lang w:val="fr-FR"/>
        </w:rPr>
        <w:t xml:space="preserve"> </w:t>
      </w:r>
      <w:r w:rsidRPr="00FD79DC">
        <w:rPr>
          <w:lang w:val="fr-FR"/>
        </w:rPr>
        <w:t>ST/SG/AC.10/4</w:t>
      </w:r>
      <w:r>
        <w:rPr>
          <w:lang w:val="fr-FR"/>
        </w:rPr>
        <w:t>6</w:t>
      </w:r>
      <w:r w:rsidRPr="00FD79DC">
        <w:rPr>
          <w:lang w:val="fr-FR"/>
        </w:rPr>
        <w:t>,</w:t>
      </w:r>
      <w:r>
        <w:rPr>
          <w:lang w:val="fr-FR"/>
        </w:rPr>
        <w:t xml:space="preserve"> </w:t>
      </w:r>
      <w:r w:rsidRPr="00FD79DC">
        <w:rPr>
          <w:lang w:val="fr-FR"/>
        </w:rPr>
        <w:t>par.</w:t>
      </w:r>
      <w:r>
        <w:rPr>
          <w:lang w:val="fr-FR"/>
        </w:rPr>
        <w:t> </w:t>
      </w:r>
      <w:r w:rsidRPr="00FD79DC">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20EF" w14:textId="79B223B3" w:rsidR="00F61E04" w:rsidRPr="00BE0CAD" w:rsidRDefault="003047A3">
    <w:pPr>
      <w:pStyle w:val="Header"/>
    </w:pPr>
    <w:r>
      <w:fldChar w:fldCharType="begin"/>
    </w:r>
    <w:r>
      <w:instrText xml:space="preserve"> TITLE  \* MERGEFORMAT </w:instrText>
    </w:r>
    <w:r>
      <w:fldChar w:fldCharType="separate"/>
    </w:r>
    <w:r>
      <w:t>ST/SG/AC.10/C.3/2019/33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497B" w14:textId="1020A4C6" w:rsidR="00F61E04" w:rsidRPr="00BE0CAD" w:rsidRDefault="003047A3" w:rsidP="00BE0CAD">
    <w:pPr>
      <w:pStyle w:val="Header"/>
      <w:jc w:val="right"/>
    </w:pPr>
    <w:r>
      <w:fldChar w:fldCharType="begin"/>
    </w:r>
    <w:r>
      <w:instrText xml:space="preserve"> TITLE  \* MERGEFORMAT </w:instrText>
    </w:r>
    <w:r>
      <w:fldChar w:fldCharType="separate"/>
    </w:r>
    <w:r>
      <w:t>ST/SG/AC.10/C.3/2019/33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E6130A"/>
    <w:multiLevelType w:val="hybridMultilevel"/>
    <w:tmpl w:val="A91E4E88"/>
    <w:lvl w:ilvl="0" w:tplc="3882549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8711F0D"/>
    <w:multiLevelType w:val="hybridMultilevel"/>
    <w:tmpl w:val="949A493A"/>
    <w:lvl w:ilvl="0" w:tplc="965600D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A0"/>
    <w:rsid w:val="00017F94"/>
    <w:rsid w:val="00023842"/>
    <w:rsid w:val="000334F9"/>
    <w:rsid w:val="00045FEB"/>
    <w:rsid w:val="0007796D"/>
    <w:rsid w:val="000B7790"/>
    <w:rsid w:val="000F7331"/>
    <w:rsid w:val="00111F2F"/>
    <w:rsid w:val="0014365E"/>
    <w:rsid w:val="00143C66"/>
    <w:rsid w:val="00176178"/>
    <w:rsid w:val="001F525A"/>
    <w:rsid w:val="00223272"/>
    <w:rsid w:val="0024779E"/>
    <w:rsid w:val="00257168"/>
    <w:rsid w:val="002744B8"/>
    <w:rsid w:val="002832AC"/>
    <w:rsid w:val="002D7C93"/>
    <w:rsid w:val="003047A3"/>
    <w:rsid w:val="00305801"/>
    <w:rsid w:val="003848B2"/>
    <w:rsid w:val="003916DE"/>
    <w:rsid w:val="00421996"/>
    <w:rsid w:val="00441C3B"/>
    <w:rsid w:val="00446FE5"/>
    <w:rsid w:val="00452396"/>
    <w:rsid w:val="004837D8"/>
    <w:rsid w:val="004E2EED"/>
    <w:rsid w:val="004E468C"/>
    <w:rsid w:val="005505B7"/>
    <w:rsid w:val="005608EB"/>
    <w:rsid w:val="00573BE5"/>
    <w:rsid w:val="00586ED3"/>
    <w:rsid w:val="00596AA9"/>
    <w:rsid w:val="005D66E1"/>
    <w:rsid w:val="006D0AF2"/>
    <w:rsid w:val="0071601D"/>
    <w:rsid w:val="007A62E6"/>
    <w:rsid w:val="007F20FA"/>
    <w:rsid w:val="0080684C"/>
    <w:rsid w:val="00871C75"/>
    <w:rsid w:val="008776DC"/>
    <w:rsid w:val="009446C0"/>
    <w:rsid w:val="009705C8"/>
    <w:rsid w:val="009C1CF4"/>
    <w:rsid w:val="009F6B74"/>
    <w:rsid w:val="00A25243"/>
    <w:rsid w:val="00A3029F"/>
    <w:rsid w:val="00A30353"/>
    <w:rsid w:val="00AC3823"/>
    <w:rsid w:val="00AD3EA0"/>
    <w:rsid w:val="00AE323C"/>
    <w:rsid w:val="00AF0CB5"/>
    <w:rsid w:val="00B00181"/>
    <w:rsid w:val="00B00B0D"/>
    <w:rsid w:val="00B45F2E"/>
    <w:rsid w:val="00B765F7"/>
    <w:rsid w:val="00BA0CA9"/>
    <w:rsid w:val="00BE0CAD"/>
    <w:rsid w:val="00C02897"/>
    <w:rsid w:val="00C97039"/>
    <w:rsid w:val="00CE56E0"/>
    <w:rsid w:val="00D3439C"/>
    <w:rsid w:val="00DB1831"/>
    <w:rsid w:val="00DD3BFD"/>
    <w:rsid w:val="00DF6678"/>
    <w:rsid w:val="00E0299A"/>
    <w:rsid w:val="00E85C74"/>
    <w:rsid w:val="00EA6547"/>
    <w:rsid w:val="00EF2E22"/>
    <w:rsid w:val="00F35BAF"/>
    <w:rsid w:val="00F61E0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49A4B"/>
  <w15:docId w15:val="{9A3A7A32-1FD6-4DB9-B1BE-AA15C4F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qFormat/>
    <w:rsid w:val="00F6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BC81-61DA-4E75-BD41-FAE365B0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ST/SG/AC.10/C.3/2019/33</vt:lpstr>
      <vt:lpstr>ST/SG/AC.10/C.3/2019/33</vt:lpstr>
    </vt:vector>
  </TitlesOfParts>
  <Company>DCM</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ST/SG/AC.10/C.3/2019/33</dc:title>
  <dc:subject/>
  <dc:creator>Nicolas MORIN</dc:creator>
  <cp:keywords/>
  <cp:lastModifiedBy>Laurence Berthet</cp:lastModifiedBy>
  <cp:revision>3</cp:revision>
  <cp:lastPrinted>2019-05-10T08:35:00Z</cp:lastPrinted>
  <dcterms:created xsi:type="dcterms:W3CDTF">2019-05-10T08:35:00Z</dcterms:created>
  <dcterms:modified xsi:type="dcterms:W3CDTF">2019-05-10T08:35:00Z</dcterms:modified>
</cp:coreProperties>
</file>