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1474" w14:paraId="2372AF9E" w14:textId="77777777" w:rsidTr="009D1070">
        <w:trPr>
          <w:trHeight w:hRule="exact" w:val="851"/>
        </w:trPr>
        <w:tc>
          <w:tcPr>
            <w:tcW w:w="1276" w:type="dxa"/>
            <w:tcBorders>
              <w:bottom w:val="single" w:sz="4" w:space="0" w:color="auto"/>
            </w:tcBorders>
          </w:tcPr>
          <w:p w14:paraId="067F9C06" w14:textId="77777777" w:rsidR="00B31474" w:rsidRDefault="00B31474"/>
        </w:tc>
        <w:tc>
          <w:tcPr>
            <w:tcW w:w="2268" w:type="dxa"/>
            <w:tcBorders>
              <w:bottom w:val="single" w:sz="4" w:space="0" w:color="auto"/>
            </w:tcBorders>
            <w:vAlign w:val="bottom"/>
          </w:tcPr>
          <w:p w14:paraId="68915636" w14:textId="77777777" w:rsidR="00B31474" w:rsidRDefault="00B31474">
            <w:pPr>
              <w:spacing w:after="80" w:line="300" w:lineRule="exact"/>
              <w:rPr>
                <w:sz w:val="28"/>
              </w:rPr>
            </w:pPr>
            <w:r>
              <w:rPr>
                <w:sz w:val="28"/>
              </w:rPr>
              <w:t>Nations Unies</w:t>
            </w:r>
          </w:p>
        </w:tc>
        <w:tc>
          <w:tcPr>
            <w:tcW w:w="6095" w:type="dxa"/>
            <w:gridSpan w:val="2"/>
            <w:tcBorders>
              <w:bottom w:val="single" w:sz="4" w:space="0" w:color="auto"/>
            </w:tcBorders>
            <w:vAlign w:val="bottom"/>
          </w:tcPr>
          <w:p w14:paraId="2AA55320" w14:textId="77777777" w:rsidR="00B31474" w:rsidRDefault="005F25FC" w:rsidP="006A0657">
            <w:pPr>
              <w:jc w:val="right"/>
              <w:rPr>
                <w:lang w:val="en-US"/>
              </w:rPr>
            </w:pPr>
            <w:r w:rsidRPr="007E25DA">
              <w:rPr>
                <w:sz w:val="40"/>
              </w:rPr>
              <w:t>ST</w:t>
            </w:r>
            <w:r w:rsidR="00CB75C1">
              <w:t>/SG/AC.10/C.3/201</w:t>
            </w:r>
            <w:r w:rsidR="006A0657">
              <w:t>9</w:t>
            </w:r>
            <w:r>
              <w:t>/</w:t>
            </w:r>
            <w:r w:rsidR="009D1070">
              <w:t>27</w:t>
            </w:r>
          </w:p>
        </w:tc>
      </w:tr>
      <w:tr w:rsidR="00B31474" w14:paraId="1A38B0D6" w14:textId="77777777">
        <w:trPr>
          <w:trHeight w:hRule="exact" w:val="2835"/>
        </w:trPr>
        <w:tc>
          <w:tcPr>
            <w:tcW w:w="1276" w:type="dxa"/>
            <w:tcBorders>
              <w:top w:val="single" w:sz="4" w:space="0" w:color="auto"/>
              <w:bottom w:val="single" w:sz="12" w:space="0" w:color="auto"/>
            </w:tcBorders>
          </w:tcPr>
          <w:p w14:paraId="01C814B2" w14:textId="77777777" w:rsidR="00B31474" w:rsidRDefault="00924EAE">
            <w:pPr>
              <w:spacing w:before="120"/>
              <w:jc w:val="center"/>
            </w:pPr>
            <w:r>
              <w:rPr>
                <w:noProof/>
                <w:lang w:val="en-US"/>
              </w:rPr>
              <w:drawing>
                <wp:inline distT="0" distB="0" distL="0" distR="0" wp14:anchorId="58F0EE06" wp14:editId="2DE831E6">
                  <wp:extent cx="708660"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CEB166" w14:textId="77777777" w:rsidR="00B31474" w:rsidRDefault="00E60D87">
            <w:pPr>
              <w:spacing w:before="120" w:line="420" w:lineRule="exact"/>
              <w:rPr>
                <w:b/>
                <w:sz w:val="40"/>
                <w:szCs w:val="40"/>
              </w:rPr>
            </w:pPr>
            <w:r>
              <w:rPr>
                <w:b/>
                <w:sz w:val="40"/>
                <w:szCs w:val="40"/>
              </w:rPr>
              <w:t>Secré</w:t>
            </w:r>
            <w:r w:rsidR="00C557B3">
              <w:rPr>
                <w:b/>
                <w:sz w:val="40"/>
                <w:szCs w:val="40"/>
              </w:rPr>
              <w:t>tariat</w:t>
            </w:r>
          </w:p>
        </w:tc>
        <w:tc>
          <w:tcPr>
            <w:tcW w:w="2835" w:type="dxa"/>
            <w:tcBorders>
              <w:top w:val="single" w:sz="4" w:space="0" w:color="auto"/>
              <w:bottom w:val="single" w:sz="12" w:space="0" w:color="auto"/>
            </w:tcBorders>
          </w:tcPr>
          <w:p w14:paraId="5B7893DC" w14:textId="77777777" w:rsidR="00C3425D" w:rsidRDefault="00B31474">
            <w:pPr>
              <w:spacing w:before="240" w:line="240" w:lineRule="exact"/>
            </w:pPr>
            <w:proofErr w:type="spellStart"/>
            <w:r>
              <w:t>Distr</w:t>
            </w:r>
            <w:proofErr w:type="spellEnd"/>
            <w:r>
              <w:t xml:space="preserve">. </w:t>
            </w:r>
            <w:proofErr w:type="gramStart"/>
            <w:r>
              <w:t>générale</w:t>
            </w:r>
            <w:proofErr w:type="gramEnd"/>
            <w:r w:rsidR="00C3425D">
              <w:br/>
            </w:r>
            <w:r w:rsidR="009D1070">
              <w:t>8 avril 2019</w:t>
            </w:r>
          </w:p>
          <w:p w14:paraId="3BCD4ECA" w14:textId="77777777" w:rsidR="00B31474" w:rsidRDefault="00B31474">
            <w:pPr>
              <w:spacing w:line="240" w:lineRule="exact"/>
            </w:pPr>
          </w:p>
          <w:p w14:paraId="4E547C7D" w14:textId="77777777" w:rsidR="00B31474" w:rsidRDefault="00B31474">
            <w:pPr>
              <w:spacing w:line="240" w:lineRule="exact"/>
            </w:pPr>
            <w:r>
              <w:t>Original: français</w:t>
            </w:r>
          </w:p>
        </w:tc>
      </w:tr>
    </w:tbl>
    <w:p w14:paraId="0BE4CB07" w14:textId="77777777" w:rsidR="00853D97" w:rsidRPr="00CA0680" w:rsidRDefault="00853D97" w:rsidP="00853D97">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634D7161" w14:textId="77777777" w:rsidR="00853D97" w:rsidRPr="00CA0680" w:rsidRDefault="00853D97" w:rsidP="00853D97">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2D038C07" w14:textId="77777777" w:rsidR="009D1070" w:rsidRPr="00AD0B8B" w:rsidRDefault="009D1070" w:rsidP="009D1070">
      <w:pPr>
        <w:spacing w:before="120"/>
        <w:rPr>
          <w:b/>
        </w:rPr>
      </w:pPr>
      <w:r w:rsidRPr="00AD0B8B">
        <w:rPr>
          <w:b/>
          <w:bCs/>
        </w:rPr>
        <w:t>Cinquante-</w:t>
      </w:r>
      <w:r>
        <w:rPr>
          <w:b/>
          <w:bCs/>
        </w:rPr>
        <w:t>cinquième</w:t>
      </w:r>
      <w:r w:rsidRPr="00AD0B8B">
        <w:rPr>
          <w:b/>
        </w:rPr>
        <w:t xml:space="preserve"> session</w:t>
      </w:r>
    </w:p>
    <w:p w14:paraId="7C1FB0B2" w14:textId="77777777" w:rsidR="009D1070" w:rsidRPr="00AD0B8B" w:rsidRDefault="009D1070" w:rsidP="009D1070">
      <w:r w:rsidRPr="00AD0B8B">
        <w:t xml:space="preserve">Genève, </w:t>
      </w:r>
      <w:r>
        <w:t>1-5 juillet 2019</w:t>
      </w:r>
    </w:p>
    <w:p w14:paraId="66CA99CB" w14:textId="77777777" w:rsidR="009D1070" w:rsidRPr="00AD0B8B" w:rsidRDefault="009D1070" w:rsidP="009D1070">
      <w:r w:rsidRPr="00AD0B8B">
        <w:t xml:space="preserve">Point </w:t>
      </w:r>
      <w:r>
        <w:t>3</w:t>
      </w:r>
      <w:r w:rsidRPr="00AD0B8B">
        <w:t xml:space="preserve"> de l’ordre du jour provisoire</w:t>
      </w:r>
    </w:p>
    <w:p w14:paraId="057AE7C7" w14:textId="77777777" w:rsidR="009D1070" w:rsidRPr="00AD0B8B" w:rsidRDefault="009D1070" w:rsidP="009D1070">
      <w:pPr>
        <w:rPr>
          <w:b/>
          <w:bCs/>
        </w:rPr>
      </w:pPr>
      <w:r w:rsidRPr="00AD0B8B">
        <w:rPr>
          <w:b/>
          <w:bCs/>
          <w:lang w:val="fr-FR"/>
        </w:rPr>
        <w:t>Inscription, classement et emballage</w:t>
      </w:r>
    </w:p>
    <w:p w14:paraId="571A6767" w14:textId="77777777" w:rsidR="00C363BE" w:rsidRDefault="00B90BC5" w:rsidP="00C363BE">
      <w:pPr>
        <w:pStyle w:val="HChG"/>
      </w:pPr>
      <w:r>
        <w:rPr>
          <w:lang w:val="fr-FR"/>
        </w:rPr>
        <w:tab/>
      </w:r>
      <w:r>
        <w:rPr>
          <w:lang w:val="fr-FR"/>
        </w:rPr>
        <w:tab/>
      </w:r>
      <w:r w:rsidR="00C363BE">
        <w:tab/>
      </w:r>
      <w:r w:rsidR="006A0657">
        <w:t>Champ d’application d</w:t>
      </w:r>
      <w:r w:rsidR="00C42DB2">
        <w:t>u 4.1.2.2</w:t>
      </w:r>
    </w:p>
    <w:p w14:paraId="2AFDB768" w14:textId="77777777" w:rsidR="00E72C4C" w:rsidRDefault="00E72C4C" w:rsidP="00C363BE">
      <w:pPr>
        <w:pStyle w:val="HChG"/>
        <w:rPr>
          <w:rFonts w:eastAsia="Arial"/>
          <w:lang w:val="fr-FR"/>
        </w:rPr>
      </w:pPr>
      <w:r>
        <w:rPr>
          <w:rFonts w:eastAsia="Arial"/>
          <w:lang w:val="fr-FR"/>
        </w:rPr>
        <w:tab/>
      </w:r>
      <w:r>
        <w:rPr>
          <w:rFonts w:eastAsia="Arial"/>
          <w:lang w:val="fr-FR"/>
        </w:rPr>
        <w:tab/>
      </w:r>
      <w:r w:rsidRPr="00E72C4C">
        <w:rPr>
          <w:rFonts w:eastAsia="Arial"/>
          <w:lang w:val="fr-FR"/>
        </w:rPr>
        <w:t>Communica</w:t>
      </w:r>
      <w:bookmarkStart w:id="0" w:name="_GoBack"/>
      <w:bookmarkEnd w:id="0"/>
      <w:r w:rsidRPr="00E72C4C">
        <w:rPr>
          <w:rFonts w:eastAsia="Arial"/>
          <w:lang w:val="fr-FR"/>
        </w:rPr>
        <w:t>tion d</w:t>
      </w:r>
      <w:r w:rsidR="00BC3265">
        <w:rPr>
          <w:rFonts w:eastAsia="Arial"/>
          <w:lang w:val="fr-FR"/>
        </w:rPr>
        <w:t>e l’expert</w:t>
      </w:r>
      <w:r w:rsidR="004362EC">
        <w:rPr>
          <w:rFonts w:eastAsia="Arial"/>
          <w:lang w:val="fr-FR"/>
        </w:rPr>
        <w:t xml:space="preserve"> de la</w:t>
      </w:r>
      <w:r w:rsidRPr="00E72C4C">
        <w:rPr>
          <w:rFonts w:eastAsia="Arial"/>
          <w:lang w:val="fr-FR"/>
        </w:rPr>
        <w:t xml:space="preserve"> </w:t>
      </w:r>
      <w:r w:rsidR="00210222">
        <w:rPr>
          <w:rFonts w:eastAsia="Arial"/>
          <w:lang w:val="fr-FR"/>
        </w:rPr>
        <w:t>Suisse</w:t>
      </w:r>
      <w:r w:rsidR="00C3425D">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924EAE" w14:paraId="43E72E1A" w14:textId="77777777" w:rsidTr="007542F2">
        <w:trPr>
          <w:jc w:val="center"/>
        </w:trPr>
        <w:tc>
          <w:tcPr>
            <w:tcW w:w="9637" w:type="dxa"/>
            <w:shd w:val="clear" w:color="auto" w:fill="auto"/>
          </w:tcPr>
          <w:p w14:paraId="6271D437" w14:textId="77777777" w:rsidR="00924EAE" w:rsidRDefault="00924EAE" w:rsidP="007542F2">
            <w:pPr>
              <w:tabs>
                <w:tab w:val="right" w:pos="8505"/>
              </w:tabs>
              <w:spacing w:before="240" w:after="120"/>
              <w:ind w:left="255"/>
              <w:rPr>
                <w:i/>
                <w:color w:val="FF0000"/>
                <w:sz w:val="24"/>
              </w:rPr>
            </w:pPr>
            <w:r>
              <w:rPr>
                <w:i/>
                <w:sz w:val="24"/>
              </w:rPr>
              <w:t>Résumé</w:t>
            </w:r>
            <w:r>
              <w:rPr>
                <w:i/>
                <w:sz w:val="24"/>
              </w:rPr>
              <w:tab/>
            </w:r>
          </w:p>
        </w:tc>
      </w:tr>
      <w:tr w:rsidR="00924EAE" w14:paraId="3C9E5C14" w14:textId="77777777" w:rsidTr="007542F2">
        <w:trPr>
          <w:jc w:val="center"/>
        </w:trPr>
        <w:tc>
          <w:tcPr>
            <w:tcW w:w="9637" w:type="dxa"/>
            <w:shd w:val="clear" w:color="auto" w:fill="auto"/>
          </w:tcPr>
          <w:p w14:paraId="16E07969" w14:textId="77777777" w:rsidR="00924EAE" w:rsidRDefault="00924EAE" w:rsidP="00C42DB2">
            <w:pPr>
              <w:pStyle w:val="SingleTxtG"/>
              <w:ind w:left="2552" w:hanging="2268"/>
            </w:pPr>
            <w:r>
              <w:rPr>
                <w:b/>
              </w:rPr>
              <w:t xml:space="preserve">Résumé </w:t>
            </w:r>
            <w:proofErr w:type="gramStart"/>
            <w:r>
              <w:rPr>
                <w:b/>
              </w:rPr>
              <w:t>analytique:</w:t>
            </w:r>
            <w:proofErr w:type="gramEnd"/>
            <w:r>
              <w:rPr>
                <w:b/>
              </w:rPr>
              <w:tab/>
            </w:r>
            <w:r w:rsidR="006A0657">
              <w:t>Il s’agit de clarifier le champ d’application d</w:t>
            </w:r>
            <w:r w:rsidR="00C42DB2">
              <w:t xml:space="preserve">u 4.1.2.2 pour les </w:t>
            </w:r>
            <w:r w:rsidR="0090534C">
              <w:t>grands récipients pour vrac (</w:t>
            </w:r>
            <w:r w:rsidR="00C42DB2">
              <w:t>GRV</w:t>
            </w:r>
            <w:r w:rsidR="0090534C">
              <w:t>)</w:t>
            </w:r>
            <w:r w:rsidR="00C42DB2">
              <w:t xml:space="preserve"> qui ne sont pas métalliques afin de permettre leur transport en vue de l’élimination ou du recyclage des marchandises dangereuses qu’ils contiennent.</w:t>
            </w:r>
          </w:p>
        </w:tc>
      </w:tr>
      <w:tr w:rsidR="00924EAE" w14:paraId="70C0C92D" w14:textId="77777777" w:rsidTr="007542F2">
        <w:trPr>
          <w:jc w:val="center"/>
        </w:trPr>
        <w:tc>
          <w:tcPr>
            <w:tcW w:w="9637" w:type="dxa"/>
            <w:shd w:val="clear" w:color="auto" w:fill="auto"/>
          </w:tcPr>
          <w:p w14:paraId="223F482E" w14:textId="77777777" w:rsidR="00924EAE" w:rsidRDefault="00924EAE" w:rsidP="00C42DB2">
            <w:pPr>
              <w:pStyle w:val="SingleTxtG"/>
              <w:ind w:left="2552" w:hanging="2268"/>
            </w:pPr>
            <w:r>
              <w:rPr>
                <w:b/>
              </w:rPr>
              <w:t>Mesure à prendre:</w:t>
            </w:r>
            <w:r>
              <w:rPr>
                <w:b/>
              </w:rPr>
              <w:tab/>
            </w:r>
            <w:r w:rsidR="006A0657">
              <w:t xml:space="preserve">Modifier le texte du </w:t>
            </w:r>
            <w:r w:rsidR="00C42DB2">
              <w:t>4.1.2.2</w:t>
            </w:r>
            <w:r>
              <w:t xml:space="preserve">. </w:t>
            </w:r>
          </w:p>
        </w:tc>
      </w:tr>
      <w:tr w:rsidR="00924EAE" w14:paraId="2FE08598" w14:textId="77777777" w:rsidTr="007542F2">
        <w:trPr>
          <w:jc w:val="center"/>
        </w:trPr>
        <w:tc>
          <w:tcPr>
            <w:tcW w:w="9637" w:type="dxa"/>
            <w:shd w:val="clear" w:color="auto" w:fill="auto"/>
          </w:tcPr>
          <w:p w14:paraId="2EF2B397" w14:textId="77777777" w:rsidR="00924EAE" w:rsidRDefault="00924EAE" w:rsidP="001B6C30">
            <w:pPr>
              <w:pStyle w:val="SingleTxtG"/>
              <w:ind w:left="2552" w:hanging="2268"/>
              <w:jc w:val="left"/>
            </w:pPr>
            <w:r>
              <w:rPr>
                <w:b/>
              </w:rPr>
              <w:t>Documents connexes:</w:t>
            </w:r>
            <w:r>
              <w:rPr>
                <w:b/>
              </w:rPr>
              <w:tab/>
            </w:r>
          </w:p>
        </w:tc>
      </w:tr>
      <w:tr w:rsidR="00924EAE" w14:paraId="50F64DF2" w14:textId="77777777" w:rsidTr="007542F2">
        <w:trPr>
          <w:jc w:val="center"/>
        </w:trPr>
        <w:tc>
          <w:tcPr>
            <w:tcW w:w="9637" w:type="dxa"/>
            <w:shd w:val="clear" w:color="auto" w:fill="auto"/>
          </w:tcPr>
          <w:p w14:paraId="5371D49C" w14:textId="77777777" w:rsidR="00924EAE" w:rsidRDefault="00924EAE" w:rsidP="007542F2">
            <w:pPr>
              <w:jc w:val="center"/>
              <w:rPr>
                <w:b/>
                <w:color w:val="FF0000"/>
              </w:rPr>
            </w:pPr>
          </w:p>
        </w:tc>
      </w:tr>
    </w:tbl>
    <w:p w14:paraId="14191EA0" w14:textId="77777777" w:rsidR="00924EAE" w:rsidRDefault="00924EAE" w:rsidP="00924EAE">
      <w:pPr>
        <w:pStyle w:val="HChG"/>
      </w:pPr>
      <w:r>
        <w:tab/>
      </w:r>
      <w:r>
        <w:tab/>
        <w:t>Introduction</w:t>
      </w:r>
    </w:p>
    <w:p w14:paraId="22B88E35" w14:textId="77777777" w:rsidR="00CE70EE" w:rsidRDefault="003E0660" w:rsidP="001D2282">
      <w:pPr>
        <w:pStyle w:val="SingleTxtG"/>
        <w:numPr>
          <w:ilvl w:val="0"/>
          <w:numId w:val="23"/>
        </w:numPr>
        <w:ind w:left="1134" w:firstLine="0"/>
      </w:pPr>
      <w:r>
        <w:t xml:space="preserve">Le </w:t>
      </w:r>
      <w:r w:rsidR="00543D98">
        <w:t xml:space="preserve">4.1.2.2 </w:t>
      </w:r>
      <w:r w:rsidR="00E4160F">
        <w:t xml:space="preserve">prévoit les conditions qui autorisent le transport de GRV après la date d’expiration de la validité de la dernière épreuve ou inspection périodique. En principe il s’applique </w:t>
      </w:r>
      <w:r w:rsidR="00543D98">
        <w:t xml:space="preserve">aux GRV métalliques </w:t>
      </w:r>
      <w:r w:rsidR="00E4160F">
        <w:t>ainsi qu’aux</w:t>
      </w:r>
      <w:r w:rsidR="00543D98">
        <w:t xml:space="preserve"> </w:t>
      </w:r>
      <w:r w:rsidR="00543D98" w:rsidRPr="007755A7">
        <w:t>GRV en plastique rigide ou GRV composite</w:t>
      </w:r>
      <w:r w:rsidR="00543D98">
        <w:t xml:space="preserve">. Cependant le 4.1.1.15 limite à 5 ans la durée d’utilisation de GRV non métalliques. </w:t>
      </w:r>
      <w:r w:rsidR="001D2282">
        <w:t xml:space="preserve">De ce fait </w:t>
      </w:r>
      <w:r w:rsidR="00E4160F">
        <w:t>c</w:t>
      </w:r>
      <w:r w:rsidR="001D2282">
        <w:t>es deux catégories de GRV</w:t>
      </w:r>
      <w:r w:rsidR="00C42DB2">
        <w:t xml:space="preserve"> </w:t>
      </w:r>
      <w:r w:rsidR="001D2282">
        <w:t>mentionnées au 4.1.2.2</w:t>
      </w:r>
      <w:r w:rsidR="00C42DB2">
        <w:t xml:space="preserve">, qui ne sont pas métalliques, </w:t>
      </w:r>
      <w:r w:rsidR="001D2282">
        <w:t xml:space="preserve">ne peuvent pas </w:t>
      </w:r>
      <w:r w:rsidR="00E4160F">
        <w:t>bénéficier de la possibilité prévue au 4.1.2.2 d’un transport après la durée d’utilisation</w:t>
      </w:r>
      <w:r w:rsidR="003D240F">
        <w:t>,</w:t>
      </w:r>
      <w:r w:rsidR="00E4160F">
        <w:t xml:space="preserve"> car</w:t>
      </w:r>
      <w:r w:rsidR="003D240F">
        <w:t>,</w:t>
      </w:r>
      <w:r w:rsidR="00E4160F">
        <w:t xml:space="preserve"> pour ceux-ci après 5 ans</w:t>
      </w:r>
      <w:r w:rsidR="003D240F">
        <w:t>,</w:t>
      </w:r>
      <w:r w:rsidR="00E4160F">
        <w:t xml:space="preserve"> il n’existe pas d’épreuve ou inspection périodique. </w:t>
      </w:r>
      <w:r w:rsidR="00E4160F">
        <w:lastRenderedPageBreak/>
        <w:t>Ceci ressort du libellé de</w:t>
      </w:r>
      <w:r w:rsidR="00C42DB2">
        <w:t xml:space="preserve"> la lettre b) du 4.1.2.2 qui ne semble s’appliquer que dans le cas où la validité de la dernière épreuve ou inspection a expiré. Or, pour les GRV non métalliques ce n’est pas uniquement la dernière épreuve ou inspection qui fixe la durée de validité mais également la disposition du 4.1.1.15.</w:t>
      </w:r>
    </w:p>
    <w:p w14:paraId="1D3455EE" w14:textId="77777777" w:rsidR="00D8542C" w:rsidRDefault="00C42DB2" w:rsidP="001D2282">
      <w:pPr>
        <w:pStyle w:val="SingleTxtG"/>
        <w:numPr>
          <w:ilvl w:val="0"/>
          <w:numId w:val="23"/>
        </w:numPr>
        <w:ind w:left="1134" w:firstLine="0"/>
      </w:pPr>
      <w:r>
        <w:t xml:space="preserve">La lettre a) du 4.1.2.2 autorise un transport pour être soumis à l’épreuve </w:t>
      </w:r>
      <w:r w:rsidR="00D8542C">
        <w:t xml:space="preserve">ou inspection </w:t>
      </w:r>
      <w:r>
        <w:t>avant d’être à nouveau rempli</w:t>
      </w:r>
      <w:r w:rsidR="00A26BB4">
        <w:t xml:space="preserve">. Dans le cas des GRV non métalliques ce texte s’entend uniquement pour </w:t>
      </w:r>
      <w:r w:rsidR="00D8542C">
        <w:t>le cas de l’inspection intermédiaire à 2 ans et demi du 6.5.4.4.1</w:t>
      </w:r>
      <w:r w:rsidR="003E0660">
        <w:t>. Ceci vient du fait qu’e</w:t>
      </w:r>
      <w:r w:rsidR="00D8542C">
        <w:t xml:space="preserve">n principe il n’existe pas d’épreuve ou inspection prévue après la date limite d’utilisation de 5 </w:t>
      </w:r>
      <w:r w:rsidR="003E0660">
        <w:t>a</w:t>
      </w:r>
      <w:r w:rsidR="00D8542C">
        <w:t>ns prévue au 4.1.1.15 et le remplissage après inspection n’est pas envisagé après 5 ans.</w:t>
      </w:r>
    </w:p>
    <w:p w14:paraId="7BD15AA8" w14:textId="77777777" w:rsidR="00D8542C" w:rsidRDefault="00D8542C" w:rsidP="00D8542C">
      <w:pPr>
        <w:pStyle w:val="SingleTxtG"/>
        <w:numPr>
          <w:ilvl w:val="0"/>
          <w:numId w:val="23"/>
        </w:numPr>
        <w:ind w:left="1134" w:firstLine="0"/>
      </w:pPr>
      <w:r>
        <w:t>La lettre b) du 4.1.2.2 autorisant le transport après la date limite de validité des épreuves ou inspection périodique semble ne pas être applicable aux GRV non métalliques qui ont dépassé la date limite d’utilisation étant donné qu’après cette date aucune épreuve ou inspection n’est prévue. Ils ne peuvent par conséquent pas être transportés après la durée d’utilisation même aux fins d’élimination ou de recyclage de leur contenu. L’allègement du 4.1.2.2 n’est pas conçu pour les GRV non métalliques qui ont atteint la date limite d’utilisation.</w:t>
      </w:r>
    </w:p>
    <w:p w14:paraId="298FDF03" w14:textId="77777777" w:rsidR="001D2282" w:rsidRDefault="00D8542C" w:rsidP="001D2282">
      <w:pPr>
        <w:pStyle w:val="SingleTxtG"/>
        <w:numPr>
          <w:ilvl w:val="0"/>
          <w:numId w:val="23"/>
        </w:numPr>
        <w:ind w:left="1134" w:firstLine="0"/>
      </w:pPr>
      <w:r>
        <w:t xml:space="preserve">Il nous semble qu’il s’agit d’une anomalie qui est </w:t>
      </w:r>
      <w:r w:rsidR="001D2282">
        <w:t>partic</w:t>
      </w:r>
      <w:r w:rsidR="00D567D3">
        <w:t>ulièrement gênante car cela sig</w:t>
      </w:r>
      <w:r w:rsidR="001D2282">
        <w:t>nifie que le</w:t>
      </w:r>
      <w:r>
        <w:t>s marchandises dangereuses contenues dans des</w:t>
      </w:r>
      <w:r w:rsidR="001D2282">
        <w:t xml:space="preserve"> GRV non métalliques ayant dépassé la date limite de validité ne peuvent être recyclé</w:t>
      </w:r>
      <w:r>
        <w:t>e</w:t>
      </w:r>
      <w:r w:rsidR="001D2282">
        <w:t>s ou éliminé</w:t>
      </w:r>
      <w:r>
        <w:t>e</w:t>
      </w:r>
      <w:r w:rsidR="001D2282">
        <w:t>s qu</w:t>
      </w:r>
      <w:r>
        <w:t xml:space="preserve">’en transvasant le contenu dans d’autres GRV ou </w:t>
      </w:r>
      <w:r w:rsidR="001D2282">
        <w:t>avec une dérogation accordée par l’autorité compétente. Cela complique inutilement leur transport vers les centres de traitement des déchets.</w:t>
      </w:r>
    </w:p>
    <w:p w14:paraId="0F6B32DC" w14:textId="77777777" w:rsidR="008C6D7E" w:rsidRDefault="001D2282" w:rsidP="001D2282">
      <w:pPr>
        <w:pStyle w:val="SingleTxtG"/>
        <w:numPr>
          <w:ilvl w:val="0"/>
          <w:numId w:val="23"/>
        </w:numPr>
        <w:ind w:left="1134" w:firstLine="0"/>
      </w:pPr>
      <w:r>
        <w:t>Nous nous demandons si ce qui ressemble à une anomalie était voulu</w:t>
      </w:r>
      <w:r w:rsidR="003D240F">
        <w:t>,</w:t>
      </w:r>
      <w:r>
        <w:t xml:space="preserve"> étant donné que le texte </w:t>
      </w:r>
      <w:r w:rsidR="00D567D3">
        <w:t xml:space="preserve">d’introduction </w:t>
      </w:r>
      <w:r>
        <w:t xml:space="preserve">du 4.1.2.2 s’adresse en principe également aux GRV non métalliques. </w:t>
      </w:r>
    </w:p>
    <w:p w14:paraId="1E8AE150" w14:textId="77777777" w:rsidR="008C6D7E" w:rsidRDefault="008C6D7E" w:rsidP="001D2282">
      <w:pPr>
        <w:pStyle w:val="SingleTxtG"/>
        <w:numPr>
          <w:ilvl w:val="0"/>
          <w:numId w:val="23"/>
        </w:numPr>
        <w:ind w:left="1134" w:firstLine="0"/>
      </w:pPr>
      <w:r>
        <w:t>Si les experts estiment qu’il s’agit d’une anomalie, nous proposons de modifier le texte du 4.1.2.2.</w:t>
      </w:r>
    </w:p>
    <w:p w14:paraId="50F2872A" w14:textId="77777777" w:rsidR="00924EAE" w:rsidRDefault="00924EAE" w:rsidP="00924EAE">
      <w:pPr>
        <w:pStyle w:val="HChG"/>
      </w:pPr>
      <w:r>
        <w:tab/>
      </w:r>
      <w:r>
        <w:tab/>
        <w:t>Proposition</w:t>
      </w:r>
    </w:p>
    <w:p w14:paraId="03382C94" w14:textId="77777777" w:rsidR="00924EAE" w:rsidRDefault="009D1070" w:rsidP="00924EAE">
      <w:pPr>
        <w:pStyle w:val="SingleTxtG"/>
      </w:pPr>
      <w:r>
        <w:t>7</w:t>
      </w:r>
      <w:r w:rsidR="00924EAE">
        <w:t>.</w:t>
      </w:r>
      <w:r w:rsidR="00924EAE">
        <w:tab/>
      </w:r>
      <w:r w:rsidR="008A1990">
        <w:t xml:space="preserve">Modifier </w:t>
      </w:r>
      <w:r w:rsidR="008C6D7E">
        <w:t xml:space="preserve">4.1.2.2 comme suit </w:t>
      </w:r>
      <w:r w:rsidR="006800CE">
        <w:t>(texte ajouté souligné en gras</w:t>
      </w:r>
      <w:r w:rsidR="00A77A16">
        <w:t xml:space="preserve">, texte éliminé </w:t>
      </w:r>
      <w:r w:rsidR="00A77A16" w:rsidRPr="009D1070">
        <w:rPr>
          <w:strike/>
        </w:rPr>
        <w:t>barré</w:t>
      </w:r>
      <w:r w:rsidR="006800CE">
        <w:t>)</w:t>
      </w:r>
      <w:r w:rsidR="00924EAE">
        <w:t> :</w:t>
      </w:r>
    </w:p>
    <w:p w14:paraId="1D12E6D6" w14:textId="77777777" w:rsidR="008C6D7E" w:rsidRPr="007755A7" w:rsidRDefault="00924EAE" w:rsidP="009D1070">
      <w:pPr>
        <w:tabs>
          <w:tab w:val="left" w:pos="1985"/>
        </w:tabs>
        <w:spacing w:after="120"/>
        <w:ind w:left="1701"/>
      </w:pPr>
      <w:r>
        <w:t>«</w:t>
      </w:r>
      <w:r>
        <w:tab/>
      </w:r>
      <w:r w:rsidR="008C6D7E" w:rsidRPr="007755A7">
        <w:t>4.1.2.2</w:t>
      </w:r>
      <w:r w:rsidR="009D1070">
        <w:t xml:space="preserve"> </w:t>
      </w:r>
      <w:r w:rsidR="008C6D7E" w:rsidRPr="007755A7">
        <w:t>Tout GRV métallique, GRV en plastique rigide ou GRV composite, doit être soumis aux contrôles et épreuves appropriés conformément au </w:t>
      </w:r>
      <w:r w:rsidR="008C6D7E" w:rsidRPr="007755A7">
        <w:rPr>
          <w:color w:val="000000"/>
        </w:rPr>
        <w:t>6.5.4.4 ou 6.5.4.5</w:t>
      </w:r>
      <w:r w:rsidR="008C6D7E" w:rsidRPr="007755A7">
        <w:t>:</w:t>
      </w:r>
    </w:p>
    <w:p w14:paraId="792E54A4" w14:textId="77777777" w:rsidR="008C6D7E" w:rsidRPr="007755A7" w:rsidRDefault="008C6D7E" w:rsidP="009D1070">
      <w:pPr>
        <w:pStyle w:val="SingleTxtG"/>
        <w:ind w:firstLine="567"/>
      </w:pPr>
      <w:r w:rsidRPr="007755A7">
        <w:t>-</w:t>
      </w:r>
      <w:r w:rsidRPr="007755A7">
        <w:tab/>
        <w:t xml:space="preserve">avant sa mise en </w:t>
      </w:r>
      <w:proofErr w:type="gramStart"/>
      <w:r w:rsidRPr="007755A7">
        <w:t>service;</w:t>
      </w:r>
      <w:proofErr w:type="gramEnd"/>
    </w:p>
    <w:p w14:paraId="01721191" w14:textId="77777777" w:rsidR="008C6D7E" w:rsidRPr="007755A7" w:rsidRDefault="008C6D7E" w:rsidP="009D1070">
      <w:pPr>
        <w:pStyle w:val="SingleTxtG"/>
        <w:ind w:left="2268" w:hanging="567"/>
      </w:pPr>
      <w:r w:rsidRPr="007755A7">
        <w:t>-</w:t>
      </w:r>
      <w:r w:rsidRPr="007755A7">
        <w:tab/>
        <w:t xml:space="preserve">ensuite à intervalles ne dépassant pas deux ans et demi et cinq ans, selon qu'il </w:t>
      </w:r>
      <w:proofErr w:type="gramStart"/>
      <w:r w:rsidRPr="007755A7">
        <w:t>convient;</w:t>
      </w:r>
      <w:proofErr w:type="gramEnd"/>
    </w:p>
    <w:p w14:paraId="10189011" w14:textId="77777777" w:rsidR="008C6D7E" w:rsidRPr="007755A7" w:rsidRDefault="008C6D7E" w:rsidP="009D1070">
      <w:pPr>
        <w:pStyle w:val="SingleTxtG"/>
        <w:ind w:firstLine="567"/>
      </w:pPr>
      <w:r w:rsidRPr="007755A7">
        <w:t>-</w:t>
      </w:r>
      <w:r w:rsidRPr="007755A7">
        <w:tab/>
        <w:t>après réparation ou reconstruction, avant qu’il soit réutilisé pour</w:t>
      </w:r>
      <w:r>
        <w:t xml:space="preserve"> </w:t>
      </w:r>
      <w:r w:rsidRPr="007755A7">
        <w:t>le transport.</w:t>
      </w:r>
    </w:p>
    <w:p w14:paraId="195B8BFC" w14:textId="77777777" w:rsidR="008C6D7E" w:rsidRPr="007755A7" w:rsidRDefault="008C6D7E" w:rsidP="009D1070">
      <w:pPr>
        <w:pStyle w:val="SingleTxtG"/>
        <w:ind w:left="1701"/>
      </w:pPr>
      <w:r w:rsidRPr="007755A7">
        <w:t xml:space="preserve">Un GRV ne doit pas être rempli et présenté au transport après la date d'expiration de la validité de la dernière épreuve ou inspection périodiques. Cependant, un GRV rempli avant la date limite de validité de la dernière épreuve ou inspection périodique peut être transporté pendant trois mois au maximum après cette date. En outre, un GRV peut être transporté après la date d'expiration de la </w:t>
      </w:r>
      <w:r w:rsidRPr="008C6D7E">
        <w:rPr>
          <w:b/>
          <w:u w:val="single"/>
        </w:rPr>
        <w:t xml:space="preserve">durée d'utilisation admise </w:t>
      </w:r>
      <w:r>
        <w:rPr>
          <w:b/>
          <w:u w:val="single"/>
        </w:rPr>
        <w:t>selon le 4.1.1.</w:t>
      </w:r>
      <w:r w:rsidR="003E0660">
        <w:rPr>
          <w:b/>
          <w:u w:val="single"/>
        </w:rPr>
        <w:t>1</w:t>
      </w:r>
      <w:r>
        <w:rPr>
          <w:b/>
          <w:u w:val="single"/>
        </w:rPr>
        <w:t xml:space="preserve">5 </w:t>
      </w:r>
      <w:r w:rsidRPr="008C6D7E">
        <w:rPr>
          <w:b/>
          <w:u w:val="single"/>
        </w:rPr>
        <w:t>ou de la</w:t>
      </w:r>
      <w:r>
        <w:t xml:space="preserve"> d</w:t>
      </w:r>
      <w:r w:rsidRPr="007755A7">
        <w:t xml:space="preserve">ernière épreuve ou inspection </w:t>
      </w:r>
      <w:proofErr w:type="gramStart"/>
      <w:r w:rsidRPr="007755A7">
        <w:t>périodique:</w:t>
      </w:r>
      <w:proofErr w:type="gramEnd"/>
    </w:p>
    <w:p w14:paraId="6815FD2D" w14:textId="77777777" w:rsidR="008C6D7E" w:rsidRPr="007755A7" w:rsidRDefault="008C6D7E" w:rsidP="009D1070">
      <w:pPr>
        <w:pStyle w:val="SingleTxtG"/>
        <w:ind w:left="1701"/>
      </w:pPr>
      <w:r w:rsidRPr="007755A7">
        <w:tab/>
        <w:t>a)</w:t>
      </w:r>
      <w:r w:rsidRPr="007755A7">
        <w:tab/>
        <w:t xml:space="preserve">après avoir été vidangé mais avant d'avoir été nettoyé pour être soumis à l'épreuve ou l'inspection prescrite avant d'être à nouveau </w:t>
      </w:r>
      <w:proofErr w:type="gramStart"/>
      <w:r w:rsidRPr="007755A7">
        <w:t>rempli;</w:t>
      </w:r>
      <w:proofErr w:type="gramEnd"/>
      <w:r w:rsidRPr="007755A7">
        <w:t xml:space="preserve"> et</w:t>
      </w:r>
    </w:p>
    <w:p w14:paraId="2E9E9981" w14:textId="77777777" w:rsidR="00A77A16" w:rsidRPr="00DC4A55" w:rsidRDefault="008C6D7E" w:rsidP="009D1070">
      <w:pPr>
        <w:pStyle w:val="SingleTxtG"/>
        <w:ind w:left="1701"/>
        <w:rPr>
          <w:b/>
          <w:u w:val="single"/>
        </w:rPr>
      </w:pPr>
      <w:r w:rsidRPr="007755A7">
        <w:tab/>
      </w:r>
      <w:r w:rsidRPr="00DC4A55">
        <w:t>b</w:t>
      </w:r>
      <w:r w:rsidRPr="007755A7">
        <w:t>)</w:t>
      </w:r>
      <w:r w:rsidRPr="007755A7">
        <w:tab/>
        <w:t xml:space="preserve">sauf dérogation accordée par l'autorité compétente, pendant une période de six mois au maximum après la date d'expiration </w:t>
      </w:r>
      <w:r w:rsidR="00A77A16">
        <w:rPr>
          <w:b/>
          <w:u w:val="single"/>
        </w:rPr>
        <w:t xml:space="preserve">de </w:t>
      </w:r>
      <w:r w:rsidR="00A77A16" w:rsidRPr="00A77A16">
        <w:rPr>
          <w:b/>
          <w:u w:val="single"/>
        </w:rPr>
        <w:t>la</w:t>
      </w:r>
      <w:r w:rsidR="00A77A16">
        <w:t xml:space="preserve"> </w:t>
      </w:r>
      <w:r w:rsidR="00A77A16" w:rsidRPr="008C6D7E">
        <w:rPr>
          <w:b/>
          <w:u w:val="single"/>
        </w:rPr>
        <w:t>durée d'utilisation admise</w:t>
      </w:r>
      <w:r w:rsidR="00A77A16">
        <w:rPr>
          <w:b/>
          <w:u w:val="single"/>
        </w:rPr>
        <w:t xml:space="preserve"> selon </w:t>
      </w:r>
      <w:r w:rsidR="00A77A16">
        <w:rPr>
          <w:b/>
          <w:u w:val="single"/>
        </w:rPr>
        <w:lastRenderedPageBreak/>
        <w:t>le 4.1.1.</w:t>
      </w:r>
      <w:r w:rsidR="003E0660">
        <w:rPr>
          <w:b/>
          <w:u w:val="single"/>
        </w:rPr>
        <w:t>1</w:t>
      </w:r>
      <w:r w:rsidR="00A77A16">
        <w:rPr>
          <w:b/>
          <w:u w:val="single"/>
        </w:rPr>
        <w:t xml:space="preserve">5 ou </w:t>
      </w:r>
      <w:r w:rsidRPr="007755A7">
        <w:t>de validité de la dernière é</w:t>
      </w:r>
      <w:r w:rsidR="00A77A16">
        <w:t>preuve ou inspection périodique</w:t>
      </w:r>
      <w:r w:rsidR="00A77A16">
        <w:rPr>
          <w:b/>
          <w:u w:val="single"/>
        </w:rPr>
        <w:t xml:space="preserve">, selon le cas, </w:t>
      </w:r>
      <w:r w:rsidRPr="007755A7">
        <w:t>pour permettre le retour des marchandises ou des résidus dangereux en vue de leur élimination ou leur recyclage selon les règles.</w:t>
      </w:r>
      <w:r w:rsidR="00A77A16" w:rsidRPr="00A77A16">
        <w:t xml:space="preserve"> </w:t>
      </w:r>
    </w:p>
    <w:p w14:paraId="1573A61C" w14:textId="77777777" w:rsidR="006800CE" w:rsidRPr="009D1070" w:rsidRDefault="008C6D7E" w:rsidP="009D1070">
      <w:pPr>
        <w:pStyle w:val="SingleTxtG"/>
        <w:ind w:left="1701"/>
        <w:rPr>
          <w:i/>
          <w:iCs/>
          <w:color w:val="1F497D"/>
        </w:rPr>
      </w:pPr>
      <w:r w:rsidRPr="009D1070">
        <w:rPr>
          <w:b/>
          <w:i/>
          <w:iCs/>
        </w:rPr>
        <w:tab/>
      </w:r>
      <w:proofErr w:type="gramStart"/>
      <w:r w:rsidRPr="009D1070">
        <w:rPr>
          <w:b/>
          <w:i/>
          <w:iCs/>
        </w:rPr>
        <w:t>NOTA:</w:t>
      </w:r>
      <w:proofErr w:type="gramEnd"/>
      <w:r w:rsidRPr="009D1070">
        <w:rPr>
          <w:i/>
          <w:iCs/>
        </w:rPr>
        <w:t xml:space="preserve"> En ce qui concerne la mention dans le document de transport, voir 5.4.1.1.11.</w:t>
      </w:r>
      <w:r w:rsidR="006800CE" w:rsidRPr="009D1070">
        <w:rPr>
          <w:i/>
          <w:iCs/>
        </w:rPr>
        <w:t> »</w:t>
      </w:r>
      <w:r w:rsidR="00A77A16" w:rsidRPr="009D1070">
        <w:rPr>
          <w:i/>
          <w:iCs/>
        </w:rPr>
        <w:t>.</w:t>
      </w:r>
    </w:p>
    <w:p w14:paraId="10B83526" w14:textId="77777777" w:rsidR="00924EAE" w:rsidRPr="009D1070" w:rsidRDefault="00924EAE" w:rsidP="009D1070">
      <w:pPr>
        <w:spacing w:before="240"/>
        <w:jc w:val="center"/>
        <w:rPr>
          <w:u w:val="single"/>
        </w:rPr>
      </w:pPr>
      <w:r>
        <w:tab/>
      </w:r>
      <w:r w:rsidR="009D1070">
        <w:rPr>
          <w:u w:val="single"/>
        </w:rPr>
        <w:tab/>
      </w:r>
      <w:r w:rsidR="009D1070">
        <w:rPr>
          <w:u w:val="single"/>
        </w:rPr>
        <w:tab/>
      </w:r>
      <w:r w:rsidR="009D1070">
        <w:rPr>
          <w:u w:val="single"/>
        </w:rPr>
        <w:tab/>
      </w:r>
    </w:p>
    <w:p w14:paraId="05DBB665" w14:textId="77777777" w:rsidR="00B31474" w:rsidRDefault="00B31474" w:rsidP="009D1070">
      <w:pPr>
        <w:pStyle w:val="SingleTxtG"/>
        <w:spacing w:before="240" w:after="0"/>
        <w:ind w:left="0"/>
        <w:rPr>
          <w:u w:val="single"/>
        </w:rPr>
      </w:pPr>
    </w:p>
    <w:sectPr w:rsidR="00B31474">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96C3" w14:textId="77777777" w:rsidR="00D13709" w:rsidRDefault="00D13709"/>
  </w:endnote>
  <w:endnote w:type="continuationSeparator" w:id="0">
    <w:p w14:paraId="44615C50" w14:textId="77777777" w:rsidR="00D13709" w:rsidRDefault="00D13709"/>
  </w:endnote>
  <w:endnote w:type="continuationNotice" w:id="1">
    <w:p w14:paraId="55E98586" w14:textId="77777777" w:rsidR="00D13709" w:rsidRDefault="00D1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55B9" w14:textId="77777777" w:rsidR="007C2370" w:rsidRDefault="007C237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3D240F">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C86D" w14:textId="77777777" w:rsidR="007C2370" w:rsidRDefault="007C2370">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sidR="003D240F">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2E7D1" w14:textId="77777777" w:rsidR="00D13709" w:rsidRDefault="00D13709">
      <w:pPr>
        <w:tabs>
          <w:tab w:val="right" w:pos="2155"/>
        </w:tabs>
        <w:spacing w:after="80"/>
        <w:ind w:left="680"/>
        <w:rPr>
          <w:u w:val="single"/>
        </w:rPr>
      </w:pPr>
      <w:r>
        <w:rPr>
          <w:u w:val="single"/>
        </w:rPr>
        <w:tab/>
      </w:r>
    </w:p>
  </w:footnote>
  <w:footnote w:type="continuationSeparator" w:id="0">
    <w:p w14:paraId="5736267C" w14:textId="77777777" w:rsidR="00D13709" w:rsidRDefault="00D13709">
      <w:pPr>
        <w:tabs>
          <w:tab w:val="left" w:pos="2155"/>
        </w:tabs>
        <w:spacing w:after="80"/>
        <w:ind w:left="680"/>
        <w:rPr>
          <w:u w:val="single"/>
        </w:rPr>
      </w:pPr>
      <w:r>
        <w:rPr>
          <w:u w:val="single"/>
        </w:rPr>
        <w:tab/>
      </w:r>
    </w:p>
  </w:footnote>
  <w:footnote w:type="continuationNotice" w:id="1">
    <w:p w14:paraId="6E88163C" w14:textId="77777777" w:rsidR="00D13709" w:rsidRDefault="00D13709"/>
  </w:footnote>
  <w:footnote w:id="2">
    <w:p w14:paraId="4499417F" w14:textId="77777777" w:rsidR="00C3425D" w:rsidRDefault="00C3425D" w:rsidP="00C3425D">
      <w:pPr>
        <w:pStyle w:val="FootnoteText"/>
        <w:tabs>
          <w:tab w:val="left" w:pos="1418"/>
        </w:tabs>
        <w:ind w:firstLine="0"/>
      </w:pPr>
      <w:r>
        <w:rPr>
          <w:rStyle w:val="FootnoteReference"/>
        </w:rPr>
        <w:footnoteRef/>
      </w:r>
      <w:r>
        <w:tab/>
      </w:r>
      <w:r w:rsidR="009D1070" w:rsidRPr="00BB2688">
        <w:rPr>
          <w:spacing w:val="-2"/>
          <w:lang w:val="fr-FR"/>
        </w:rPr>
        <w:t>Conformément au programme de travail du Sous-Comi</w:t>
      </w:r>
      <w:r w:rsidR="009D1070">
        <w:rPr>
          <w:spacing w:val="-2"/>
          <w:lang w:val="fr-FR"/>
        </w:rPr>
        <w:t>té pour la période biennale 2019-2020</w:t>
      </w:r>
      <w:r w:rsidR="009D1070" w:rsidRPr="00BB2688">
        <w:rPr>
          <w:spacing w:val="-2"/>
          <w:lang w:val="fr-FR"/>
        </w:rPr>
        <w:t xml:space="preserve">, approuvé par le Comité à sa </w:t>
      </w:r>
      <w:r w:rsidR="009D1070">
        <w:rPr>
          <w:spacing w:val="-2"/>
          <w:lang w:val="fr-FR"/>
        </w:rPr>
        <w:t>neuvième</w:t>
      </w:r>
      <w:r w:rsidR="009D1070" w:rsidRPr="00BB2688">
        <w:rPr>
          <w:spacing w:val="-2"/>
          <w:lang w:val="fr-FR"/>
        </w:rPr>
        <w:t xml:space="preserve"> session (voir ST/SG/AC.10/C.3/</w:t>
      </w:r>
      <w:r w:rsidR="009D1070">
        <w:rPr>
          <w:spacing w:val="-2"/>
          <w:lang w:val="fr-FR"/>
        </w:rPr>
        <w:t>108, par. 141, et ST/SG/AC.10/46, par. 14</w:t>
      </w:r>
      <w:r w:rsidR="009D1070" w:rsidRPr="00BB2688">
        <w:rPr>
          <w:spacing w:val="-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5650" w14:textId="77777777" w:rsidR="007C2370" w:rsidRDefault="007C2370">
    <w:pPr>
      <w:pStyle w:val="Header"/>
      <w:rPr>
        <w:lang w:val="en-US"/>
      </w:rPr>
    </w:pPr>
    <w:r>
      <w:rPr>
        <w:lang w:val="en-US"/>
      </w:rPr>
      <w:t>S</w:t>
    </w:r>
    <w:r w:rsidR="00AB7366">
      <w:rPr>
        <w:lang w:val="en-US"/>
      </w:rPr>
      <w:t>T/SG/AC.10/C.3/201</w:t>
    </w:r>
    <w:r w:rsidR="009D1070">
      <w:rPr>
        <w:lang w:val="en-US"/>
      </w:rPr>
      <w:t>9</w:t>
    </w:r>
    <w:r>
      <w:rPr>
        <w:lang w:val="en-US"/>
      </w:rPr>
      <w:t>/</w:t>
    </w:r>
    <w:r w:rsidR="009D1070">
      <w:rPr>
        <w:lang w:val="en-US"/>
      </w:rP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1524" w14:textId="77777777" w:rsidR="007C2370" w:rsidRDefault="00663195">
    <w:pPr>
      <w:pStyle w:val="Header"/>
      <w:jc w:val="right"/>
      <w:rPr>
        <w:lang w:val="en-US"/>
      </w:rPr>
    </w:pPr>
    <w:r>
      <w:rPr>
        <w:lang w:val="en-US"/>
      </w:rPr>
      <w:t>ST/SG/AC.10/C.3/201</w:t>
    </w:r>
    <w:r w:rsidR="009D1070">
      <w:rPr>
        <w:lang w:val="en-US"/>
      </w:rPr>
      <w:t>9</w:t>
    </w:r>
    <w:r>
      <w:rPr>
        <w:lang w:val="en-US"/>
      </w:rPr>
      <w:t>/</w:t>
    </w:r>
    <w:r w:rsidR="009D1070">
      <w:rPr>
        <w:lang w:val="en-US"/>
      </w:rP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042A" w14:textId="77777777" w:rsidR="007C2370" w:rsidRDefault="007C2370" w:rsidP="00C3425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cs="Times New Roman"/>
      </w:rPr>
    </w:lvl>
  </w:abstractNum>
  <w:abstractNum w:abstractNumId="1" w15:restartNumberingAfterBreak="0">
    <w:nsid w:val="00000004"/>
    <w:multiLevelType w:val="singleLevel"/>
    <w:tmpl w:val="00000004"/>
    <w:name w:val="WW8Num7"/>
    <w:lvl w:ilvl="0">
      <w:start w:val="2"/>
      <w:numFmt w:val="lowerRoman"/>
      <w:lvlText w:val="(%1)"/>
      <w:lvlJc w:val="left"/>
      <w:pPr>
        <w:tabs>
          <w:tab w:val="num" w:pos="3131"/>
        </w:tabs>
        <w:ind w:left="3131" w:hanging="720"/>
      </w:p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156DAD"/>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6"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FCE6890"/>
    <w:multiLevelType w:val="hybridMultilevel"/>
    <w:tmpl w:val="588677BE"/>
    <w:lvl w:ilvl="0" w:tplc="FC5260B4">
      <w:start w:val="1"/>
      <w:numFmt w:val="decimal"/>
      <w:lvlText w:val="%1."/>
      <w:lvlJc w:val="left"/>
      <w:pPr>
        <w:ind w:left="1704" w:hanging="570"/>
      </w:pPr>
      <w:rPr>
        <w:rFonts w:hint="default"/>
      </w:rPr>
    </w:lvl>
    <w:lvl w:ilvl="1" w:tplc="04090019">
      <w:start w:val="1"/>
      <w:numFmt w:val="lowerLetter"/>
      <w:lvlText w:val="%2."/>
      <w:lvlJc w:val="left"/>
      <w:pPr>
        <w:ind w:left="305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8FE6458"/>
    <w:multiLevelType w:val="hybridMultilevel"/>
    <w:tmpl w:val="4C4A47A8"/>
    <w:lvl w:ilvl="0" w:tplc="7A28CF46">
      <w:start w:val="8"/>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9" w15:restartNumberingAfterBreak="0">
    <w:nsid w:val="30892B70"/>
    <w:multiLevelType w:val="hybridMultilevel"/>
    <w:tmpl w:val="E8CC56C0"/>
    <w:lvl w:ilvl="0" w:tplc="9A7AE07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0164AD2"/>
    <w:multiLevelType w:val="hybridMultilevel"/>
    <w:tmpl w:val="30A6C164"/>
    <w:lvl w:ilvl="0" w:tplc="CFF0ADDA">
      <w:start w:val="1"/>
      <w:numFmt w:val="lowerLetter"/>
      <w:lvlText w:val="%1)"/>
      <w:lvlJc w:val="left"/>
      <w:pPr>
        <w:tabs>
          <w:tab w:val="num" w:pos="2775"/>
        </w:tabs>
        <w:ind w:left="2775" w:hanging="360"/>
      </w:pPr>
      <w:rPr>
        <w:rFonts w:hint="default"/>
      </w:rPr>
    </w:lvl>
    <w:lvl w:ilvl="1" w:tplc="040C0019" w:tentative="1">
      <w:start w:val="1"/>
      <w:numFmt w:val="lowerLetter"/>
      <w:lvlText w:val="%2."/>
      <w:lvlJc w:val="left"/>
      <w:pPr>
        <w:tabs>
          <w:tab w:val="num" w:pos="3495"/>
        </w:tabs>
        <w:ind w:left="3495" w:hanging="360"/>
      </w:pPr>
    </w:lvl>
    <w:lvl w:ilvl="2" w:tplc="040C001B" w:tentative="1">
      <w:start w:val="1"/>
      <w:numFmt w:val="lowerRoman"/>
      <w:lvlText w:val="%3."/>
      <w:lvlJc w:val="right"/>
      <w:pPr>
        <w:tabs>
          <w:tab w:val="num" w:pos="4215"/>
        </w:tabs>
        <w:ind w:left="4215" w:hanging="180"/>
      </w:pPr>
    </w:lvl>
    <w:lvl w:ilvl="3" w:tplc="040C000F" w:tentative="1">
      <w:start w:val="1"/>
      <w:numFmt w:val="decimal"/>
      <w:lvlText w:val="%4."/>
      <w:lvlJc w:val="left"/>
      <w:pPr>
        <w:tabs>
          <w:tab w:val="num" w:pos="4935"/>
        </w:tabs>
        <w:ind w:left="4935" w:hanging="360"/>
      </w:pPr>
    </w:lvl>
    <w:lvl w:ilvl="4" w:tplc="040C0019" w:tentative="1">
      <w:start w:val="1"/>
      <w:numFmt w:val="lowerLetter"/>
      <w:lvlText w:val="%5."/>
      <w:lvlJc w:val="left"/>
      <w:pPr>
        <w:tabs>
          <w:tab w:val="num" w:pos="5655"/>
        </w:tabs>
        <w:ind w:left="5655" w:hanging="360"/>
      </w:pPr>
    </w:lvl>
    <w:lvl w:ilvl="5" w:tplc="040C001B" w:tentative="1">
      <w:start w:val="1"/>
      <w:numFmt w:val="lowerRoman"/>
      <w:lvlText w:val="%6."/>
      <w:lvlJc w:val="right"/>
      <w:pPr>
        <w:tabs>
          <w:tab w:val="num" w:pos="6375"/>
        </w:tabs>
        <w:ind w:left="6375" w:hanging="180"/>
      </w:pPr>
    </w:lvl>
    <w:lvl w:ilvl="6" w:tplc="040C000F" w:tentative="1">
      <w:start w:val="1"/>
      <w:numFmt w:val="decimal"/>
      <w:lvlText w:val="%7."/>
      <w:lvlJc w:val="left"/>
      <w:pPr>
        <w:tabs>
          <w:tab w:val="num" w:pos="7095"/>
        </w:tabs>
        <w:ind w:left="7095" w:hanging="360"/>
      </w:pPr>
    </w:lvl>
    <w:lvl w:ilvl="7" w:tplc="040C0019" w:tentative="1">
      <w:start w:val="1"/>
      <w:numFmt w:val="lowerLetter"/>
      <w:lvlText w:val="%8."/>
      <w:lvlJc w:val="left"/>
      <w:pPr>
        <w:tabs>
          <w:tab w:val="num" w:pos="7815"/>
        </w:tabs>
        <w:ind w:left="7815" w:hanging="360"/>
      </w:pPr>
    </w:lvl>
    <w:lvl w:ilvl="8" w:tplc="040C001B" w:tentative="1">
      <w:start w:val="1"/>
      <w:numFmt w:val="lowerRoman"/>
      <w:lvlText w:val="%9."/>
      <w:lvlJc w:val="right"/>
      <w:pPr>
        <w:tabs>
          <w:tab w:val="num" w:pos="8535"/>
        </w:tabs>
        <w:ind w:left="8535" w:hanging="180"/>
      </w:pPr>
    </w:lvl>
  </w:abstractNum>
  <w:abstractNum w:abstractNumId="13" w15:restartNumberingAfterBreak="0">
    <w:nsid w:val="45187CC0"/>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5A83202E"/>
    <w:multiLevelType w:val="hybridMultilevel"/>
    <w:tmpl w:val="087E3266"/>
    <w:lvl w:ilvl="0" w:tplc="B7D2649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6" w15:restartNumberingAfterBreak="0">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0177220"/>
    <w:multiLevelType w:val="hybridMultilevel"/>
    <w:tmpl w:val="4948A01E"/>
    <w:lvl w:ilvl="0" w:tplc="E8D4B2A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8" w15:restartNumberingAfterBreak="0">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0"/>
  </w:num>
  <w:num w:numId="4">
    <w:abstractNumId w:val="1"/>
  </w:num>
  <w:num w:numId="5">
    <w:abstractNumId w:val="2"/>
  </w:num>
  <w:num w:numId="6">
    <w:abstractNumId w:val="9"/>
  </w:num>
  <w:num w:numId="7">
    <w:abstractNumId w:val="15"/>
  </w:num>
  <w:num w:numId="8">
    <w:abstractNumId w:val="18"/>
  </w:num>
  <w:num w:numId="9">
    <w:abstractNumId w:val="12"/>
  </w:num>
  <w:num w:numId="10">
    <w:abstractNumId w:val="19"/>
  </w:num>
  <w:num w:numId="11">
    <w:abstractNumId w:val="11"/>
  </w:num>
  <w:num w:numId="12">
    <w:abstractNumId w:val="16"/>
  </w:num>
  <w:num w:numId="13">
    <w:abstractNumId w:val="16"/>
  </w:num>
  <w:num w:numId="14">
    <w:abstractNumId w:val="16"/>
  </w:num>
  <w:num w:numId="15">
    <w:abstractNumId w:val="4"/>
  </w:num>
  <w:num w:numId="16">
    <w:abstractNumId w:val="6"/>
  </w:num>
  <w:num w:numId="17">
    <w:abstractNumId w:val="14"/>
  </w:num>
  <w:num w:numId="18">
    <w:abstractNumId w:val="3"/>
  </w:num>
  <w:num w:numId="19">
    <w:abstractNumId w:val="17"/>
  </w:num>
  <w:num w:numId="20">
    <w:abstractNumId w:val="8"/>
  </w:num>
  <w:num w:numId="21">
    <w:abstractNumId w:val="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02"/>
    <w:rsid w:val="00012DAC"/>
    <w:rsid w:val="00013866"/>
    <w:rsid w:val="00014AEA"/>
    <w:rsid w:val="00042CFB"/>
    <w:rsid w:val="00046BFA"/>
    <w:rsid w:val="00051400"/>
    <w:rsid w:val="00054394"/>
    <w:rsid w:val="0005650A"/>
    <w:rsid w:val="000659E4"/>
    <w:rsid w:val="000806FE"/>
    <w:rsid w:val="00083294"/>
    <w:rsid w:val="000B3266"/>
    <w:rsid w:val="000C06F0"/>
    <w:rsid w:val="000F1361"/>
    <w:rsid w:val="000F7333"/>
    <w:rsid w:val="001058BC"/>
    <w:rsid w:val="001174AE"/>
    <w:rsid w:val="0015596D"/>
    <w:rsid w:val="001A44AF"/>
    <w:rsid w:val="001B6C30"/>
    <w:rsid w:val="001C6A24"/>
    <w:rsid w:val="001D2282"/>
    <w:rsid w:val="001E0915"/>
    <w:rsid w:val="001E36A9"/>
    <w:rsid w:val="001F1DF1"/>
    <w:rsid w:val="00203D55"/>
    <w:rsid w:val="00210222"/>
    <w:rsid w:val="0023481B"/>
    <w:rsid w:val="00236B05"/>
    <w:rsid w:val="00237CAF"/>
    <w:rsid w:val="00242278"/>
    <w:rsid w:val="00253A00"/>
    <w:rsid w:val="0026107C"/>
    <w:rsid w:val="002D0389"/>
    <w:rsid w:val="002D0D8B"/>
    <w:rsid w:val="002D3C26"/>
    <w:rsid w:val="002E2543"/>
    <w:rsid w:val="00321DA8"/>
    <w:rsid w:val="00366908"/>
    <w:rsid w:val="00377958"/>
    <w:rsid w:val="003A46D3"/>
    <w:rsid w:val="003C1D73"/>
    <w:rsid w:val="003D240F"/>
    <w:rsid w:val="003E003D"/>
    <w:rsid w:val="003E0660"/>
    <w:rsid w:val="003E1C76"/>
    <w:rsid w:val="003F76C3"/>
    <w:rsid w:val="00403C69"/>
    <w:rsid w:val="00410486"/>
    <w:rsid w:val="00411A60"/>
    <w:rsid w:val="004133DE"/>
    <w:rsid w:val="004244F8"/>
    <w:rsid w:val="004362EC"/>
    <w:rsid w:val="004438B6"/>
    <w:rsid w:val="00460828"/>
    <w:rsid w:val="00460FB7"/>
    <w:rsid w:val="004909C7"/>
    <w:rsid w:val="00490C26"/>
    <w:rsid w:val="004B6935"/>
    <w:rsid w:val="004C7AF3"/>
    <w:rsid w:val="004D406E"/>
    <w:rsid w:val="004E16BC"/>
    <w:rsid w:val="00543D98"/>
    <w:rsid w:val="00553ABF"/>
    <w:rsid w:val="00582F51"/>
    <w:rsid w:val="00596465"/>
    <w:rsid w:val="005A4236"/>
    <w:rsid w:val="005B7088"/>
    <w:rsid w:val="005D130D"/>
    <w:rsid w:val="005D5FB8"/>
    <w:rsid w:val="005E1C38"/>
    <w:rsid w:val="005F08E7"/>
    <w:rsid w:val="005F25FC"/>
    <w:rsid w:val="00602038"/>
    <w:rsid w:val="0063146A"/>
    <w:rsid w:val="00637F41"/>
    <w:rsid w:val="006437EB"/>
    <w:rsid w:val="00653DE1"/>
    <w:rsid w:val="00654BFA"/>
    <w:rsid w:val="00663195"/>
    <w:rsid w:val="006655BC"/>
    <w:rsid w:val="006800CE"/>
    <w:rsid w:val="00692206"/>
    <w:rsid w:val="00693E6C"/>
    <w:rsid w:val="006A0657"/>
    <w:rsid w:val="006B41BB"/>
    <w:rsid w:val="006E38B9"/>
    <w:rsid w:val="00714E18"/>
    <w:rsid w:val="00734DB1"/>
    <w:rsid w:val="00750540"/>
    <w:rsid w:val="007651D0"/>
    <w:rsid w:val="007808F4"/>
    <w:rsid w:val="007848F1"/>
    <w:rsid w:val="00797850"/>
    <w:rsid w:val="007B3972"/>
    <w:rsid w:val="007C2370"/>
    <w:rsid w:val="007C44B3"/>
    <w:rsid w:val="007F25D7"/>
    <w:rsid w:val="007F44FA"/>
    <w:rsid w:val="007F5758"/>
    <w:rsid w:val="007F7FB2"/>
    <w:rsid w:val="00853D97"/>
    <w:rsid w:val="0088239A"/>
    <w:rsid w:val="008A1990"/>
    <w:rsid w:val="008B50F1"/>
    <w:rsid w:val="008C6D7E"/>
    <w:rsid w:val="008E603E"/>
    <w:rsid w:val="008F7C2B"/>
    <w:rsid w:val="0090534C"/>
    <w:rsid w:val="00924EAE"/>
    <w:rsid w:val="00925219"/>
    <w:rsid w:val="00936806"/>
    <w:rsid w:val="00963ABD"/>
    <w:rsid w:val="009809C7"/>
    <w:rsid w:val="009C65A4"/>
    <w:rsid w:val="009D1070"/>
    <w:rsid w:val="009F1D42"/>
    <w:rsid w:val="009F4F69"/>
    <w:rsid w:val="00A12E4C"/>
    <w:rsid w:val="00A26BB4"/>
    <w:rsid w:val="00A27161"/>
    <w:rsid w:val="00A33E02"/>
    <w:rsid w:val="00A47DAE"/>
    <w:rsid w:val="00A63DC6"/>
    <w:rsid w:val="00A64AD8"/>
    <w:rsid w:val="00A64E61"/>
    <w:rsid w:val="00A77A16"/>
    <w:rsid w:val="00AB7366"/>
    <w:rsid w:val="00AD6337"/>
    <w:rsid w:val="00B31474"/>
    <w:rsid w:val="00B535AB"/>
    <w:rsid w:val="00B87401"/>
    <w:rsid w:val="00B90BC5"/>
    <w:rsid w:val="00B96B24"/>
    <w:rsid w:val="00BA24A5"/>
    <w:rsid w:val="00BC3265"/>
    <w:rsid w:val="00BD0A04"/>
    <w:rsid w:val="00BE4353"/>
    <w:rsid w:val="00BF5491"/>
    <w:rsid w:val="00C06386"/>
    <w:rsid w:val="00C25565"/>
    <w:rsid w:val="00C31757"/>
    <w:rsid w:val="00C3425D"/>
    <w:rsid w:val="00C363BE"/>
    <w:rsid w:val="00C3691C"/>
    <w:rsid w:val="00C42DB2"/>
    <w:rsid w:val="00C45B63"/>
    <w:rsid w:val="00C557B3"/>
    <w:rsid w:val="00C55D8F"/>
    <w:rsid w:val="00CA6F0F"/>
    <w:rsid w:val="00CB75C1"/>
    <w:rsid w:val="00CD093A"/>
    <w:rsid w:val="00CE70EE"/>
    <w:rsid w:val="00CE7102"/>
    <w:rsid w:val="00CF15C4"/>
    <w:rsid w:val="00D13709"/>
    <w:rsid w:val="00D567D3"/>
    <w:rsid w:val="00D80310"/>
    <w:rsid w:val="00D8542C"/>
    <w:rsid w:val="00D87DEE"/>
    <w:rsid w:val="00D96C4D"/>
    <w:rsid w:val="00DA422B"/>
    <w:rsid w:val="00DC4A55"/>
    <w:rsid w:val="00DC7C47"/>
    <w:rsid w:val="00DF0BF7"/>
    <w:rsid w:val="00E342C8"/>
    <w:rsid w:val="00E412FE"/>
    <w:rsid w:val="00E4160F"/>
    <w:rsid w:val="00E60D87"/>
    <w:rsid w:val="00E6328D"/>
    <w:rsid w:val="00E72C4C"/>
    <w:rsid w:val="00E8311F"/>
    <w:rsid w:val="00EC76DD"/>
    <w:rsid w:val="00ED14EB"/>
    <w:rsid w:val="00ED6661"/>
    <w:rsid w:val="00EE3058"/>
    <w:rsid w:val="00F433B8"/>
    <w:rsid w:val="00F43B95"/>
    <w:rsid w:val="00F43BCB"/>
    <w:rsid w:val="00F46AFD"/>
    <w:rsid w:val="00F62ED1"/>
    <w:rsid w:val="00F71F61"/>
    <w:rsid w:val="00FA4A4F"/>
    <w:rsid w:val="00FC4339"/>
    <w:rsid w:val="00FD1977"/>
    <w:rsid w:val="00FE6A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433378B"/>
  <w15:docId w15:val="{2D1FCD9B-3437-4BFA-9B31-1261E693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 w:type="paragraph" w:styleId="BodyTextIndent2">
    <w:name w:val="Body Text Indent 2"/>
    <w:basedOn w:val="Normal"/>
    <w:link w:val="BodyTextIndent2Char"/>
    <w:semiHidden/>
    <w:unhideWhenUsed/>
    <w:rsid w:val="008C6D7E"/>
    <w:pPr>
      <w:spacing w:after="120" w:line="480" w:lineRule="auto"/>
      <w:ind w:left="283"/>
    </w:pPr>
  </w:style>
  <w:style w:type="character" w:customStyle="1" w:styleId="BodyTextIndent2Char">
    <w:name w:val="Body Text Indent 2 Char"/>
    <w:basedOn w:val="DefaultParagraphFont"/>
    <w:link w:val="BodyTextIndent2"/>
    <w:semiHidden/>
    <w:rsid w:val="008C6D7E"/>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8911">
      <w:bodyDiv w:val="1"/>
      <w:marLeft w:val="0"/>
      <w:marRight w:val="0"/>
      <w:marTop w:val="0"/>
      <w:marBottom w:val="0"/>
      <w:divBdr>
        <w:top w:val="none" w:sz="0" w:space="0" w:color="auto"/>
        <w:left w:val="none" w:sz="0" w:space="0" w:color="auto"/>
        <w:bottom w:val="none" w:sz="0" w:space="0" w:color="auto"/>
        <w:right w:val="none" w:sz="0" w:space="0" w:color="auto"/>
      </w:divBdr>
    </w:div>
    <w:div w:id="487480775">
      <w:bodyDiv w:val="1"/>
      <w:marLeft w:val="0"/>
      <w:marRight w:val="0"/>
      <w:marTop w:val="0"/>
      <w:marBottom w:val="0"/>
      <w:divBdr>
        <w:top w:val="none" w:sz="0" w:space="0" w:color="auto"/>
        <w:left w:val="none" w:sz="0" w:space="0" w:color="auto"/>
        <w:bottom w:val="none" w:sz="0" w:space="0" w:color="auto"/>
        <w:right w:val="none" w:sz="0" w:space="0" w:color="auto"/>
      </w:divBdr>
    </w:div>
    <w:div w:id="923298642">
      <w:bodyDiv w:val="1"/>
      <w:marLeft w:val="0"/>
      <w:marRight w:val="0"/>
      <w:marTop w:val="0"/>
      <w:marBottom w:val="0"/>
      <w:divBdr>
        <w:top w:val="none" w:sz="0" w:space="0" w:color="auto"/>
        <w:left w:val="none" w:sz="0" w:space="0" w:color="auto"/>
        <w:bottom w:val="none" w:sz="0" w:space="0" w:color="auto"/>
        <w:right w:val="none" w:sz="0" w:space="0" w:color="auto"/>
      </w:divBdr>
    </w:div>
    <w:div w:id="1234436879">
      <w:bodyDiv w:val="1"/>
      <w:marLeft w:val="0"/>
      <w:marRight w:val="0"/>
      <w:marTop w:val="0"/>
      <w:marBottom w:val="0"/>
      <w:divBdr>
        <w:top w:val="none" w:sz="0" w:space="0" w:color="auto"/>
        <w:left w:val="none" w:sz="0" w:space="0" w:color="auto"/>
        <w:bottom w:val="none" w:sz="0" w:space="0" w:color="auto"/>
        <w:right w:val="none" w:sz="0" w:space="0" w:color="auto"/>
      </w:divBdr>
    </w:div>
    <w:div w:id="1620527730">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A543-D00F-4694-A200-9A0A7983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806</Words>
  <Characters>4330</Characters>
  <Application>Microsoft Office Word</Application>
  <DocSecurity>0</DocSecurity>
  <Lines>85</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Collet</dc:creator>
  <cp:lastModifiedBy>Laurence Berthet</cp:lastModifiedBy>
  <cp:revision>5</cp:revision>
  <cp:lastPrinted>2019-04-08T08:18:00Z</cp:lastPrinted>
  <dcterms:created xsi:type="dcterms:W3CDTF">2019-04-05T15:46:00Z</dcterms:created>
  <dcterms:modified xsi:type="dcterms:W3CDTF">2019-04-08T08:18:00Z</dcterms:modified>
</cp:coreProperties>
</file>