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759E34D" w14:textId="77777777" w:rsidTr="00F01738">
        <w:trPr>
          <w:trHeight w:hRule="exact" w:val="851"/>
        </w:trPr>
        <w:tc>
          <w:tcPr>
            <w:tcW w:w="1276" w:type="dxa"/>
            <w:tcBorders>
              <w:bottom w:val="single" w:sz="4" w:space="0" w:color="auto"/>
            </w:tcBorders>
          </w:tcPr>
          <w:p w14:paraId="1D59203B" w14:textId="77777777" w:rsidR="00132EA9" w:rsidRPr="00DB58B5" w:rsidRDefault="00132EA9" w:rsidP="00347941">
            <w:bookmarkStart w:id="0" w:name="_GoBack"/>
            <w:bookmarkEnd w:id="0"/>
          </w:p>
        </w:tc>
        <w:tc>
          <w:tcPr>
            <w:tcW w:w="2268" w:type="dxa"/>
            <w:tcBorders>
              <w:bottom w:val="single" w:sz="4" w:space="0" w:color="auto"/>
            </w:tcBorders>
            <w:vAlign w:val="bottom"/>
          </w:tcPr>
          <w:p w14:paraId="7F3648B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910AD8" w14:textId="77777777" w:rsidR="00132EA9" w:rsidRPr="00DB58B5" w:rsidRDefault="00347941" w:rsidP="00347941">
            <w:pPr>
              <w:jc w:val="right"/>
            </w:pPr>
            <w:r w:rsidRPr="00347941">
              <w:rPr>
                <w:sz w:val="40"/>
              </w:rPr>
              <w:t>ST</w:t>
            </w:r>
            <w:r>
              <w:t>/SG/AC.10/C.3/2019/24</w:t>
            </w:r>
          </w:p>
        </w:tc>
      </w:tr>
      <w:tr w:rsidR="00132EA9" w:rsidRPr="00DB58B5" w14:paraId="1C8C457A" w14:textId="77777777" w:rsidTr="00F01738">
        <w:trPr>
          <w:trHeight w:hRule="exact" w:val="2835"/>
        </w:trPr>
        <w:tc>
          <w:tcPr>
            <w:tcW w:w="1276" w:type="dxa"/>
            <w:tcBorders>
              <w:top w:val="single" w:sz="4" w:space="0" w:color="auto"/>
              <w:bottom w:val="single" w:sz="12" w:space="0" w:color="auto"/>
            </w:tcBorders>
          </w:tcPr>
          <w:p w14:paraId="0E71CADB" w14:textId="77777777" w:rsidR="00132EA9" w:rsidRPr="00DB58B5" w:rsidRDefault="00132EA9" w:rsidP="00F01738">
            <w:pPr>
              <w:spacing w:before="120"/>
              <w:jc w:val="center"/>
            </w:pPr>
            <w:r>
              <w:rPr>
                <w:noProof/>
                <w:lang w:eastAsia="fr-CH"/>
              </w:rPr>
              <w:drawing>
                <wp:inline distT="0" distB="0" distL="0" distR="0" wp14:anchorId="22704D01" wp14:editId="4946E1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7FEAC8"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C5ECF7A" w14:textId="77777777" w:rsidR="00132EA9" w:rsidRDefault="00347941" w:rsidP="00F01738">
            <w:pPr>
              <w:spacing w:before="240"/>
            </w:pPr>
            <w:r>
              <w:t>Distr. générale</w:t>
            </w:r>
          </w:p>
          <w:p w14:paraId="6C4A4679" w14:textId="77777777" w:rsidR="00347941" w:rsidRDefault="00347941" w:rsidP="00347941">
            <w:pPr>
              <w:spacing w:line="240" w:lineRule="exact"/>
            </w:pPr>
            <w:r>
              <w:t>5 avril 2019</w:t>
            </w:r>
          </w:p>
          <w:p w14:paraId="787E70E9" w14:textId="77777777" w:rsidR="00347941" w:rsidRDefault="00347941" w:rsidP="00347941">
            <w:pPr>
              <w:spacing w:line="240" w:lineRule="exact"/>
            </w:pPr>
            <w:r>
              <w:t>Français</w:t>
            </w:r>
          </w:p>
          <w:p w14:paraId="25BE9CA6" w14:textId="77777777" w:rsidR="00347941" w:rsidRPr="00DB58B5" w:rsidRDefault="00347941" w:rsidP="00347941">
            <w:pPr>
              <w:spacing w:line="240" w:lineRule="exact"/>
            </w:pPr>
            <w:r>
              <w:t>Original</w:t>
            </w:r>
            <w:r w:rsidR="000F097D">
              <w:t> </w:t>
            </w:r>
            <w:r>
              <w:t>: anglais</w:t>
            </w:r>
          </w:p>
        </w:tc>
      </w:tr>
    </w:tbl>
    <w:p w14:paraId="4C522380" w14:textId="77777777" w:rsidR="00347941" w:rsidRPr="00CA0680" w:rsidRDefault="00347941" w:rsidP="000305D3">
      <w:pPr>
        <w:spacing w:before="120"/>
        <w:rPr>
          <w:b/>
          <w:sz w:val="24"/>
          <w:szCs w:val="24"/>
        </w:rPr>
      </w:pPr>
      <w:r w:rsidRPr="00CA0680">
        <w:rPr>
          <w:b/>
          <w:sz w:val="24"/>
          <w:szCs w:val="24"/>
        </w:rPr>
        <w:t>Comité d</w:t>
      </w:r>
      <w:r w:rsidR="000F097D">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0F097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628B899" w14:textId="77777777" w:rsidR="00347941" w:rsidRPr="00CA0680" w:rsidRDefault="00347941" w:rsidP="000305D3">
      <w:pPr>
        <w:spacing w:before="120"/>
        <w:rPr>
          <w:b/>
        </w:rPr>
      </w:pPr>
      <w:r w:rsidRPr="00CA0680">
        <w:rPr>
          <w:b/>
        </w:rPr>
        <w:t>Sous</w:t>
      </w:r>
      <w:r>
        <w:rPr>
          <w:b/>
        </w:rPr>
        <w:t>-</w:t>
      </w:r>
      <w:r w:rsidRPr="00CA0680">
        <w:rPr>
          <w:b/>
        </w:rPr>
        <w:t>Comité d</w:t>
      </w:r>
      <w:r w:rsidR="000F097D">
        <w:rPr>
          <w:b/>
        </w:rPr>
        <w:t>’</w:t>
      </w:r>
      <w:r w:rsidRPr="00CA0680">
        <w:rPr>
          <w:b/>
        </w:rPr>
        <w:t>experts du transport des marchandises dangereuses</w:t>
      </w:r>
    </w:p>
    <w:p w14:paraId="633E89EA" w14:textId="77777777" w:rsidR="00347941" w:rsidRDefault="00347941" w:rsidP="000305D3">
      <w:pPr>
        <w:spacing w:before="120"/>
        <w:rPr>
          <w:b/>
        </w:rPr>
      </w:pPr>
      <w:r>
        <w:rPr>
          <w:b/>
          <w:bCs/>
          <w:lang w:val="fr-FR"/>
        </w:rPr>
        <w:t>Cinquante-cinquième</w:t>
      </w:r>
      <w:r>
        <w:rPr>
          <w:b/>
        </w:rPr>
        <w:t xml:space="preserve"> </w:t>
      </w:r>
      <w:r w:rsidRPr="00CA0680">
        <w:rPr>
          <w:b/>
        </w:rPr>
        <w:t>session</w:t>
      </w:r>
    </w:p>
    <w:p w14:paraId="713DC905" w14:textId="77777777" w:rsidR="00347941" w:rsidRDefault="00347941" w:rsidP="000305D3">
      <w:r>
        <w:t xml:space="preserve">Genève, </w:t>
      </w:r>
      <w:r>
        <w:rPr>
          <w:lang w:val="fr-FR"/>
        </w:rPr>
        <w:t>1</w:t>
      </w:r>
      <w:r w:rsidRPr="00C86FD3">
        <w:rPr>
          <w:vertAlign w:val="superscript"/>
          <w:lang w:val="fr-FR"/>
        </w:rPr>
        <w:t>er</w:t>
      </w:r>
      <w:r>
        <w:rPr>
          <w:lang w:val="fr-FR"/>
        </w:rPr>
        <w:t>-5</w:t>
      </w:r>
      <w:r w:rsidR="000F097D">
        <w:rPr>
          <w:lang w:val="fr-FR"/>
        </w:rPr>
        <w:t> </w:t>
      </w:r>
      <w:r>
        <w:rPr>
          <w:lang w:val="fr-FR"/>
        </w:rPr>
        <w:t>juillet 2019</w:t>
      </w:r>
    </w:p>
    <w:p w14:paraId="6A55BE0C" w14:textId="77777777" w:rsidR="00347941" w:rsidRDefault="00347941" w:rsidP="000305D3">
      <w:r>
        <w:t>Point </w:t>
      </w:r>
      <w:r>
        <w:rPr>
          <w:lang w:val="fr-FR"/>
        </w:rPr>
        <w:t>6 b)</w:t>
      </w:r>
      <w:r>
        <w:t xml:space="preserve"> de l</w:t>
      </w:r>
      <w:r w:rsidR="000F097D">
        <w:t>’</w:t>
      </w:r>
      <w:r>
        <w:t>ordre du jour provisoire</w:t>
      </w:r>
    </w:p>
    <w:p w14:paraId="7668CEAA" w14:textId="77777777" w:rsidR="00347941" w:rsidRPr="00762A8D" w:rsidRDefault="00347941" w:rsidP="00347941">
      <w:pPr>
        <w:rPr>
          <w:b/>
          <w:bCs/>
        </w:rPr>
      </w:pPr>
      <w:r>
        <w:rPr>
          <w:b/>
          <w:bCs/>
          <w:lang w:val="fr-FR"/>
        </w:rPr>
        <w:t>Propositions diverses d</w:t>
      </w:r>
      <w:r w:rsidR="000F097D">
        <w:rPr>
          <w:b/>
          <w:bCs/>
          <w:lang w:val="fr-FR"/>
        </w:rPr>
        <w:t>’</w:t>
      </w:r>
      <w:r>
        <w:rPr>
          <w:b/>
          <w:bCs/>
          <w:lang w:val="fr-FR"/>
        </w:rPr>
        <w:t xml:space="preserve">amendements au Règlement type </w:t>
      </w:r>
      <w:r>
        <w:rPr>
          <w:b/>
          <w:bCs/>
          <w:lang w:val="fr-FR"/>
        </w:rPr>
        <w:br/>
        <w:t>pour le transport des marchandises dangereuses</w:t>
      </w:r>
      <w:r w:rsidR="000F097D">
        <w:rPr>
          <w:b/>
          <w:bCs/>
          <w:lang w:val="fr-FR"/>
        </w:rPr>
        <w:t> </w:t>
      </w:r>
      <w:r>
        <w:rPr>
          <w:b/>
          <w:bCs/>
          <w:lang w:val="fr-FR"/>
        </w:rPr>
        <w:t xml:space="preserve">: </w:t>
      </w:r>
      <w:r>
        <w:rPr>
          <w:b/>
          <w:bCs/>
          <w:lang w:val="fr-FR"/>
        </w:rPr>
        <w:br/>
        <w:t>Emballages</w:t>
      </w:r>
    </w:p>
    <w:p w14:paraId="2DCD36B6" w14:textId="77777777" w:rsidR="00347941" w:rsidRPr="00762A8D" w:rsidRDefault="00347941" w:rsidP="00347941">
      <w:pPr>
        <w:pStyle w:val="HChG"/>
        <w:rPr>
          <w:sz w:val="24"/>
        </w:rPr>
      </w:pPr>
      <w:r>
        <w:rPr>
          <w:lang w:val="fr-FR"/>
        </w:rPr>
        <w:tab/>
      </w:r>
      <w:r>
        <w:rPr>
          <w:lang w:val="fr-FR"/>
        </w:rPr>
        <w:tab/>
        <w:t>Durée d</w:t>
      </w:r>
      <w:r w:rsidR="000F097D">
        <w:rPr>
          <w:lang w:val="fr-FR"/>
        </w:rPr>
        <w:t>’</w:t>
      </w:r>
      <w:r>
        <w:rPr>
          <w:lang w:val="fr-FR"/>
        </w:rPr>
        <w:t>utilisation admise pour les GRV composites avec récipient intérieur en plastique</w:t>
      </w:r>
    </w:p>
    <w:p w14:paraId="34B8ADC6" w14:textId="77777777" w:rsidR="00347941" w:rsidRPr="00762A8D" w:rsidRDefault="00347941" w:rsidP="00347941">
      <w:pPr>
        <w:pStyle w:val="H1G"/>
      </w:pPr>
      <w:r>
        <w:rPr>
          <w:lang w:val="fr-FR"/>
        </w:rPr>
        <w:tab/>
      </w:r>
      <w:r>
        <w:rPr>
          <w:lang w:val="fr-FR"/>
        </w:rPr>
        <w:tab/>
        <w:t>Communication de l</w:t>
      </w:r>
      <w:r w:rsidR="000F097D">
        <w:rPr>
          <w:lang w:val="fr-FR"/>
        </w:rPr>
        <w:t>’</w:t>
      </w:r>
      <w:r>
        <w:rPr>
          <w:lang w:val="fr-FR"/>
        </w:rPr>
        <w:t>expert de la Belgique</w:t>
      </w:r>
      <w:r w:rsidRPr="008C3469">
        <w:rPr>
          <w:rStyle w:val="FootnoteReference"/>
          <w:b w:val="0"/>
          <w:sz w:val="20"/>
          <w:vertAlign w:val="baseline"/>
        </w:rPr>
        <w:footnoteReference w:customMarkFollows="1" w:id="2"/>
        <w:t>*</w:t>
      </w:r>
    </w:p>
    <w:p w14:paraId="2BEF4D9D" w14:textId="77777777" w:rsidR="00347941" w:rsidRPr="00F82A63" w:rsidRDefault="00347941" w:rsidP="00347941">
      <w:pPr>
        <w:pStyle w:val="HChG"/>
      </w:pPr>
      <w:r>
        <w:rPr>
          <w:lang w:val="fr-FR"/>
        </w:rPr>
        <w:tab/>
      </w:r>
      <w:r>
        <w:rPr>
          <w:lang w:val="fr-FR"/>
        </w:rPr>
        <w:tab/>
        <w:t>Introduction</w:t>
      </w:r>
    </w:p>
    <w:p w14:paraId="16813ADB" w14:textId="77777777" w:rsidR="00347941" w:rsidRPr="00762A8D" w:rsidRDefault="00347941" w:rsidP="00347941">
      <w:pPr>
        <w:pStyle w:val="SingleTxtG"/>
        <w:rPr>
          <w:bCs/>
          <w:iCs/>
        </w:rPr>
      </w:pPr>
      <w:r>
        <w:rPr>
          <w:lang w:val="fr-FR"/>
        </w:rPr>
        <w:t>1.</w:t>
      </w:r>
      <w:r>
        <w:rPr>
          <w:lang w:val="fr-FR"/>
        </w:rPr>
        <w:tab/>
        <w:t>Le paragraphe</w:t>
      </w:r>
      <w:r w:rsidR="00640DCD">
        <w:rPr>
          <w:lang w:val="fr-FR"/>
        </w:rPr>
        <w:t> </w:t>
      </w:r>
      <w:r>
        <w:rPr>
          <w:lang w:val="fr-FR"/>
        </w:rPr>
        <w:t>4.1.1.15 du Règlement type précise la durée d</w:t>
      </w:r>
      <w:r w:rsidR="000F097D">
        <w:rPr>
          <w:lang w:val="fr-FR"/>
        </w:rPr>
        <w:t>’</w:t>
      </w:r>
      <w:r>
        <w:rPr>
          <w:lang w:val="fr-FR"/>
        </w:rPr>
        <w:t xml:space="preserve">utilisation admise pour le transport de marchandises dangereuses pour les fûts en plastique, les bidons en plastique et les GRV en plastique rigide et GRV composites avec récipient intérieur en plastique. Cette durée est de </w:t>
      </w:r>
      <w:r w:rsidR="00640DCD">
        <w:rPr>
          <w:lang w:val="fr-FR"/>
        </w:rPr>
        <w:t>cinq</w:t>
      </w:r>
      <w:r>
        <w:rPr>
          <w:lang w:val="fr-FR"/>
        </w:rPr>
        <w:t xml:space="preserve"> ans à compter de la date de fabrication du récipient, à moins qu</w:t>
      </w:r>
      <w:r w:rsidR="000F097D">
        <w:rPr>
          <w:lang w:val="fr-FR"/>
        </w:rPr>
        <w:t>’</w:t>
      </w:r>
      <w:r>
        <w:rPr>
          <w:lang w:val="fr-FR"/>
        </w:rPr>
        <w:t>une durée d</w:t>
      </w:r>
      <w:r w:rsidR="000F097D">
        <w:rPr>
          <w:lang w:val="fr-FR"/>
        </w:rPr>
        <w:t>’</w:t>
      </w:r>
      <w:r>
        <w:rPr>
          <w:lang w:val="fr-FR"/>
        </w:rPr>
        <w:t xml:space="preserve">utilisation plus courte ne soit prescrite compte tenu de la matière à transporter. </w:t>
      </w:r>
    </w:p>
    <w:p w14:paraId="76BBAD96" w14:textId="77777777" w:rsidR="00347941" w:rsidRPr="00762A8D" w:rsidRDefault="00347941" w:rsidP="00347941">
      <w:pPr>
        <w:pStyle w:val="SingleTxtG"/>
        <w:rPr>
          <w:bCs/>
          <w:iCs/>
        </w:rPr>
      </w:pPr>
      <w:r>
        <w:rPr>
          <w:lang w:val="fr-FR"/>
        </w:rPr>
        <w:t>2.</w:t>
      </w:r>
      <w:r>
        <w:rPr>
          <w:lang w:val="fr-FR"/>
        </w:rPr>
        <w:tab/>
        <w:t>Cette disposition a été traduite de manière incohérente dans plusieurs règlements de transport modaux nationaux et internationaux, ce qui a donné lieu à deux interprétations différentes concernant la durée d</w:t>
      </w:r>
      <w:r w:rsidR="000F097D">
        <w:rPr>
          <w:lang w:val="fr-FR"/>
        </w:rPr>
        <w:t>’</w:t>
      </w:r>
      <w:r>
        <w:rPr>
          <w:lang w:val="fr-FR"/>
        </w:rPr>
        <w:t>utilisation des GRV composites avec récipient intérieur en plastique rigide</w:t>
      </w:r>
      <w:r w:rsidR="000F097D">
        <w:rPr>
          <w:lang w:val="fr-FR"/>
        </w:rPr>
        <w:t> </w:t>
      </w:r>
      <w:r>
        <w:rPr>
          <w:lang w:val="fr-FR"/>
        </w:rPr>
        <w:t>:</w:t>
      </w:r>
    </w:p>
    <w:p w14:paraId="18FF3F04" w14:textId="77777777" w:rsidR="00347941" w:rsidRPr="00762A8D" w:rsidRDefault="00347941" w:rsidP="00347941">
      <w:pPr>
        <w:pStyle w:val="SingleTxtG"/>
        <w:ind w:firstLine="567"/>
      </w:pPr>
      <w:r>
        <w:rPr>
          <w:lang w:val="fr-FR"/>
        </w:rPr>
        <w:t>a)</w:t>
      </w:r>
      <w:r>
        <w:rPr>
          <w:lang w:val="fr-FR"/>
        </w:rPr>
        <w:tab/>
        <w:t>La limite de cinq ans s</w:t>
      </w:r>
      <w:r w:rsidR="000F097D">
        <w:rPr>
          <w:lang w:val="fr-FR"/>
        </w:rPr>
        <w:t>’</w:t>
      </w:r>
      <w:r>
        <w:rPr>
          <w:lang w:val="fr-FR"/>
        </w:rPr>
        <w:t>applique à l</w:t>
      </w:r>
      <w:r w:rsidR="000F097D">
        <w:rPr>
          <w:lang w:val="fr-FR"/>
        </w:rPr>
        <w:t>’</w:t>
      </w:r>
      <w:r>
        <w:rPr>
          <w:lang w:val="fr-FR"/>
        </w:rPr>
        <w:t>ensemble du GRV composite assemblé, c</w:t>
      </w:r>
      <w:r w:rsidR="000F097D">
        <w:rPr>
          <w:lang w:val="fr-FR"/>
        </w:rPr>
        <w:t>’</w:t>
      </w:r>
      <w:r>
        <w:rPr>
          <w:lang w:val="fr-FR"/>
        </w:rPr>
        <w:t>est-à-dire à l</w:t>
      </w:r>
      <w:r w:rsidR="000F097D">
        <w:rPr>
          <w:lang w:val="fr-FR"/>
        </w:rPr>
        <w:t>’</w:t>
      </w:r>
      <w:r>
        <w:rPr>
          <w:lang w:val="fr-FR"/>
        </w:rPr>
        <w:t>enveloppe extérieure et au récipient intérieur en plastique ;</w:t>
      </w:r>
    </w:p>
    <w:p w14:paraId="1321491C" w14:textId="77777777" w:rsidR="00347941" w:rsidRPr="00762A8D" w:rsidRDefault="00347941" w:rsidP="00347941">
      <w:pPr>
        <w:pStyle w:val="SingleTxtG"/>
        <w:ind w:firstLine="567"/>
      </w:pPr>
      <w:r>
        <w:rPr>
          <w:lang w:val="fr-FR"/>
        </w:rPr>
        <w:t>b)</w:t>
      </w:r>
      <w:r>
        <w:rPr>
          <w:lang w:val="fr-FR"/>
        </w:rPr>
        <w:tab/>
        <w:t>La limite de cinq ans ne s</w:t>
      </w:r>
      <w:r w:rsidR="000F097D">
        <w:rPr>
          <w:lang w:val="fr-FR"/>
        </w:rPr>
        <w:t>’</w:t>
      </w:r>
      <w:r>
        <w:rPr>
          <w:lang w:val="fr-FR"/>
        </w:rPr>
        <w:t>applique qu</w:t>
      </w:r>
      <w:r w:rsidR="000F097D">
        <w:rPr>
          <w:lang w:val="fr-FR"/>
        </w:rPr>
        <w:t>’</w:t>
      </w:r>
      <w:r>
        <w:rPr>
          <w:lang w:val="fr-FR"/>
        </w:rPr>
        <w:t xml:space="preserve">au récipient intérieur en plastique rigide du GRV composite. </w:t>
      </w:r>
    </w:p>
    <w:p w14:paraId="7EFE63AD" w14:textId="77777777" w:rsidR="00347941" w:rsidRPr="000F097D" w:rsidRDefault="00640DCD" w:rsidP="00640DCD">
      <w:pPr>
        <w:pStyle w:val="SingleTxtG"/>
        <w:rPr>
          <w:bCs/>
          <w:iCs/>
          <w:spacing w:val="-3"/>
        </w:rPr>
      </w:pPr>
      <w:r w:rsidRPr="000F097D">
        <w:rPr>
          <w:spacing w:val="-3"/>
          <w:lang w:val="fr-FR"/>
        </w:rPr>
        <w:t>3.</w:t>
      </w:r>
      <w:r w:rsidRPr="000F097D">
        <w:rPr>
          <w:spacing w:val="-3"/>
          <w:lang w:val="fr-FR"/>
        </w:rPr>
        <w:tab/>
      </w:r>
      <w:r w:rsidR="00347941" w:rsidRPr="000F097D">
        <w:rPr>
          <w:spacing w:val="-3"/>
          <w:lang w:val="fr-FR"/>
        </w:rPr>
        <w:t>Comme cela est expliqué plus bas, les différentes interprétations peuvent conduire à une durée d</w:t>
      </w:r>
      <w:r w:rsidR="000F097D">
        <w:rPr>
          <w:spacing w:val="-3"/>
          <w:lang w:val="fr-FR"/>
        </w:rPr>
        <w:t>’</w:t>
      </w:r>
      <w:r w:rsidR="00347941" w:rsidRPr="000F097D">
        <w:rPr>
          <w:spacing w:val="-3"/>
          <w:lang w:val="fr-FR"/>
        </w:rPr>
        <w:t>utilisation admise différente, selon que le GRV composite est reconstruit ou réparé.</w:t>
      </w:r>
    </w:p>
    <w:p w14:paraId="0042E002" w14:textId="77777777" w:rsidR="00347941" w:rsidRPr="00762A8D" w:rsidRDefault="00640DCD" w:rsidP="000F097D">
      <w:pPr>
        <w:pStyle w:val="SingleTxtG"/>
        <w:rPr>
          <w:bCs/>
          <w:iCs/>
        </w:rPr>
      </w:pPr>
      <w:r>
        <w:rPr>
          <w:lang w:val="fr-FR"/>
        </w:rPr>
        <w:t>4.</w:t>
      </w:r>
      <w:r>
        <w:rPr>
          <w:lang w:val="fr-FR"/>
        </w:rPr>
        <w:tab/>
      </w:r>
      <w:r w:rsidR="00347941">
        <w:rPr>
          <w:lang w:val="fr-FR"/>
        </w:rPr>
        <w:t>La définition d</w:t>
      </w:r>
      <w:r w:rsidR="000F097D">
        <w:rPr>
          <w:lang w:val="fr-FR"/>
        </w:rPr>
        <w:t>’</w:t>
      </w:r>
      <w:r w:rsidR="00347941">
        <w:rPr>
          <w:lang w:val="fr-FR"/>
        </w:rPr>
        <w:t>un GRV reconstruit indique que sont autorisées</w:t>
      </w:r>
      <w:r w:rsidR="000F097D">
        <w:rPr>
          <w:lang w:val="fr-FR"/>
        </w:rPr>
        <w:t> </w:t>
      </w:r>
      <w:r w:rsidR="00347941">
        <w:rPr>
          <w:lang w:val="fr-FR"/>
        </w:rPr>
        <w:t xml:space="preserve">: </w:t>
      </w:r>
    </w:p>
    <w:p w14:paraId="20985F75" w14:textId="77777777" w:rsidR="00347941" w:rsidRPr="00762A8D" w:rsidRDefault="00347941" w:rsidP="000F097D">
      <w:pPr>
        <w:pStyle w:val="SingleTxtG"/>
        <w:ind w:firstLine="567"/>
      </w:pPr>
      <w:r>
        <w:rPr>
          <w:lang w:val="fr-FR"/>
        </w:rPr>
        <w:t>a)</w:t>
      </w:r>
      <w:r>
        <w:rPr>
          <w:lang w:val="fr-FR"/>
        </w:rPr>
        <w:tab/>
      </w:r>
      <w:r w:rsidR="00363613">
        <w:rPr>
          <w:lang w:val="fr-FR"/>
        </w:rPr>
        <w:t>L</w:t>
      </w:r>
      <w:r>
        <w:rPr>
          <w:lang w:val="fr-FR"/>
        </w:rPr>
        <w:t>a production d</w:t>
      </w:r>
      <w:r w:rsidR="000F097D">
        <w:rPr>
          <w:lang w:val="fr-FR"/>
        </w:rPr>
        <w:t>’</w:t>
      </w:r>
      <w:r>
        <w:rPr>
          <w:lang w:val="fr-FR"/>
        </w:rPr>
        <w:t>un type ONU conforme à partir d</w:t>
      </w:r>
      <w:r w:rsidR="000F097D">
        <w:rPr>
          <w:lang w:val="fr-FR"/>
        </w:rPr>
        <w:t>’</w:t>
      </w:r>
      <w:r>
        <w:rPr>
          <w:lang w:val="fr-FR"/>
        </w:rPr>
        <w:t>un type non conforme</w:t>
      </w:r>
      <w:r w:rsidR="000F097D">
        <w:rPr>
          <w:lang w:val="fr-FR"/>
        </w:rPr>
        <w:t> </w:t>
      </w:r>
      <w:r>
        <w:rPr>
          <w:lang w:val="fr-FR"/>
        </w:rPr>
        <w:t>; ou</w:t>
      </w:r>
    </w:p>
    <w:p w14:paraId="1092BDDC" w14:textId="77777777" w:rsidR="00347941" w:rsidRPr="00762A8D" w:rsidRDefault="00347941" w:rsidP="00347941">
      <w:pPr>
        <w:pStyle w:val="SingleTxtG"/>
        <w:ind w:firstLine="567"/>
      </w:pPr>
      <w:r>
        <w:rPr>
          <w:lang w:val="fr-FR"/>
        </w:rPr>
        <w:lastRenderedPageBreak/>
        <w:t>b)</w:t>
      </w:r>
      <w:r>
        <w:rPr>
          <w:lang w:val="fr-FR"/>
        </w:rPr>
        <w:tab/>
      </w:r>
      <w:r w:rsidR="00363613">
        <w:rPr>
          <w:lang w:val="fr-FR"/>
        </w:rPr>
        <w:t>L</w:t>
      </w:r>
      <w:r>
        <w:rPr>
          <w:lang w:val="fr-FR"/>
        </w:rPr>
        <w:t>a transformation d</w:t>
      </w:r>
      <w:r w:rsidR="000F097D">
        <w:rPr>
          <w:lang w:val="fr-FR"/>
        </w:rPr>
        <w:t>’</w:t>
      </w:r>
      <w:r>
        <w:rPr>
          <w:lang w:val="fr-FR"/>
        </w:rPr>
        <w:t>un type ONU conforme en un autre type conforme.</w:t>
      </w:r>
    </w:p>
    <w:p w14:paraId="688A652E" w14:textId="77777777" w:rsidR="00347941" w:rsidRPr="000F097D" w:rsidRDefault="00347941" w:rsidP="00363613">
      <w:pPr>
        <w:pStyle w:val="SingleTxtG"/>
        <w:ind w:firstLine="567"/>
        <w:rPr>
          <w:bCs/>
          <w:iCs/>
          <w:spacing w:val="-2"/>
        </w:rPr>
      </w:pPr>
      <w:r w:rsidRPr="000F097D">
        <w:rPr>
          <w:spacing w:val="-2"/>
          <w:lang w:val="fr-FR"/>
        </w:rPr>
        <w:t>Dans le cas des GRV composites, cela comprend le remplacement du récipient intérieur en plastique rigide par un autre récipient, avec conservation de l</w:t>
      </w:r>
      <w:r w:rsidR="000F097D">
        <w:rPr>
          <w:spacing w:val="-2"/>
          <w:lang w:val="fr-FR"/>
        </w:rPr>
        <w:t>’</w:t>
      </w:r>
      <w:r w:rsidRPr="000F097D">
        <w:rPr>
          <w:spacing w:val="-2"/>
          <w:lang w:val="fr-FR"/>
        </w:rPr>
        <w:t>enveloppe extérieure du GRV. Le GRV composite assemblé est alors considéré comme un nouveau modèle type. Cela signifie que l</w:t>
      </w:r>
      <w:r w:rsidR="000F097D">
        <w:rPr>
          <w:spacing w:val="-2"/>
          <w:lang w:val="fr-FR"/>
        </w:rPr>
        <w:t>’</w:t>
      </w:r>
      <w:r w:rsidRPr="000F097D">
        <w:rPr>
          <w:spacing w:val="-2"/>
          <w:lang w:val="fr-FR"/>
        </w:rPr>
        <w:t>ancienne marque est enlevée conformément au 6.5.2.4 du Règlement type, qu</w:t>
      </w:r>
      <w:r w:rsidR="000F097D">
        <w:rPr>
          <w:spacing w:val="-2"/>
          <w:lang w:val="fr-FR"/>
        </w:rPr>
        <w:t>’</w:t>
      </w:r>
      <w:r w:rsidRPr="000F097D">
        <w:rPr>
          <w:spacing w:val="-2"/>
          <w:lang w:val="fr-FR"/>
        </w:rPr>
        <w:t>une nouvelle marque est apposée conformément à la section</w:t>
      </w:r>
      <w:r w:rsidR="000F097D">
        <w:rPr>
          <w:spacing w:val="-2"/>
          <w:lang w:val="fr-FR"/>
        </w:rPr>
        <w:t> </w:t>
      </w:r>
      <w:r w:rsidRPr="000F097D">
        <w:rPr>
          <w:spacing w:val="-2"/>
          <w:lang w:val="fr-FR"/>
        </w:rPr>
        <w:t>6.5.2 de ce même Règlement et que le GRV a une durée d</w:t>
      </w:r>
      <w:r w:rsidR="000F097D">
        <w:rPr>
          <w:spacing w:val="-2"/>
          <w:lang w:val="fr-FR"/>
        </w:rPr>
        <w:t>’</w:t>
      </w:r>
      <w:r w:rsidRPr="000F097D">
        <w:rPr>
          <w:spacing w:val="-2"/>
          <w:lang w:val="fr-FR"/>
        </w:rPr>
        <w:t xml:space="preserve">utilisation admise de </w:t>
      </w:r>
      <w:r w:rsidR="000F097D">
        <w:rPr>
          <w:spacing w:val="-2"/>
          <w:lang w:val="fr-FR"/>
        </w:rPr>
        <w:t>cinq</w:t>
      </w:r>
      <w:r w:rsidRPr="000F097D">
        <w:rPr>
          <w:spacing w:val="-2"/>
          <w:lang w:val="fr-FR"/>
        </w:rPr>
        <w:t xml:space="preserve"> ans. L</w:t>
      </w:r>
      <w:r w:rsidR="000F097D">
        <w:rPr>
          <w:spacing w:val="-2"/>
          <w:lang w:val="fr-FR"/>
        </w:rPr>
        <w:t>’</w:t>
      </w:r>
      <w:r w:rsidRPr="000F097D">
        <w:rPr>
          <w:spacing w:val="-2"/>
          <w:lang w:val="fr-FR"/>
        </w:rPr>
        <w:t>interprétation du paragraphe</w:t>
      </w:r>
      <w:r w:rsidR="000F097D">
        <w:rPr>
          <w:spacing w:val="-2"/>
          <w:lang w:val="fr-FR"/>
        </w:rPr>
        <w:t> </w:t>
      </w:r>
      <w:r w:rsidRPr="000F097D">
        <w:rPr>
          <w:spacing w:val="-2"/>
          <w:lang w:val="fr-FR"/>
        </w:rPr>
        <w:t>4.1.1.15 actuel du Règlement type en ce qui concerne les GRV composites n</w:t>
      </w:r>
      <w:r w:rsidR="000F097D">
        <w:rPr>
          <w:spacing w:val="-2"/>
          <w:lang w:val="fr-FR"/>
        </w:rPr>
        <w:t>’</w:t>
      </w:r>
      <w:r w:rsidRPr="000F097D">
        <w:rPr>
          <w:spacing w:val="-2"/>
          <w:lang w:val="fr-FR"/>
        </w:rPr>
        <w:t>a aucune incidence sur la durée d</w:t>
      </w:r>
      <w:r w:rsidR="000F097D">
        <w:rPr>
          <w:spacing w:val="-2"/>
          <w:lang w:val="fr-FR"/>
        </w:rPr>
        <w:t>’</w:t>
      </w:r>
      <w:r w:rsidRPr="000F097D">
        <w:rPr>
          <w:spacing w:val="-2"/>
          <w:lang w:val="fr-FR"/>
        </w:rPr>
        <w:t>utilisation. Ainsi, l</w:t>
      </w:r>
      <w:r w:rsidR="000F097D">
        <w:rPr>
          <w:spacing w:val="-2"/>
          <w:lang w:val="fr-FR"/>
        </w:rPr>
        <w:t>’</w:t>
      </w:r>
      <w:r w:rsidRPr="000F097D">
        <w:rPr>
          <w:spacing w:val="-2"/>
          <w:lang w:val="fr-FR"/>
        </w:rPr>
        <w:t>enveloppe extérieure d</w:t>
      </w:r>
      <w:r w:rsidR="000F097D">
        <w:rPr>
          <w:spacing w:val="-2"/>
          <w:lang w:val="fr-FR"/>
        </w:rPr>
        <w:t>’</w:t>
      </w:r>
      <w:r w:rsidRPr="000F097D">
        <w:rPr>
          <w:spacing w:val="-2"/>
          <w:lang w:val="fr-FR"/>
        </w:rPr>
        <w:t>un GRV composite reconstruit peut être utilisée pour une durée de plus de cinq ans.</w:t>
      </w:r>
    </w:p>
    <w:p w14:paraId="205881C3" w14:textId="77777777" w:rsidR="00347941" w:rsidRPr="00762A8D" w:rsidRDefault="000F097D" w:rsidP="000F097D">
      <w:pPr>
        <w:pStyle w:val="SingleTxtG"/>
        <w:rPr>
          <w:bCs/>
          <w:iCs/>
        </w:rPr>
      </w:pPr>
      <w:r>
        <w:rPr>
          <w:lang w:val="fr-FR"/>
        </w:rPr>
        <w:t>5.</w:t>
      </w:r>
      <w:r>
        <w:rPr>
          <w:lang w:val="fr-FR"/>
        </w:rPr>
        <w:tab/>
      </w:r>
      <w:r w:rsidR="00347941">
        <w:rPr>
          <w:lang w:val="fr-FR"/>
        </w:rPr>
        <w:t>La définition d</w:t>
      </w:r>
      <w:r>
        <w:rPr>
          <w:lang w:val="fr-FR"/>
        </w:rPr>
        <w:t>’</w:t>
      </w:r>
      <w:r w:rsidR="00347941">
        <w:rPr>
          <w:lang w:val="fr-FR"/>
        </w:rPr>
        <w:t>un GRV réparé est différente. Le remplacement du récipient intérieur rigide d</w:t>
      </w:r>
      <w:r>
        <w:rPr>
          <w:lang w:val="fr-FR"/>
        </w:rPr>
        <w:t>’</w:t>
      </w:r>
      <w:r w:rsidR="00347941">
        <w:rPr>
          <w:lang w:val="fr-FR"/>
        </w:rPr>
        <w:t>un GRV composite par un récipient conforme au modèle type d</w:t>
      </w:r>
      <w:r>
        <w:rPr>
          <w:lang w:val="fr-FR"/>
        </w:rPr>
        <w:t>’</w:t>
      </w:r>
      <w:r w:rsidR="00347941">
        <w:rPr>
          <w:lang w:val="fr-FR"/>
        </w:rPr>
        <w:t>origine du même fabricant est considéré comme une réparation. Dans ce cas, l</w:t>
      </w:r>
      <w:r>
        <w:rPr>
          <w:lang w:val="fr-FR"/>
        </w:rPr>
        <w:t>’</w:t>
      </w:r>
      <w:r w:rsidR="00347941">
        <w:rPr>
          <w:lang w:val="fr-FR"/>
        </w:rPr>
        <w:t>enveloppe extérieure d</w:t>
      </w:r>
      <w:r>
        <w:rPr>
          <w:lang w:val="fr-FR"/>
        </w:rPr>
        <w:t>’</w:t>
      </w:r>
      <w:r w:rsidR="00347941">
        <w:rPr>
          <w:lang w:val="fr-FR"/>
        </w:rPr>
        <w:t>origine est conservée. En cas de réparation, conformément au paragraphe</w:t>
      </w:r>
      <w:r>
        <w:rPr>
          <w:lang w:val="fr-FR"/>
        </w:rPr>
        <w:t> </w:t>
      </w:r>
      <w:r w:rsidR="00347941">
        <w:rPr>
          <w:lang w:val="fr-FR"/>
        </w:rPr>
        <w:t xml:space="preserve">6.5.4.5.3 du Règlement type, la marque </w:t>
      </w:r>
      <w:r>
        <w:rPr>
          <w:lang w:val="fr-FR"/>
        </w:rPr>
        <w:t>« </w:t>
      </w:r>
      <w:r w:rsidR="00347941">
        <w:rPr>
          <w:lang w:val="fr-FR"/>
        </w:rPr>
        <w:t>UN</w:t>
      </w:r>
      <w:r>
        <w:rPr>
          <w:lang w:val="fr-FR"/>
        </w:rPr>
        <w:t> »</w:t>
      </w:r>
      <w:r w:rsidR="00347941">
        <w:rPr>
          <w:lang w:val="fr-FR"/>
        </w:rPr>
        <w:t xml:space="preserve"> du modèle type originale, y compris la date de fabrication, n</w:t>
      </w:r>
      <w:r>
        <w:rPr>
          <w:lang w:val="fr-FR"/>
        </w:rPr>
        <w:t>’</w:t>
      </w:r>
      <w:r w:rsidR="00347941">
        <w:rPr>
          <w:lang w:val="fr-FR"/>
        </w:rPr>
        <w:t>est pas modifiée. Conformément à ce même paragraphe, la Partie qui effectue les épreuves et les inspections à l</w:t>
      </w:r>
      <w:r>
        <w:rPr>
          <w:lang w:val="fr-FR"/>
        </w:rPr>
        <w:t>’</w:t>
      </w:r>
      <w:r w:rsidR="00347941">
        <w:rPr>
          <w:lang w:val="fr-FR"/>
        </w:rPr>
        <w:t xml:space="preserve">issue de la réparation peut seulement ajouter des marques durables supplémentaires sur le GRV, à proximité des marques </w:t>
      </w:r>
      <w:r>
        <w:rPr>
          <w:lang w:val="fr-FR"/>
        </w:rPr>
        <w:t>« </w:t>
      </w:r>
      <w:r w:rsidR="00347941">
        <w:rPr>
          <w:lang w:val="fr-FR"/>
        </w:rPr>
        <w:t>UN</w:t>
      </w:r>
      <w:r>
        <w:rPr>
          <w:lang w:val="fr-FR"/>
        </w:rPr>
        <w:t> »</w:t>
      </w:r>
      <w:r w:rsidR="00347941">
        <w:rPr>
          <w:lang w:val="fr-FR"/>
        </w:rPr>
        <w:t xml:space="preserve"> du modèle type du fabricant, pour indiquer ce qui suit</w:t>
      </w:r>
      <w:r>
        <w:rPr>
          <w:lang w:val="fr-FR"/>
        </w:rPr>
        <w:t> </w:t>
      </w:r>
      <w:r w:rsidR="00347941">
        <w:rPr>
          <w:lang w:val="fr-FR"/>
        </w:rPr>
        <w:t>:</w:t>
      </w:r>
    </w:p>
    <w:p w14:paraId="7E76C677" w14:textId="77777777" w:rsidR="00347941" w:rsidRPr="00762A8D" w:rsidRDefault="00347941" w:rsidP="00363613">
      <w:pPr>
        <w:pStyle w:val="SingleTxtG"/>
        <w:ind w:firstLine="567"/>
      </w:pPr>
      <w:r>
        <w:rPr>
          <w:lang w:val="fr-FR"/>
        </w:rPr>
        <w:t>a)</w:t>
      </w:r>
      <w:r>
        <w:rPr>
          <w:lang w:val="fr-FR"/>
        </w:rPr>
        <w:tab/>
        <w:t>Le pays dans lequel les épreuves et les inspections ont été effectuées</w:t>
      </w:r>
      <w:r w:rsidR="00363613">
        <w:rPr>
          <w:lang w:val="fr-FR"/>
        </w:rPr>
        <w:t> ;</w:t>
      </w:r>
    </w:p>
    <w:p w14:paraId="2DA8BF03" w14:textId="77777777" w:rsidR="00347941" w:rsidRPr="00762A8D" w:rsidRDefault="00347941" w:rsidP="00363613">
      <w:pPr>
        <w:pStyle w:val="SingleTxtG"/>
        <w:ind w:firstLine="567"/>
      </w:pPr>
      <w:r>
        <w:rPr>
          <w:lang w:val="fr-FR"/>
        </w:rPr>
        <w:t>b)</w:t>
      </w:r>
      <w:r>
        <w:rPr>
          <w:lang w:val="fr-FR"/>
        </w:rPr>
        <w:tab/>
        <w:t>Le nom ou le symbole officiel de la Partie qui a effectué les épreuves et les inspections</w:t>
      </w:r>
      <w:r w:rsidR="00363613">
        <w:rPr>
          <w:lang w:val="fr-FR"/>
        </w:rPr>
        <w:t> ;</w:t>
      </w:r>
      <w:r>
        <w:rPr>
          <w:lang w:val="fr-FR"/>
        </w:rPr>
        <w:t xml:space="preserve"> et</w:t>
      </w:r>
    </w:p>
    <w:p w14:paraId="3DB4B2A0" w14:textId="77777777" w:rsidR="00347941" w:rsidRPr="00762A8D" w:rsidRDefault="00347941" w:rsidP="00363613">
      <w:pPr>
        <w:pStyle w:val="SingleTxtG"/>
        <w:ind w:firstLine="567"/>
      </w:pPr>
      <w:r>
        <w:rPr>
          <w:lang w:val="fr-FR"/>
        </w:rPr>
        <w:t>c)</w:t>
      </w:r>
      <w:r>
        <w:rPr>
          <w:lang w:val="fr-FR"/>
        </w:rPr>
        <w:tab/>
        <w:t>La date (mois, année) des épreuves et des inspections.</w:t>
      </w:r>
    </w:p>
    <w:p w14:paraId="58358A7A" w14:textId="77777777" w:rsidR="00347941" w:rsidRPr="00762A8D" w:rsidRDefault="00347941" w:rsidP="00363613">
      <w:pPr>
        <w:pStyle w:val="SingleTxtG"/>
      </w:pPr>
      <w:r>
        <w:rPr>
          <w:lang w:val="fr-FR"/>
        </w:rPr>
        <w:t>6.</w:t>
      </w:r>
      <w:r>
        <w:rPr>
          <w:lang w:val="fr-FR"/>
        </w:rPr>
        <w:tab/>
        <w:t>Compte tenu du processus de réparation et de l</w:t>
      </w:r>
      <w:r w:rsidR="000F097D">
        <w:rPr>
          <w:lang w:val="fr-FR"/>
        </w:rPr>
        <w:t>’</w:t>
      </w:r>
      <w:r>
        <w:rPr>
          <w:lang w:val="fr-FR"/>
        </w:rPr>
        <w:t>interprétation décrite au paragraphe</w:t>
      </w:r>
      <w:r w:rsidR="000F097D">
        <w:rPr>
          <w:lang w:val="fr-FR"/>
        </w:rPr>
        <w:t> </w:t>
      </w:r>
      <w:r>
        <w:rPr>
          <w:lang w:val="fr-FR"/>
        </w:rPr>
        <w:t>2 du présent document selon laquelle la limite de cinq ans s</w:t>
      </w:r>
      <w:r w:rsidR="000F097D">
        <w:rPr>
          <w:lang w:val="fr-FR"/>
        </w:rPr>
        <w:t>’</w:t>
      </w:r>
      <w:r>
        <w:rPr>
          <w:lang w:val="fr-FR"/>
        </w:rPr>
        <w:t>applique à l</w:t>
      </w:r>
      <w:r w:rsidR="000F097D">
        <w:rPr>
          <w:lang w:val="fr-FR"/>
        </w:rPr>
        <w:t>’</w:t>
      </w:r>
      <w:r>
        <w:rPr>
          <w:lang w:val="fr-FR"/>
        </w:rPr>
        <w:t>ensemble du GRV, un GRV composite réparé équipé d</w:t>
      </w:r>
      <w:r w:rsidR="000F097D">
        <w:rPr>
          <w:lang w:val="fr-FR"/>
        </w:rPr>
        <w:t>’</w:t>
      </w:r>
      <w:r>
        <w:rPr>
          <w:lang w:val="fr-FR"/>
        </w:rPr>
        <w:t>un nouveau récipient intérieur rigide d</w:t>
      </w:r>
      <w:r w:rsidR="000F097D">
        <w:rPr>
          <w:lang w:val="fr-FR"/>
        </w:rPr>
        <w:t>’</w:t>
      </w:r>
      <w:r>
        <w:rPr>
          <w:lang w:val="fr-FR"/>
        </w:rPr>
        <w:t>origine peut uniquement être utilisé pendant une durée égale à cinq ans de laquelle on déduit la durée déjà écoulée. L</w:t>
      </w:r>
      <w:r w:rsidR="000F097D">
        <w:rPr>
          <w:lang w:val="fr-FR"/>
        </w:rPr>
        <w:t>’</w:t>
      </w:r>
      <w:r>
        <w:rPr>
          <w:lang w:val="fr-FR"/>
        </w:rPr>
        <w:t>enveloppe extérieure n</w:t>
      </w:r>
      <w:r w:rsidR="000F097D">
        <w:rPr>
          <w:lang w:val="fr-FR"/>
        </w:rPr>
        <w:t>’</w:t>
      </w:r>
      <w:r>
        <w:rPr>
          <w:lang w:val="fr-FR"/>
        </w:rPr>
        <w:t xml:space="preserve">est pas non plus utilisée pendant une durée supérieure à </w:t>
      </w:r>
      <w:r w:rsidR="000F097D">
        <w:rPr>
          <w:lang w:val="fr-FR"/>
        </w:rPr>
        <w:t>cinq</w:t>
      </w:r>
      <w:r>
        <w:rPr>
          <w:lang w:val="fr-FR"/>
        </w:rPr>
        <w:t xml:space="preserve"> ans.</w:t>
      </w:r>
    </w:p>
    <w:p w14:paraId="190E48CF" w14:textId="77777777" w:rsidR="00347941" w:rsidRPr="000F097D" w:rsidRDefault="00347941" w:rsidP="00363613">
      <w:pPr>
        <w:pStyle w:val="SingleTxtG"/>
        <w:rPr>
          <w:spacing w:val="-2"/>
        </w:rPr>
      </w:pPr>
      <w:r w:rsidRPr="000F097D">
        <w:rPr>
          <w:spacing w:val="-2"/>
          <w:lang w:val="fr-FR"/>
        </w:rPr>
        <w:t>7.</w:t>
      </w:r>
      <w:r w:rsidRPr="000F097D">
        <w:rPr>
          <w:spacing w:val="-2"/>
          <w:lang w:val="fr-FR"/>
        </w:rPr>
        <w:tab/>
        <w:t>Cela peut donner lieu à des incohérences et à des illogismes concernant les GRV réparés et les GRV reconstruits sachant que la même enveloppe extérieure peut avoir une durée d</w:t>
      </w:r>
      <w:r w:rsidR="000F097D">
        <w:rPr>
          <w:spacing w:val="-2"/>
          <w:lang w:val="fr-FR"/>
        </w:rPr>
        <w:t>’</w:t>
      </w:r>
      <w:r w:rsidRPr="000F097D">
        <w:rPr>
          <w:spacing w:val="-2"/>
          <w:lang w:val="fr-FR"/>
        </w:rPr>
        <w:t xml:space="preserve">utilisation différente selon les interprétations. En outre, tant les GRV composites reconstruits que les GRV composites réparés doivent être inspectés à des intervalles de </w:t>
      </w:r>
      <w:r w:rsidR="000F097D">
        <w:rPr>
          <w:spacing w:val="-2"/>
          <w:lang w:val="fr-FR"/>
        </w:rPr>
        <w:t>deux</w:t>
      </w:r>
      <w:r w:rsidRPr="000F097D">
        <w:rPr>
          <w:spacing w:val="-2"/>
          <w:lang w:val="fr-FR"/>
        </w:rPr>
        <w:t xml:space="preserve"> ans et demi pour ce qui est de l</w:t>
      </w:r>
      <w:r w:rsidR="000F097D">
        <w:rPr>
          <w:spacing w:val="-2"/>
          <w:lang w:val="fr-FR"/>
        </w:rPr>
        <w:t>’</w:t>
      </w:r>
      <w:r w:rsidRPr="000F097D">
        <w:rPr>
          <w:spacing w:val="-2"/>
          <w:lang w:val="fr-FR"/>
        </w:rPr>
        <w:t>état extérieur (y compris l</w:t>
      </w:r>
      <w:r w:rsidR="000F097D">
        <w:rPr>
          <w:spacing w:val="-2"/>
          <w:lang w:val="fr-FR"/>
        </w:rPr>
        <w:t>’</w:t>
      </w:r>
      <w:r w:rsidRPr="000F097D">
        <w:rPr>
          <w:spacing w:val="-2"/>
          <w:lang w:val="fr-FR"/>
        </w:rPr>
        <w:t>enveloppe extérieure) et du bon fonctionnement de l</w:t>
      </w:r>
      <w:r w:rsidR="000F097D">
        <w:rPr>
          <w:spacing w:val="-2"/>
          <w:lang w:val="fr-FR"/>
        </w:rPr>
        <w:t>’</w:t>
      </w:r>
      <w:r w:rsidRPr="000F097D">
        <w:rPr>
          <w:spacing w:val="-2"/>
          <w:lang w:val="fr-FR"/>
        </w:rPr>
        <w:t>équipement de service, comme spécifié au 6.5.4.4 du Règlement type.</w:t>
      </w:r>
    </w:p>
    <w:p w14:paraId="540BE28C" w14:textId="77777777" w:rsidR="00347941" w:rsidRPr="00762A8D" w:rsidRDefault="00347941" w:rsidP="00363613">
      <w:pPr>
        <w:pStyle w:val="SingleTxtG"/>
      </w:pPr>
      <w:r>
        <w:rPr>
          <w:lang w:val="fr-FR"/>
        </w:rPr>
        <w:t>8.</w:t>
      </w:r>
      <w:r>
        <w:rPr>
          <w:lang w:val="fr-FR"/>
        </w:rPr>
        <w:tab/>
        <w:t>Pour résoudre ce problème et éliminer les incohérences dues aux différentes interprétations et traductions, nous proposons d</w:t>
      </w:r>
      <w:r w:rsidR="000F097D">
        <w:rPr>
          <w:lang w:val="fr-FR"/>
        </w:rPr>
        <w:t>’</w:t>
      </w:r>
      <w:r>
        <w:rPr>
          <w:lang w:val="fr-FR"/>
        </w:rPr>
        <w:t>ajouter une note au 4.1.1.15 du Règlement type indiquant clairement que pour les GRV composites, la durée d</w:t>
      </w:r>
      <w:r w:rsidR="000F097D">
        <w:rPr>
          <w:lang w:val="fr-FR"/>
        </w:rPr>
        <w:t>’</w:t>
      </w:r>
      <w:r>
        <w:rPr>
          <w:lang w:val="fr-FR"/>
        </w:rPr>
        <w:t>utilisation admise fait référence à la date de fabrication du récipient intérieur.</w:t>
      </w:r>
    </w:p>
    <w:p w14:paraId="66FEFB49" w14:textId="77777777" w:rsidR="00347941" w:rsidRPr="00762A8D" w:rsidRDefault="00347941" w:rsidP="00363613">
      <w:pPr>
        <w:pStyle w:val="HChG"/>
      </w:pPr>
      <w:r>
        <w:rPr>
          <w:lang w:val="fr-FR"/>
        </w:rPr>
        <w:tab/>
      </w:r>
      <w:r>
        <w:rPr>
          <w:lang w:val="fr-FR"/>
        </w:rPr>
        <w:tab/>
        <w:t>Proposition</w:t>
      </w:r>
    </w:p>
    <w:p w14:paraId="5EFB04F9" w14:textId="77777777" w:rsidR="00347941" w:rsidRPr="00762A8D" w:rsidRDefault="00347941" w:rsidP="00363613">
      <w:pPr>
        <w:pStyle w:val="SingleTxtG"/>
      </w:pPr>
      <w:r>
        <w:rPr>
          <w:lang w:val="fr-FR"/>
        </w:rPr>
        <w:t>9.</w:t>
      </w:r>
      <w:r>
        <w:rPr>
          <w:lang w:val="fr-FR"/>
        </w:rPr>
        <w:tab/>
        <w:t>Ajouter une nouvelle note (soulignée) au paragraphe</w:t>
      </w:r>
      <w:r w:rsidR="000F097D">
        <w:rPr>
          <w:lang w:val="fr-FR"/>
        </w:rPr>
        <w:t> </w:t>
      </w:r>
      <w:r>
        <w:rPr>
          <w:lang w:val="fr-FR"/>
        </w:rPr>
        <w:t>4.1.1.15 du Règlement type</w:t>
      </w:r>
      <w:r w:rsidR="000F097D">
        <w:rPr>
          <w:lang w:val="fr-FR"/>
        </w:rPr>
        <w:t> </w:t>
      </w:r>
      <w:r>
        <w:rPr>
          <w:lang w:val="fr-FR"/>
        </w:rPr>
        <w:t>:</w:t>
      </w:r>
    </w:p>
    <w:p w14:paraId="5EFA9C0C" w14:textId="77777777" w:rsidR="00347941" w:rsidRPr="00762A8D" w:rsidRDefault="000F097D" w:rsidP="000F097D">
      <w:pPr>
        <w:pStyle w:val="SingleTxtG"/>
        <w:ind w:left="1701"/>
      </w:pPr>
      <w:r>
        <w:rPr>
          <w:lang w:val="fr-FR"/>
        </w:rPr>
        <w:t>« </w:t>
      </w:r>
      <w:r w:rsidR="00347941">
        <w:rPr>
          <w:lang w:val="fr-FR"/>
        </w:rPr>
        <w:t>Sauf dérogation accordée par l</w:t>
      </w:r>
      <w:r>
        <w:rPr>
          <w:lang w:val="fr-FR"/>
        </w:rPr>
        <w:t>’</w:t>
      </w:r>
      <w:r w:rsidR="00347941">
        <w:rPr>
          <w:lang w:val="fr-FR"/>
        </w:rPr>
        <w:t>autorité compétente, la durée d</w:t>
      </w:r>
      <w:r>
        <w:rPr>
          <w:lang w:val="fr-FR"/>
        </w:rPr>
        <w:t>’</w:t>
      </w:r>
      <w:r w:rsidR="00347941">
        <w:rPr>
          <w:lang w:val="fr-FR"/>
        </w:rPr>
        <w:t>utilisation admise pour le transport de marchandises dangereuses est de cinq ans à compter de la date de fabrication des récipients pour les fûts en plastique, les bidons en plastique et les GRV en plastique rigide et GRV composites avec récipient intérieur en plastique, à moins qu</w:t>
      </w:r>
      <w:r>
        <w:rPr>
          <w:lang w:val="fr-FR"/>
        </w:rPr>
        <w:t>’</w:t>
      </w:r>
      <w:r w:rsidR="00347941">
        <w:rPr>
          <w:lang w:val="fr-FR"/>
        </w:rPr>
        <w:t>une durée d</w:t>
      </w:r>
      <w:r>
        <w:rPr>
          <w:lang w:val="fr-FR"/>
        </w:rPr>
        <w:t>’</w:t>
      </w:r>
      <w:r w:rsidR="00347941">
        <w:rPr>
          <w:lang w:val="fr-FR"/>
        </w:rPr>
        <w:t>utilisation plus courte ne soit prescrite compte tenu de la matière à transporter.</w:t>
      </w:r>
    </w:p>
    <w:p w14:paraId="4F415F29" w14:textId="77777777" w:rsidR="00347941" w:rsidRDefault="00347941" w:rsidP="000F097D">
      <w:pPr>
        <w:pStyle w:val="SingleTxtG"/>
        <w:ind w:left="1701"/>
      </w:pPr>
      <w:r>
        <w:rPr>
          <w:i/>
          <w:iCs/>
          <w:u w:val="single"/>
          <w:lang w:val="fr-FR"/>
        </w:rPr>
        <w:t>Note</w:t>
      </w:r>
      <w:r w:rsidR="008C3469">
        <w:rPr>
          <w:i/>
          <w:iCs/>
          <w:u w:val="single"/>
          <w:lang w:val="fr-FR"/>
        </w:rPr>
        <w:t> </w:t>
      </w:r>
      <w:r>
        <w:rPr>
          <w:i/>
          <w:iCs/>
          <w:u w:val="single"/>
          <w:lang w:val="fr-FR"/>
        </w:rPr>
        <w:t xml:space="preserve">: </w:t>
      </w:r>
      <w:r w:rsidR="00AA12AB">
        <w:rPr>
          <w:i/>
          <w:iCs/>
          <w:u w:val="single"/>
          <w:lang w:val="fr-FR"/>
        </w:rPr>
        <w:t>P</w:t>
      </w:r>
      <w:r>
        <w:rPr>
          <w:i/>
          <w:iCs/>
          <w:u w:val="single"/>
          <w:lang w:val="fr-FR"/>
        </w:rPr>
        <w:t>our les GRV composites, cette durée d</w:t>
      </w:r>
      <w:r w:rsidR="000F097D">
        <w:rPr>
          <w:i/>
          <w:iCs/>
          <w:u w:val="single"/>
          <w:lang w:val="fr-FR"/>
        </w:rPr>
        <w:t>’</w:t>
      </w:r>
      <w:r>
        <w:rPr>
          <w:i/>
          <w:iCs/>
          <w:u w:val="single"/>
          <w:lang w:val="fr-FR"/>
        </w:rPr>
        <w:t>utilisation fait référence à la date de fabrication du récipient intérieur.</w:t>
      </w:r>
      <w:r w:rsidR="000F097D" w:rsidRPr="000F097D">
        <w:rPr>
          <w:iCs/>
          <w:lang w:val="fr-FR"/>
        </w:rPr>
        <w:t> »</w:t>
      </w:r>
      <w:r w:rsidRPr="000F097D">
        <w:rPr>
          <w:iCs/>
          <w:lang w:val="fr-FR"/>
        </w:rPr>
        <w:t>.</w:t>
      </w:r>
    </w:p>
    <w:p w14:paraId="19EC89D4" w14:textId="77777777" w:rsidR="00446FE5" w:rsidRPr="000F097D" w:rsidRDefault="000F097D" w:rsidP="000F097D">
      <w:pPr>
        <w:pStyle w:val="SingleTxtG"/>
        <w:spacing w:before="240" w:after="0"/>
        <w:jc w:val="center"/>
        <w:rPr>
          <w:u w:val="single"/>
        </w:rPr>
      </w:pPr>
      <w:r>
        <w:rPr>
          <w:u w:val="single"/>
        </w:rPr>
        <w:tab/>
      </w:r>
      <w:r>
        <w:rPr>
          <w:u w:val="single"/>
        </w:rPr>
        <w:tab/>
      </w:r>
      <w:r>
        <w:rPr>
          <w:u w:val="single"/>
        </w:rPr>
        <w:tab/>
      </w:r>
    </w:p>
    <w:sectPr w:rsidR="00446FE5" w:rsidRPr="000F097D" w:rsidSect="0034794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4EC0" w14:textId="77777777" w:rsidR="00904786" w:rsidRDefault="00904786" w:rsidP="00F95C08">
      <w:pPr>
        <w:spacing w:line="240" w:lineRule="auto"/>
      </w:pPr>
    </w:p>
  </w:endnote>
  <w:endnote w:type="continuationSeparator" w:id="0">
    <w:p w14:paraId="2F955138" w14:textId="77777777" w:rsidR="00904786" w:rsidRPr="00AC3823" w:rsidRDefault="00904786" w:rsidP="00AC3823">
      <w:pPr>
        <w:pStyle w:val="Footer"/>
      </w:pPr>
    </w:p>
  </w:endnote>
  <w:endnote w:type="continuationNotice" w:id="1">
    <w:p w14:paraId="1C998ED5" w14:textId="77777777" w:rsidR="00904786" w:rsidRDefault="009047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E8A4" w14:textId="77777777" w:rsidR="00347941" w:rsidRPr="00347941" w:rsidRDefault="00347941" w:rsidP="00347941">
    <w:pPr>
      <w:pStyle w:val="Footer"/>
      <w:tabs>
        <w:tab w:val="right" w:pos="9638"/>
      </w:tabs>
    </w:pPr>
    <w:r w:rsidRPr="00347941">
      <w:rPr>
        <w:b/>
        <w:sz w:val="18"/>
      </w:rPr>
      <w:fldChar w:fldCharType="begin"/>
    </w:r>
    <w:r w:rsidRPr="00347941">
      <w:rPr>
        <w:b/>
        <w:sz w:val="18"/>
      </w:rPr>
      <w:instrText xml:space="preserve"> PAGE  \* MERGEFORMAT </w:instrText>
    </w:r>
    <w:r w:rsidRPr="00347941">
      <w:rPr>
        <w:b/>
        <w:sz w:val="18"/>
      </w:rPr>
      <w:fldChar w:fldCharType="separate"/>
    </w:r>
    <w:r w:rsidRPr="00347941">
      <w:rPr>
        <w:b/>
        <w:noProof/>
        <w:sz w:val="18"/>
      </w:rPr>
      <w:t>2</w:t>
    </w:r>
    <w:r w:rsidRPr="00347941">
      <w:rPr>
        <w:b/>
        <w:sz w:val="18"/>
      </w:rPr>
      <w:fldChar w:fldCharType="end"/>
    </w:r>
    <w:r>
      <w:rPr>
        <w:b/>
        <w:sz w:val="18"/>
      </w:rPr>
      <w:tab/>
    </w:r>
    <w:r>
      <w:t>GE.19-05784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52D7" w14:textId="77777777" w:rsidR="00347941" w:rsidRPr="00347941" w:rsidRDefault="00347941" w:rsidP="00347941">
    <w:pPr>
      <w:pStyle w:val="Footer"/>
      <w:tabs>
        <w:tab w:val="right" w:pos="9638"/>
      </w:tabs>
      <w:rPr>
        <w:b/>
        <w:sz w:val="18"/>
      </w:rPr>
    </w:pPr>
    <w:r>
      <w:t>GE.19-05784</w:t>
    </w:r>
    <w:r>
      <w:tab/>
    </w:r>
    <w:r w:rsidRPr="00347941">
      <w:rPr>
        <w:b/>
        <w:sz w:val="18"/>
      </w:rPr>
      <w:fldChar w:fldCharType="begin"/>
    </w:r>
    <w:r w:rsidRPr="00347941">
      <w:rPr>
        <w:b/>
        <w:sz w:val="18"/>
      </w:rPr>
      <w:instrText xml:space="preserve"> PAGE  \* MERGEFORMAT </w:instrText>
    </w:r>
    <w:r w:rsidRPr="00347941">
      <w:rPr>
        <w:b/>
        <w:sz w:val="18"/>
      </w:rPr>
      <w:fldChar w:fldCharType="separate"/>
    </w:r>
    <w:r w:rsidRPr="00347941">
      <w:rPr>
        <w:b/>
        <w:noProof/>
        <w:sz w:val="18"/>
      </w:rPr>
      <w:t>3</w:t>
    </w:r>
    <w:r w:rsidRPr="003479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B20A" w14:textId="77777777" w:rsidR="0068456F" w:rsidRPr="00347941" w:rsidRDefault="00347941" w:rsidP="00347941">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158BAFE" wp14:editId="740A87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19-05784  (F)</w:t>
    </w:r>
    <w:r w:rsidR="00640DCD">
      <w:rPr>
        <w:sz w:val="20"/>
      </w:rPr>
      <w:t xml:space="preserve">    070519    100519</w:t>
    </w:r>
    <w:r>
      <w:rPr>
        <w:sz w:val="20"/>
      </w:rPr>
      <w:br/>
    </w:r>
    <w:r w:rsidRPr="00347941">
      <w:rPr>
        <w:rFonts w:ascii="C39T30Lfz" w:hAnsi="C39T30Lfz"/>
        <w:sz w:val="56"/>
      </w:rPr>
      <w:t></w:t>
    </w:r>
    <w:r w:rsidRPr="00347941">
      <w:rPr>
        <w:rFonts w:ascii="C39T30Lfz" w:hAnsi="C39T30Lfz"/>
        <w:sz w:val="56"/>
      </w:rPr>
      <w:t></w:t>
    </w:r>
    <w:r w:rsidRPr="00347941">
      <w:rPr>
        <w:rFonts w:ascii="C39T30Lfz" w:hAnsi="C39T30Lfz"/>
        <w:sz w:val="56"/>
      </w:rPr>
      <w:t></w:t>
    </w:r>
    <w:r w:rsidRPr="00347941">
      <w:rPr>
        <w:rFonts w:ascii="C39T30Lfz" w:hAnsi="C39T30Lfz"/>
        <w:sz w:val="56"/>
      </w:rPr>
      <w:t></w:t>
    </w:r>
    <w:r w:rsidRPr="00347941">
      <w:rPr>
        <w:rFonts w:ascii="C39T30Lfz" w:hAnsi="C39T30Lfz"/>
        <w:sz w:val="56"/>
      </w:rPr>
      <w:t></w:t>
    </w:r>
    <w:r w:rsidRPr="00347941">
      <w:rPr>
        <w:rFonts w:ascii="C39T30Lfz" w:hAnsi="C39T30Lfz"/>
        <w:sz w:val="56"/>
      </w:rPr>
      <w:t></w:t>
    </w:r>
    <w:r w:rsidRPr="00347941">
      <w:rPr>
        <w:rFonts w:ascii="C39T30Lfz" w:hAnsi="C39T30Lfz"/>
        <w:sz w:val="56"/>
      </w:rPr>
      <w:t></w:t>
    </w:r>
    <w:r w:rsidRPr="00347941">
      <w:rPr>
        <w:rFonts w:ascii="C39T30Lfz" w:hAnsi="C39T30Lfz"/>
        <w:sz w:val="56"/>
      </w:rPr>
      <w:t></w:t>
    </w:r>
    <w:r w:rsidRPr="00347941">
      <w:rPr>
        <w:rFonts w:ascii="C39T30Lfz" w:hAnsi="C39T30Lfz"/>
        <w:sz w:val="56"/>
      </w:rPr>
      <w:t></w:t>
    </w:r>
    <w:r>
      <w:rPr>
        <w:noProof/>
        <w:sz w:val="20"/>
      </w:rPr>
      <w:drawing>
        <wp:anchor distT="0" distB="0" distL="114300" distR="114300" simplePos="0" relativeHeight="251658240" behindDoc="0" locked="0" layoutInCell="1" allowOverlap="1" wp14:anchorId="6E7612D0" wp14:editId="42BCA64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2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D6D2B" w14:textId="77777777" w:rsidR="00904786" w:rsidRPr="00AC3823" w:rsidRDefault="00904786" w:rsidP="00AC3823">
      <w:pPr>
        <w:pStyle w:val="Footer"/>
        <w:tabs>
          <w:tab w:val="right" w:pos="2155"/>
        </w:tabs>
        <w:spacing w:after="80" w:line="240" w:lineRule="atLeast"/>
        <w:ind w:left="680"/>
        <w:rPr>
          <w:u w:val="single"/>
        </w:rPr>
      </w:pPr>
      <w:r>
        <w:rPr>
          <w:u w:val="single"/>
        </w:rPr>
        <w:tab/>
      </w:r>
    </w:p>
  </w:footnote>
  <w:footnote w:type="continuationSeparator" w:id="0">
    <w:p w14:paraId="6BC24A3F" w14:textId="77777777" w:rsidR="00904786" w:rsidRPr="00AC3823" w:rsidRDefault="00904786" w:rsidP="00AC3823">
      <w:pPr>
        <w:pStyle w:val="Footer"/>
        <w:tabs>
          <w:tab w:val="right" w:pos="2155"/>
        </w:tabs>
        <w:spacing w:after="80" w:line="240" w:lineRule="atLeast"/>
        <w:ind w:left="680"/>
        <w:rPr>
          <w:u w:val="single"/>
        </w:rPr>
      </w:pPr>
      <w:r>
        <w:rPr>
          <w:u w:val="single"/>
        </w:rPr>
        <w:tab/>
      </w:r>
    </w:p>
  </w:footnote>
  <w:footnote w:type="continuationNotice" w:id="1">
    <w:p w14:paraId="08623429" w14:textId="77777777" w:rsidR="00904786" w:rsidRPr="00AC3823" w:rsidRDefault="00904786">
      <w:pPr>
        <w:spacing w:line="240" w:lineRule="auto"/>
        <w:rPr>
          <w:sz w:val="2"/>
          <w:szCs w:val="2"/>
        </w:rPr>
      </w:pPr>
    </w:p>
  </w:footnote>
  <w:footnote w:id="2">
    <w:p w14:paraId="5A42ECA5" w14:textId="77777777" w:rsidR="00347941" w:rsidRPr="00347941" w:rsidRDefault="00347941">
      <w:pPr>
        <w:pStyle w:val="FootnoteText"/>
      </w:pPr>
      <w:r>
        <w:rPr>
          <w:rStyle w:val="FootnoteReference"/>
        </w:rPr>
        <w:tab/>
      </w:r>
      <w:r w:rsidRPr="00347941">
        <w:rPr>
          <w:rStyle w:val="FootnoteReference"/>
          <w:sz w:val="20"/>
          <w:vertAlign w:val="baseline"/>
        </w:rPr>
        <w:t>*</w:t>
      </w:r>
      <w:r>
        <w:rPr>
          <w:rStyle w:val="FootnoteReference"/>
          <w:sz w:val="20"/>
          <w:vertAlign w:val="baseline"/>
        </w:rPr>
        <w:tab/>
      </w:r>
      <w:r>
        <w:t>Conformément au programme de travail du Sous-Comité pour la période biennale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8B6C" w14:textId="4AD8C888" w:rsidR="00347941" w:rsidRPr="00347941" w:rsidRDefault="00C20375">
    <w:pPr>
      <w:pStyle w:val="Header"/>
    </w:pPr>
    <w:fldSimple w:instr=" TITLE  \* MERGEFORMAT ">
      <w:r w:rsidR="00C302B9">
        <w:t>ST/SG/AC.10/C.3/2019/24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B77A" w14:textId="7009540D" w:rsidR="00347941" w:rsidRPr="00347941" w:rsidRDefault="00C20375" w:rsidP="00347941">
    <w:pPr>
      <w:pStyle w:val="Header"/>
      <w:jc w:val="right"/>
    </w:pPr>
    <w:fldSimple w:instr=" TITLE  \* MERGEFORMAT ">
      <w:r w:rsidR="00C302B9">
        <w:t>ST/SG/AC.10/C.3/2019/24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86"/>
    <w:rsid w:val="00017F94"/>
    <w:rsid w:val="00023842"/>
    <w:rsid w:val="000305D3"/>
    <w:rsid w:val="000334F9"/>
    <w:rsid w:val="0007796D"/>
    <w:rsid w:val="000B7790"/>
    <w:rsid w:val="000F097D"/>
    <w:rsid w:val="00111F2F"/>
    <w:rsid w:val="00132EA9"/>
    <w:rsid w:val="0014365E"/>
    <w:rsid w:val="00176178"/>
    <w:rsid w:val="001F525A"/>
    <w:rsid w:val="00223272"/>
    <w:rsid w:val="0024779E"/>
    <w:rsid w:val="00283190"/>
    <w:rsid w:val="002832AC"/>
    <w:rsid w:val="002D7C93"/>
    <w:rsid w:val="00347941"/>
    <w:rsid w:val="00363613"/>
    <w:rsid w:val="00441C3B"/>
    <w:rsid w:val="00446FE5"/>
    <w:rsid w:val="00452396"/>
    <w:rsid w:val="004E468C"/>
    <w:rsid w:val="005505B7"/>
    <w:rsid w:val="00573BE5"/>
    <w:rsid w:val="00584DC4"/>
    <w:rsid w:val="00586ED3"/>
    <w:rsid w:val="00596AA9"/>
    <w:rsid w:val="00640DCD"/>
    <w:rsid w:val="0068456F"/>
    <w:rsid w:val="0071601D"/>
    <w:rsid w:val="007468E7"/>
    <w:rsid w:val="007A62E6"/>
    <w:rsid w:val="007E7248"/>
    <w:rsid w:val="0080684C"/>
    <w:rsid w:val="00871C75"/>
    <w:rsid w:val="008776DC"/>
    <w:rsid w:val="008B40CD"/>
    <w:rsid w:val="008C3469"/>
    <w:rsid w:val="00904786"/>
    <w:rsid w:val="009705C8"/>
    <w:rsid w:val="009C1CF4"/>
    <w:rsid w:val="00A06561"/>
    <w:rsid w:val="00A30353"/>
    <w:rsid w:val="00AA12AB"/>
    <w:rsid w:val="00AA368D"/>
    <w:rsid w:val="00AC3823"/>
    <w:rsid w:val="00AE323C"/>
    <w:rsid w:val="00B00181"/>
    <w:rsid w:val="00B00B0D"/>
    <w:rsid w:val="00B765F7"/>
    <w:rsid w:val="00BA0CA9"/>
    <w:rsid w:val="00C02897"/>
    <w:rsid w:val="00C20375"/>
    <w:rsid w:val="00C302B9"/>
    <w:rsid w:val="00D3439C"/>
    <w:rsid w:val="00DB1831"/>
    <w:rsid w:val="00DD3BFD"/>
    <w:rsid w:val="00DF6678"/>
    <w:rsid w:val="00ED33B1"/>
    <w:rsid w:val="00EF2E22"/>
    <w:rsid w:val="00F01738"/>
    <w:rsid w:val="00F660DF"/>
    <w:rsid w:val="00F730C8"/>
    <w:rsid w:val="00F900F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7F37E"/>
  <w15:docId w15:val="{C2E61CA1-9E4A-4DE0-94AD-9E6FA408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ST/SG/AC.10/C.3/2019/24</vt:lpstr>
      <vt:lpstr>ST/SG/AC.10/C.3/2019/24</vt:lpstr>
    </vt:vector>
  </TitlesOfParts>
  <Company>DCM</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ST/SG/AC.10/C.3/2019/24</dc:title>
  <dc:subject/>
  <dc:creator>Julien OKRZESIK</dc:creator>
  <cp:keywords/>
  <cp:lastModifiedBy>Laurence Berthet</cp:lastModifiedBy>
  <cp:revision>3</cp:revision>
  <cp:lastPrinted>2019-05-10T12:24:00Z</cp:lastPrinted>
  <dcterms:created xsi:type="dcterms:W3CDTF">2019-05-10T12:24:00Z</dcterms:created>
  <dcterms:modified xsi:type="dcterms:W3CDTF">2019-05-10T12:25:00Z</dcterms:modified>
</cp:coreProperties>
</file>