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E3282" w:rsidRPr="003F006C" w14:paraId="47F155C1" w14:textId="77777777" w:rsidTr="006A4157">
        <w:trPr>
          <w:trHeight w:val="851"/>
        </w:trPr>
        <w:tc>
          <w:tcPr>
            <w:tcW w:w="1259" w:type="dxa"/>
            <w:tcBorders>
              <w:top w:val="nil"/>
              <w:left w:val="nil"/>
              <w:bottom w:val="single" w:sz="4" w:space="0" w:color="auto"/>
              <w:right w:val="nil"/>
            </w:tcBorders>
            <w:shd w:val="clear" w:color="auto" w:fill="auto"/>
          </w:tcPr>
          <w:p w14:paraId="3C55FDDA" w14:textId="77777777" w:rsidR="000E3282" w:rsidRPr="003F006C" w:rsidRDefault="000E3282" w:rsidP="006A4157">
            <w:pPr>
              <w:spacing w:after="80" w:line="340" w:lineRule="exact"/>
            </w:pPr>
            <w:bookmarkStart w:id="0" w:name="_Hlk507352837"/>
          </w:p>
        </w:tc>
        <w:tc>
          <w:tcPr>
            <w:tcW w:w="2236" w:type="dxa"/>
            <w:tcBorders>
              <w:top w:val="nil"/>
              <w:left w:val="nil"/>
              <w:bottom w:val="single" w:sz="4" w:space="0" w:color="auto"/>
              <w:right w:val="nil"/>
            </w:tcBorders>
            <w:shd w:val="clear" w:color="auto" w:fill="auto"/>
            <w:vAlign w:val="bottom"/>
          </w:tcPr>
          <w:p w14:paraId="49F87454" w14:textId="77777777" w:rsidR="000E3282" w:rsidRPr="003F006C" w:rsidRDefault="000E3282" w:rsidP="006A4157">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B939614" w14:textId="77777777" w:rsidR="000E3282" w:rsidRPr="00DB656E" w:rsidRDefault="000E3282" w:rsidP="00A340F5">
            <w:pPr>
              <w:suppressAutoHyphens w:val="0"/>
              <w:spacing w:after="20"/>
              <w:jc w:val="right"/>
            </w:pPr>
            <w:bookmarkStart w:id="1" w:name="_Hlk507580044"/>
            <w:r w:rsidRPr="00DB656E">
              <w:rPr>
                <w:sz w:val="40"/>
              </w:rPr>
              <w:t>ST</w:t>
            </w:r>
            <w:r w:rsidRPr="00DB656E">
              <w:t>/SG/AC.10/C.3/201</w:t>
            </w:r>
            <w:r w:rsidR="00A340F5">
              <w:t>9</w:t>
            </w:r>
            <w:r w:rsidRPr="00DB656E">
              <w:t>/</w:t>
            </w:r>
            <w:bookmarkEnd w:id="1"/>
            <w:r w:rsidR="006976E0">
              <w:t>2</w:t>
            </w:r>
            <w:r w:rsidR="00CE7F03">
              <w:t>4</w:t>
            </w:r>
          </w:p>
        </w:tc>
      </w:tr>
      <w:tr w:rsidR="000E3282" w:rsidRPr="003F006C" w14:paraId="54037F01" w14:textId="77777777" w:rsidTr="006A4157">
        <w:trPr>
          <w:trHeight w:val="2835"/>
        </w:trPr>
        <w:tc>
          <w:tcPr>
            <w:tcW w:w="1259" w:type="dxa"/>
            <w:tcBorders>
              <w:top w:val="single" w:sz="4" w:space="0" w:color="auto"/>
              <w:left w:val="nil"/>
              <w:bottom w:val="single" w:sz="12" w:space="0" w:color="auto"/>
              <w:right w:val="nil"/>
            </w:tcBorders>
            <w:shd w:val="clear" w:color="auto" w:fill="auto"/>
          </w:tcPr>
          <w:p w14:paraId="1073BAD0" w14:textId="77777777" w:rsidR="000E3282" w:rsidRPr="003F006C" w:rsidRDefault="000E3282" w:rsidP="006A4157">
            <w:pPr>
              <w:spacing w:before="120"/>
              <w:jc w:val="center"/>
            </w:pPr>
            <w:r>
              <w:rPr>
                <w:noProof/>
                <w:lang w:val="de-DE" w:eastAsia="de-DE"/>
              </w:rPr>
              <w:drawing>
                <wp:inline distT="0" distB="0" distL="0" distR="0" wp14:anchorId="49600B7A" wp14:editId="04A51CAB">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2D26E0B" w14:textId="77777777" w:rsidR="000E3282" w:rsidRPr="003F006C" w:rsidRDefault="000E3282" w:rsidP="006A4157">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1DD4637B" w14:textId="77777777" w:rsidR="000E3282" w:rsidRPr="003F006C" w:rsidRDefault="000E3282" w:rsidP="006A4157">
            <w:pPr>
              <w:suppressAutoHyphens w:val="0"/>
              <w:spacing w:before="240" w:line="240" w:lineRule="exact"/>
            </w:pPr>
            <w:r w:rsidRPr="003F006C">
              <w:t>Distr.: General</w:t>
            </w:r>
          </w:p>
          <w:p w14:paraId="77F92419" w14:textId="07653906" w:rsidR="000E3282" w:rsidRPr="003F006C" w:rsidRDefault="00371763" w:rsidP="006A4157">
            <w:pPr>
              <w:suppressAutoHyphens w:val="0"/>
            </w:pPr>
            <w:r>
              <w:t>9</w:t>
            </w:r>
            <w:bookmarkStart w:id="2" w:name="_GoBack"/>
            <w:bookmarkEnd w:id="2"/>
            <w:r w:rsidR="006976E0" w:rsidRPr="006976E0">
              <w:t xml:space="preserve"> </w:t>
            </w:r>
            <w:r w:rsidR="009702B5" w:rsidRPr="006976E0">
              <w:t>April 2019</w:t>
            </w:r>
          </w:p>
          <w:p w14:paraId="2BEAB8B0" w14:textId="77777777" w:rsidR="000E3282" w:rsidRPr="003F006C" w:rsidRDefault="000E3282" w:rsidP="006A4157">
            <w:pPr>
              <w:suppressAutoHyphens w:val="0"/>
            </w:pPr>
          </w:p>
          <w:p w14:paraId="66BBF71A" w14:textId="77777777" w:rsidR="000E3282" w:rsidRPr="003F006C" w:rsidRDefault="000E3282" w:rsidP="006A4157">
            <w:pPr>
              <w:suppressAutoHyphens w:val="0"/>
            </w:pPr>
            <w:r w:rsidRPr="003F006C">
              <w:t>Original: English</w:t>
            </w:r>
          </w:p>
        </w:tc>
      </w:tr>
    </w:tbl>
    <w:p w14:paraId="252C2C0C" w14:textId="77777777" w:rsidR="000E3282" w:rsidRPr="003F006C" w:rsidRDefault="000E3282" w:rsidP="000E3282">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14:paraId="2AA2844E" w14:textId="77777777" w:rsidR="000E3282" w:rsidRPr="003F006C" w:rsidRDefault="000E3282" w:rsidP="000E3282">
      <w:pPr>
        <w:spacing w:before="120"/>
        <w:rPr>
          <w:b/>
          <w:lang w:val="en-US"/>
        </w:rPr>
      </w:pPr>
      <w:r w:rsidRPr="003F006C">
        <w:rPr>
          <w:b/>
          <w:lang w:val="en-US"/>
        </w:rPr>
        <w:t>Sub-Committee of Experts on the Transport of Dangerous Goods</w:t>
      </w:r>
    </w:p>
    <w:p w14:paraId="37BA63CD" w14:textId="77777777" w:rsidR="000E3282" w:rsidRPr="00DB656E" w:rsidRDefault="000E3282" w:rsidP="000E3282">
      <w:pPr>
        <w:spacing w:before="120"/>
        <w:rPr>
          <w:b/>
        </w:rPr>
      </w:pPr>
      <w:r w:rsidRPr="003F006C">
        <w:rPr>
          <w:b/>
        </w:rPr>
        <w:t>F</w:t>
      </w:r>
      <w:r>
        <w:rPr>
          <w:b/>
        </w:rPr>
        <w:t>i</w:t>
      </w:r>
      <w:r w:rsidRPr="00DB656E">
        <w:rPr>
          <w:b/>
        </w:rPr>
        <w:t>fty-</w:t>
      </w:r>
      <w:r w:rsidR="006E144E">
        <w:rPr>
          <w:b/>
        </w:rPr>
        <w:t>f</w:t>
      </w:r>
      <w:r w:rsidR="00405FA3">
        <w:rPr>
          <w:b/>
        </w:rPr>
        <w:t>i</w:t>
      </w:r>
      <w:r w:rsidR="00936186">
        <w:rPr>
          <w:b/>
        </w:rPr>
        <w:t>f</w:t>
      </w:r>
      <w:r w:rsidR="00405FA3">
        <w:rPr>
          <w:b/>
        </w:rPr>
        <w:t>th</w:t>
      </w:r>
      <w:r w:rsidRPr="00DB656E">
        <w:rPr>
          <w:b/>
        </w:rPr>
        <w:t xml:space="preserve"> session</w:t>
      </w:r>
    </w:p>
    <w:p w14:paraId="0493838C" w14:textId="77777777" w:rsidR="000E3282" w:rsidRPr="00DB656E" w:rsidRDefault="000E3282" w:rsidP="000E3282">
      <w:pPr>
        <w:rPr>
          <w:color w:val="333333"/>
          <w:lang w:eastAsia="it-IT"/>
        </w:rPr>
      </w:pPr>
      <w:r w:rsidRPr="006976E0">
        <w:t xml:space="preserve">Geneva, </w:t>
      </w:r>
      <w:r w:rsidR="009702B5" w:rsidRPr="006976E0">
        <w:t>1</w:t>
      </w:r>
      <w:r w:rsidR="006976E0">
        <w:t>-5</w:t>
      </w:r>
      <w:r w:rsidR="002C71C7" w:rsidRPr="006976E0">
        <w:t xml:space="preserve"> </w:t>
      </w:r>
      <w:r w:rsidR="009702B5" w:rsidRPr="006976E0">
        <w:t>July</w:t>
      </w:r>
      <w:r w:rsidR="009702B5" w:rsidRPr="006976E0">
        <w:rPr>
          <w:color w:val="333333"/>
          <w:lang w:eastAsia="it-IT"/>
        </w:rPr>
        <w:t xml:space="preserve"> 2019</w:t>
      </w:r>
    </w:p>
    <w:p w14:paraId="2A2A3DB2" w14:textId="5338B062" w:rsidR="000E3282" w:rsidRPr="00DB656E" w:rsidRDefault="000E3282" w:rsidP="000E3282">
      <w:r w:rsidRPr="00DB656E">
        <w:t xml:space="preserve">Item </w:t>
      </w:r>
      <w:r w:rsidR="00656D00">
        <w:t>6</w:t>
      </w:r>
      <w:r w:rsidRPr="00DB656E">
        <w:t xml:space="preserve"> </w:t>
      </w:r>
      <w:r w:rsidR="00955697">
        <w:t xml:space="preserve">(b) </w:t>
      </w:r>
      <w:r w:rsidRPr="00DB656E">
        <w:t>of the provisional agenda</w:t>
      </w:r>
    </w:p>
    <w:p w14:paraId="318D931B" w14:textId="3341E025" w:rsidR="000E3282" w:rsidRDefault="006976E0" w:rsidP="000E3282">
      <w:pPr>
        <w:rPr>
          <w:b/>
          <w:bCs/>
        </w:rPr>
      </w:pPr>
      <w:r w:rsidRPr="00D824E6">
        <w:rPr>
          <w:b/>
          <w:bCs/>
        </w:rPr>
        <w:t xml:space="preserve">Miscellaneous proposals for amendments to the Model Regulations </w:t>
      </w:r>
      <w:r w:rsidRPr="00D824E6">
        <w:rPr>
          <w:b/>
          <w:bCs/>
        </w:rPr>
        <w:br/>
        <w:t>on the Transport of Dangerous Goods:</w:t>
      </w:r>
      <w:r w:rsidR="00955697">
        <w:rPr>
          <w:b/>
          <w:bCs/>
        </w:rPr>
        <w:t xml:space="preserve"> </w:t>
      </w:r>
      <w:proofErr w:type="spellStart"/>
      <w:r w:rsidR="00955697">
        <w:rPr>
          <w:b/>
          <w:bCs/>
        </w:rPr>
        <w:t>packagings</w:t>
      </w:r>
      <w:proofErr w:type="spellEnd"/>
    </w:p>
    <w:p w14:paraId="0F1EA52B" w14:textId="77777777" w:rsidR="00CE7F03" w:rsidRDefault="00CE7F03" w:rsidP="00CE7F03">
      <w:pPr>
        <w:pStyle w:val="HChG"/>
        <w:rPr>
          <w:sz w:val="24"/>
        </w:rPr>
      </w:pPr>
      <w:r w:rsidRPr="00D72915">
        <w:rPr>
          <w:lang w:val="en-US"/>
        </w:rPr>
        <w:tab/>
      </w:r>
      <w:r w:rsidRPr="00D72915">
        <w:rPr>
          <w:lang w:val="en-US"/>
        </w:rPr>
        <w:tab/>
      </w:r>
      <w:r>
        <w:rPr>
          <w:lang w:val="en-US"/>
        </w:rPr>
        <w:t xml:space="preserve">Permitted period of use for composite </w:t>
      </w:r>
      <w:r w:rsidRPr="00E5141F">
        <w:t>IBCs</w:t>
      </w:r>
      <w:r w:rsidRPr="00062EDD">
        <w:rPr>
          <w:lang w:val="en-US"/>
        </w:rPr>
        <w:t xml:space="preserve"> </w:t>
      </w:r>
      <w:r>
        <w:rPr>
          <w:lang w:val="en-US"/>
        </w:rPr>
        <w:t xml:space="preserve">with plastic inner receptacle </w:t>
      </w:r>
    </w:p>
    <w:p w14:paraId="25B31DE4" w14:textId="182385DE" w:rsidR="00CE7F03" w:rsidRPr="006B4408" w:rsidRDefault="00CE7F03" w:rsidP="00CE7F03">
      <w:pPr>
        <w:pStyle w:val="H1G"/>
      </w:pPr>
      <w:r>
        <w:tab/>
      </w:r>
      <w:r>
        <w:tab/>
        <w:t>Transmitted</w:t>
      </w:r>
      <w:r w:rsidRPr="006B4408">
        <w:t xml:space="preserve"> by the expert </w:t>
      </w:r>
      <w:r>
        <w:t>from</w:t>
      </w:r>
      <w:r w:rsidRPr="006B4408">
        <w:t xml:space="preserve"> </w:t>
      </w:r>
      <w:r>
        <w:t>Belgium</w:t>
      </w:r>
      <w:r w:rsidR="003D29E1">
        <w:rPr>
          <w:rStyle w:val="FootnoteReference"/>
        </w:rPr>
        <w:footnoteReference w:customMarkFollows="1" w:id="1"/>
        <w:t>*</w:t>
      </w:r>
    </w:p>
    <w:p w14:paraId="638E814D" w14:textId="77777777" w:rsidR="00CE7F03" w:rsidRPr="00F82A63" w:rsidRDefault="00CE7F03" w:rsidP="00CE7F03">
      <w:pPr>
        <w:pStyle w:val="HChG"/>
      </w:pPr>
      <w:r w:rsidRPr="006B4408">
        <w:tab/>
      </w:r>
      <w:r w:rsidRPr="006B4408">
        <w:tab/>
      </w:r>
      <w:r>
        <w:t>Introduction</w:t>
      </w:r>
    </w:p>
    <w:p w14:paraId="6D036021" w14:textId="41C68193" w:rsidR="00CE7F03" w:rsidRPr="00E470A8" w:rsidRDefault="00CE7F03" w:rsidP="003D29E1">
      <w:pPr>
        <w:pStyle w:val="SingleTxtG"/>
        <w:numPr>
          <w:ilvl w:val="0"/>
          <w:numId w:val="8"/>
        </w:numPr>
        <w:tabs>
          <w:tab w:val="left" w:pos="1701"/>
        </w:tabs>
        <w:ind w:left="1134" w:firstLine="0"/>
        <w:rPr>
          <w:bCs/>
          <w:iCs/>
          <w:lang w:val="en-US"/>
        </w:rPr>
      </w:pPr>
      <w:r>
        <w:rPr>
          <w:lang w:val="en-US"/>
        </w:rPr>
        <w:t xml:space="preserve">Paragraph 4.1.1.15 of the Model Regulations specifies for plastics drums, plastics </w:t>
      </w:r>
      <w:proofErr w:type="spellStart"/>
      <w:r>
        <w:rPr>
          <w:lang w:val="en-US"/>
        </w:rPr>
        <w:t>jerricans</w:t>
      </w:r>
      <w:proofErr w:type="spellEnd"/>
      <w:r>
        <w:rPr>
          <w:lang w:val="en-US"/>
        </w:rPr>
        <w:t xml:space="preserve">, rigid plastics IBCs and composite IBCs with plastic inner receptacles the period of use permitted for the transport of dangerous goods. This is 5 years from the date of manufacture </w:t>
      </w:r>
      <w:r w:rsidRPr="003D29E1">
        <w:t>of</w:t>
      </w:r>
      <w:r>
        <w:rPr>
          <w:lang w:val="en-US"/>
        </w:rPr>
        <w:t xml:space="preserve"> the receptacle, except where a shorter period is prescribed due to the nature of the substance to be transported. </w:t>
      </w:r>
    </w:p>
    <w:p w14:paraId="358BC72D" w14:textId="7D7701C8" w:rsidR="00CE7F03" w:rsidRDefault="00CE7F03" w:rsidP="003D29E1">
      <w:pPr>
        <w:pStyle w:val="SingleTxtG"/>
        <w:numPr>
          <w:ilvl w:val="0"/>
          <w:numId w:val="8"/>
        </w:numPr>
        <w:tabs>
          <w:tab w:val="left" w:pos="1701"/>
        </w:tabs>
        <w:ind w:left="1134" w:firstLine="0"/>
        <w:rPr>
          <w:bCs/>
          <w:iCs/>
          <w:lang w:val="en-US"/>
        </w:rPr>
      </w:pPr>
      <w:r>
        <w:rPr>
          <w:bCs/>
          <w:iCs/>
          <w:lang w:val="en-US"/>
        </w:rPr>
        <w:t xml:space="preserve">In several international and national modal transport regulations this has been translated inconsistently causing </w:t>
      </w:r>
      <w:r w:rsidR="00325C94">
        <w:rPr>
          <w:bCs/>
          <w:iCs/>
          <w:lang w:val="en-US"/>
        </w:rPr>
        <w:t>two</w:t>
      </w:r>
      <w:r>
        <w:rPr>
          <w:bCs/>
          <w:iCs/>
          <w:lang w:val="en-US"/>
        </w:rPr>
        <w:t xml:space="preserve"> different interpretations concerning the period of use of the composite IBCs with rigid plastic inner receptacles:</w:t>
      </w:r>
    </w:p>
    <w:p w14:paraId="4E64E67C" w14:textId="54E9D665" w:rsidR="00CE7F03" w:rsidRPr="003D29E1" w:rsidRDefault="00CE7F03" w:rsidP="003D29E1">
      <w:pPr>
        <w:pStyle w:val="SingleTxtG"/>
        <w:numPr>
          <w:ilvl w:val="0"/>
          <w:numId w:val="9"/>
        </w:numPr>
        <w:tabs>
          <w:tab w:val="left" w:pos="2268"/>
        </w:tabs>
        <w:ind w:left="1701" w:firstLine="0"/>
      </w:pPr>
      <w:r w:rsidRPr="003D29E1">
        <w:t>The 5 years restriction applies to the complete assembled composite IBC, meaning the outer casing and plastic inner receptacle;</w:t>
      </w:r>
    </w:p>
    <w:p w14:paraId="0FEAF46C" w14:textId="3E78D1F8" w:rsidR="00CE7F03" w:rsidRPr="003D29E1" w:rsidRDefault="003D29E1" w:rsidP="003D29E1">
      <w:pPr>
        <w:pStyle w:val="SingleTxtG"/>
        <w:ind w:left="1701" w:firstLine="3"/>
      </w:pPr>
      <w:r>
        <w:t>(b)</w:t>
      </w:r>
      <w:r>
        <w:tab/>
      </w:r>
      <w:r w:rsidR="00CE7F03" w:rsidRPr="003D29E1">
        <w:t xml:space="preserve">The 5 years restriction applies only to the rigid plastic inner receptacle of the composite IBC. </w:t>
      </w:r>
    </w:p>
    <w:p w14:paraId="43AF90C0" w14:textId="77777777" w:rsidR="00CE7F03" w:rsidRDefault="00CE7F03" w:rsidP="003D29E1">
      <w:pPr>
        <w:pStyle w:val="SingleTxtG"/>
        <w:numPr>
          <w:ilvl w:val="0"/>
          <w:numId w:val="8"/>
        </w:numPr>
        <w:tabs>
          <w:tab w:val="left" w:pos="1701"/>
        </w:tabs>
        <w:ind w:left="1134" w:firstLine="0"/>
        <w:rPr>
          <w:bCs/>
          <w:iCs/>
          <w:lang w:val="en-US"/>
        </w:rPr>
      </w:pPr>
      <w:r>
        <w:rPr>
          <w:bCs/>
          <w:iCs/>
          <w:lang w:val="en-US"/>
        </w:rPr>
        <w:t>As explained below, the consequence of the different interpretations may lead to a different permitted period of use, depending on whether the composite IBC is remanufactured or repaired.</w:t>
      </w:r>
    </w:p>
    <w:p w14:paraId="4150F476" w14:textId="3B753E59" w:rsidR="00CE7F03" w:rsidRDefault="00CE7F03" w:rsidP="00CE7F03">
      <w:pPr>
        <w:pStyle w:val="SingleTxtG"/>
        <w:numPr>
          <w:ilvl w:val="0"/>
          <w:numId w:val="8"/>
        </w:numPr>
        <w:rPr>
          <w:bCs/>
          <w:iCs/>
          <w:lang w:val="en-US"/>
        </w:rPr>
      </w:pPr>
      <w:r w:rsidRPr="000807E4">
        <w:rPr>
          <w:bCs/>
          <w:iCs/>
          <w:lang w:val="en-US"/>
        </w:rPr>
        <w:lastRenderedPageBreak/>
        <w:t xml:space="preserve">Looking at the definition of </w:t>
      </w:r>
      <w:r>
        <w:rPr>
          <w:bCs/>
          <w:iCs/>
          <w:lang w:val="en-US"/>
        </w:rPr>
        <w:t>a r</w:t>
      </w:r>
      <w:r w:rsidRPr="000807E4">
        <w:rPr>
          <w:bCs/>
          <w:iCs/>
          <w:lang w:val="en-US"/>
        </w:rPr>
        <w:t>emanufactured IBC</w:t>
      </w:r>
      <w:r>
        <w:rPr>
          <w:bCs/>
          <w:iCs/>
          <w:lang w:val="en-US"/>
        </w:rPr>
        <w:t>,</w:t>
      </w:r>
      <w:r w:rsidRPr="000807E4">
        <w:rPr>
          <w:bCs/>
          <w:iCs/>
          <w:lang w:val="en-US"/>
        </w:rPr>
        <w:t xml:space="preserve"> it is allowed</w:t>
      </w:r>
      <w:r w:rsidR="00325C94">
        <w:rPr>
          <w:bCs/>
          <w:iCs/>
          <w:lang w:val="en-US"/>
        </w:rPr>
        <w:t>:</w:t>
      </w:r>
      <w:r>
        <w:rPr>
          <w:bCs/>
          <w:iCs/>
          <w:lang w:val="en-US"/>
        </w:rPr>
        <w:t xml:space="preserve"> </w:t>
      </w:r>
    </w:p>
    <w:p w14:paraId="59BF1D1F" w14:textId="786721E4" w:rsidR="00CE7F03" w:rsidRPr="003D29E1" w:rsidRDefault="003D29E1" w:rsidP="003D29E1">
      <w:pPr>
        <w:pStyle w:val="SingleTxtG"/>
        <w:ind w:left="1701"/>
      </w:pPr>
      <w:r>
        <w:t>(a)</w:t>
      </w:r>
      <w:r>
        <w:tab/>
      </w:r>
      <w:r w:rsidR="00325C94">
        <w:t xml:space="preserve">to produce </w:t>
      </w:r>
      <w:proofErr w:type="gramStart"/>
      <w:r w:rsidR="00325C94">
        <w:t>a</w:t>
      </w:r>
      <w:proofErr w:type="gramEnd"/>
      <w:r w:rsidR="00325C94">
        <w:t xml:space="preserve"> UN-</w:t>
      </w:r>
      <w:r w:rsidR="00CE3334">
        <w:t xml:space="preserve">design </w:t>
      </w:r>
      <w:r w:rsidR="00CE7F03" w:rsidRPr="003D29E1">
        <w:t xml:space="preserve">type IBC from a non-UN </w:t>
      </w:r>
      <w:r w:rsidR="00CE3334">
        <w:t xml:space="preserve">design </w:t>
      </w:r>
      <w:r w:rsidR="00CE7F03" w:rsidRPr="003D29E1">
        <w:t xml:space="preserve">type; or </w:t>
      </w:r>
    </w:p>
    <w:p w14:paraId="13CD0854" w14:textId="28C48AF0" w:rsidR="00CE7F03" w:rsidRPr="003D29E1" w:rsidRDefault="003D29E1" w:rsidP="003D29E1">
      <w:pPr>
        <w:pStyle w:val="SingleTxtG"/>
        <w:ind w:left="1701"/>
      </w:pPr>
      <w:r>
        <w:t>(b)</w:t>
      </w:r>
      <w:r>
        <w:tab/>
      </w:r>
      <w:r w:rsidR="00CE7F03" w:rsidRPr="003D29E1">
        <w:t>to convert an IBC from one UN</w:t>
      </w:r>
      <w:r w:rsidR="00CE3334">
        <w:t>-</w:t>
      </w:r>
      <w:r w:rsidR="00CE7F03" w:rsidRPr="003D29E1">
        <w:t>design type to another UN</w:t>
      </w:r>
      <w:r w:rsidR="00CE3334">
        <w:t>-</w:t>
      </w:r>
      <w:r w:rsidR="00CE7F03" w:rsidRPr="003D29E1">
        <w:t xml:space="preserve">design type. </w:t>
      </w:r>
    </w:p>
    <w:p w14:paraId="3BC53EBB" w14:textId="64F3A8CB" w:rsidR="00CE7F03" w:rsidRDefault="00CE7F03" w:rsidP="005B4B5F">
      <w:pPr>
        <w:pStyle w:val="SingleTxtG"/>
        <w:ind w:firstLine="567"/>
        <w:rPr>
          <w:bCs/>
          <w:iCs/>
          <w:lang w:val="en-US"/>
        </w:rPr>
      </w:pPr>
      <w:r>
        <w:rPr>
          <w:bCs/>
          <w:iCs/>
          <w:lang w:val="en-US"/>
        </w:rPr>
        <w:t>This includes, in case of composite IBC’s, the replacement of the inner rigid plastic receptacle with a different one while maintaining the outer casing of the composite IBC. The assembled composite IBC is considered as a new design type. This means that the old mark will be removed as specified in 6.5.2.4 of the Model Regulations, a new mark shall be applied as specified in section 6.5.2 of the Model Regulations and that the IBC will be permitted for a period of use of 5 years. The interpretation of current 4.1.1.15 of the Model Regulations with regards to composite IBCs has no influence on the period of use. As such, the outering casing of a remanufactured composite IBC may be used for a period longer than 5 years.</w:t>
      </w:r>
    </w:p>
    <w:p w14:paraId="56D5A4B7" w14:textId="1712DE46" w:rsidR="00CE7F03" w:rsidRPr="003D29E1" w:rsidRDefault="00CE7F03" w:rsidP="003D29E1">
      <w:pPr>
        <w:pStyle w:val="SingleTxtG"/>
        <w:numPr>
          <w:ilvl w:val="0"/>
          <w:numId w:val="8"/>
        </w:numPr>
        <w:tabs>
          <w:tab w:val="left" w:pos="1701"/>
        </w:tabs>
        <w:spacing w:after="0"/>
        <w:ind w:left="1134" w:firstLine="0"/>
        <w:rPr>
          <w:bCs/>
          <w:iCs/>
          <w:lang w:val="en-US"/>
        </w:rPr>
      </w:pPr>
      <w:r w:rsidRPr="003D29E1">
        <w:rPr>
          <w:bCs/>
          <w:iCs/>
          <w:lang w:val="en-US"/>
        </w:rPr>
        <w:t>The definition for a repaired IBC is different. The replacement of the rigid inner receptacle of a composite IBC with a receptacle conforming to the original design type from the same manufacturer is considered as repair. In this case the original outer casing is maintained. In case of repair, in accordance with paragraph 6.5.4.5.3 of the Model Regulations the original UN design mark, including date of manufacture, is not modified. Only additional durable marks</w:t>
      </w:r>
      <w:r w:rsidR="00A21607">
        <w:rPr>
          <w:bCs/>
          <w:iCs/>
          <w:lang w:val="en-US"/>
        </w:rPr>
        <w:t xml:space="preserve"> </w:t>
      </w:r>
      <w:r w:rsidRPr="003D29E1">
        <w:rPr>
          <w:bCs/>
          <w:iCs/>
          <w:lang w:val="en-US"/>
        </w:rPr>
        <w:t>according to 6.5.4.5.3) shall be added on the IBC by the Party performing the tests and inspections after the repair near the manufacturer's UN</w:t>
      </w:r>
      <w:r w:rsidR="00D25C03">
        <w:rPr>
          <w:bCs/>
          <w:iCs/>
          <w:lang w:val="en-US"/>
        </w:rPr>
        <w:t>-</w:t>
      </w:r>
      <w:r w:rsidRPr="003D29E1">
        <w:rPr>
          <w:bCs/>
          <w:iCs/>
          <w:lang w:val="en-US"/>
        </w:rPr>
        <w:t>design type marks to show:</w:t>
      </w:r>
    </w:p>
    <w:p w14:paraId="5D1CE808" w14:textId="7731C35F" w:rsidR="00CE7F03" w:rsidRPr="003D29E1" w:rsidRDefault="00CE7F03" w:rsidP="003D29E1">
      <w:pPr>
        <w:pStyle w:val="SingleTxtG"/>
        <w:spacing w:before="120" w:after="60"/>
        <w:ind w:firstLine="709"/>
      </w:pPr>
      <w:r w:rsidRPr="003D29E1">
        <w:t xml:space="preserve">(a) </w:t>
      </w:r>
      <w:r w:rsidR="003D29E1">
        <w:tab/>
      </w:r>
      <w:r w:rsidRPr="003D29E1">
        <w:t>The State in which the repair was carried out;</w:t>
      </w:r>
    </w:p>
    <w:p w14:paraId="38FE55CC" w14:textId="4B210541" w:rsidR="00CE7F03" w:rsidRPr="003D29E1" w:rsidRDefault="00CE7F03" w:rsidP="003D29E1">
      <w:pPr>
        <w:pStyle w:val="SingleTxtG"/>
        <w:ind w:firstLine="709"/>
      </w:pPr>
      <w:r w:rsidRPr="003D29E1">
        <w:t xml:space="preserve">(b) </w:t>
      </w:r>
      <w:r w:rsidR="003D29E1">
        <w:tab/>
      </w:r>
      <w:r w:rsidRPr="003D29E1">
        <w:t>The name or authorized symbol of the party performing the repair; and</w:t>
      </w:r>
    </w:p>
    <w:p w14:paraId="102E3340" w14:textId="4CD35E43" w:rsidR="00CE7F03" w:rsidRPr="003D29E1" w:rsidRDefault="00CE7F03" w:rsidP="003D29E1">
      <w:pPr>
        <w:pStyle w:val="SingleTxtG"/>
        <w:ind w:firstLine="709"/>
      </w:pPr>
      <w:r w:rsidRPr="003D29E1">
        <w:t xml:space="preserve">(c) </w:t>
      </w:r>
      <w:r w:rsidR="003D29E1">
        <w:tab/>
      </w:r>
      <w:r w:rsidRPr="003D29E1">
        <w:t>The date (month and year) of the tests and inspections.</w:t>
      </w:r>
    </w:p>
    <w:p w14:paraId="20F37E2C" w14:textId="79FED6E8" w:rsidR="00CE7F03" w:rsidRDefault="003D29E1" w:rsidP="003D29E1">
      <w:pPr>
        <w:pStyle w:val="SingleTxtG"/>
        <w:tabs>
          <w:tab w:val="left" w:pos="1701"/>
        </w:tabs>
        <w:rPr>
          <w:lang w:val="en-US"/>
        </w:rPr>
      </w:pPr>
      <w:r>
        <w:rPr>
          <w:lang w:val="en-US"/>
        </w:rPr>
        <w:t>6.</w:t>
      </w:r>
      <w:r>
        <w:rPr>
          <w:lang w:val="en-US"/>
        </w:rPr>
        <w:tab/>
      </w:r>
      <w:r w:rsidR="00CE7F03">
        <w:rPr>
          <w:lang w:val="en-US"/>
        </w:rPr>
        <w:t xml:space="preserve">Looking at the repair process and taken into consideration the interpretation that the 5 years limit applies to the complete IBC, as described in paragraph 2 of this </w:t>
      </w:r>
      <w:r w:rsidR="00A21607">
        <w:rPr>
          <w:lang w:val="en-US"/>
        </w:rPr>
        <w:t>document</w:t>
      </w:r>
      <w:r w:rsidR="00CE7F03">
        <w:rPr>
          <w:lang w:val="en-US"/>
        </w:rPr>
        <w:t xml:space="preserve">, the </w:t>
      </w:r>
      <w:r w:rsidR="00CE7F03" w:rsidRPr="003D29E1">
        <w:t>period</w:t>
      </w:r>
      <w:r w:rsidR="00CE7F03">
        <w:rPr>
          <w:lang w:val="en-US"/>
        </w:rPr>
        <w:t xml:space="preserve"> of use of</w:t>
      </w:r>
      <w:r w:rsidR="0019036A">
        <w:rPr>
          <w:lang w:val="en-US"/>
        </w:rPr>
        <w:t xml:space="preserve"> </w:t>
      </w:r>
      <w:r w:rsidR="00CE7F03">
        <w:rPr>
          <w:lang w:val="en-US"/>
        </w:rPr>
        <w:t>a repaired composite IBC with a new original rigid inner receptacle may only be used for a period equal to 5 years minus the lifetime already passed.</w:t>
      </w:r>
      <w:r w:rsidR="00CE3334">
        <w:rPr>
          <w:lang w:val="en-US"/>
        </w:rPr>
        <w:t xml:space="preserve"> As such, the outer casing is also not used for a period longer than 5 years.</w:t>
      </w:r>
    </w:p>
    <w:p w14:paraId="383C1ECC" w14:textId="1429F4A9" w:rsidR="00CE7F03" w:rsidRPr="003D29E1" w:rsidRDefault="003D29E1" w:rsidP="003D29E1">
      <w:pPr>
        <w:pStyle w:val="SingleTxtG"/>
        <w:tabs>
          <w:tab w:val="left" w:pos="1701"/>
        </w:tabs>
      </w:pPr>
      <w:r>
        <w:t>7.</w:t>
      </w:r>
      <w:r>
        <w:tab/>
      </w:r>
      <w:r w:rsidR="00CE7F03" w:rsidRPr="003D29E1">
        <w:t xml:space="preserve">This may lead to an inconsistent and </w:t>
      </w:r>
      <w:r w:rsidR="0077478A" w:rsidRPr="003D29E1">
        <w:t>illogical</w:t>
      </w:r>
      <w:r w:rsidR="00CE7F03" w:rsidRPr="003D29E1">
        <w:t xml:space="preserve"> approach of repaired IBCs versus remanufactured IBCs where the same outer casing may be allowed for a different period of use due to a different interpretation. Moreover, both remanufactured and repaired composite IBCs are subject to the same inspections with regards to the outer conditions (which includes the outer casing) and the proper functioning of the service equipment at intervals of 2.5 years as specified in 6.5.4.4 of the Model Regulations.</w:t>
      </w:r>
    </w:p>
    <w:p w14:paraId="57E2010F" w14:textId="487A0CB7" w:rsidR="00CE7F03" w:rsidRPr="009444B9" w:rsidRDefault="003D29E1" w:rsidP="003D29E1">
      <w:pPr>
        <w:pStyle w:val="SingleTxtG"/>
        <w:tabs>
          <w:tab w:val="left" w:pos="1701"/>
        </w:tabs>
      </w:pPr>
      <w:r>
        <w:t>8.</w:t>
      </w:r>
      <w:r>
        <w:tab/>
      </w:r>
      <w:r w:rsidR="00CE7F03" w:rsidRPr="003D29E1">
        <w:t>To solve the problem and to remove the inconsistencies caused by different interpretations and translations we propose to add a note to 4.1.1.15 of the Model Regulations clarifying that for composite IBCs the period of use refers to the date of manufacture of the inner receptacle.</w:t>
      </w:r>
    </w:p>
    <w:p w14:paraId="144F8713" w14:textId="6AB4FD27" w:rsidR="00CE7F03" w:rsidRPr="0055477C" w:rsidRDefault="00CE7F03" w:rsidP="003D29E1">
      <w:pPr>
        <w:pStyle w:val="HChG"/>
        <w:tabs>
          <w:tab w:val="left" w:pos="1701"/>
        </w:tabs>
        <w:spacing w:before="240" w:after="120"/>
      </w:pPr>
      <w:r w:rsidRPr="00D72915">
        <w:rPr>
          <w:lang w:val="en-US"/>
        </w:rPr>
        <w:tab/>
      </w:r>
      <w:r w:rsidRPr="00D72915">
        <w:rPr>
          <w:lang w:val="en-US"/>
        </w:rPr>
        <w:tab/>
      </w:r>
      <w:r w:rsidRPr="0055477C">
        <w:t>Proposal</w:t>
      </w:r>
    </w:p>
    <w:p w14:paraId="49FDA996" w14:textId="19F807AD" w:rsidR="00CE7F03" w:rsidRDefault="003D29E1" w:rsidP="003D29E1">
      <w:pPr>
        <w:pStyle w:val="SingleTxtG"/>
        <w:tabs>
          <w:tab w:val="left" w:pos="1701"/>
        </w:tabs>
        <w:jc w:val="left"/>
        <w:rPr>
          <w:lang w:val="en-US"/>
        </w:rPr>
      </w:pPr>
      <w:r>
        <w:rPr>
          <w:lang w:val="en-US"/>
        </w:rPr>
        <w:t>9.</w:t>
      </w:r>
      <w:r>
        <w:rPr>
          <w:lang w:val="en-US"/>
        </w:rPr>
        <w:tab/>
      </w:r>
      <w:r w:rsidR="00CE7F03">
        <w:rPr>
          <w:lang w:val="en-US"/>
        </w:rPr>
        <w:t>Add a new note (underlined) to paragraph 4.1.1.15 of the Model Regulations:</w:t>
      </w:r>
    </w:p>
    <w:p w14:paraId="235FB67C" w14:textId="4ADFBB54" w:rsidR="00CE7F03" w:rsidRDefault="0019036A" w:rsidP="00CE7F03">
      <w:pPr>
        <w:pStyle w:val="SingleTxtG"/>
        <w:ind w:left="1704"/>
        <w:rPr>
          <w:lang w:val="en-US"/>
        </w:rPr>
      </w:pPr>
      <w:r>
        <w:rPr>
          <w:lang w:val="en-US"/>
        </w:rPr>
        <w:t>“</w:t>
      </w:r>
      <w:r w:rsidR="00CE7F03" w:rsidRPr="00997EA4">
        <w:rPr>
          <w:lang w:val="en-US"/>
        </w:rPr>
        <w:t xml:space="preserve">For plastics drums and </w:t>
      </w:r>
      <w:proofErr w:type="spellStart"/>
      <w:r w:rsidR="00CE7F03" w:rsidRPr="00997EA4">
        <w:rPr>
          <w:lang w:val="en-US"/>
        </w:rPr>
        <w:t>jerricans</w:t>
      </w:r>
      <w:proofErr w:type="spellEnd"/>
      <w:r w:rsidR="00CE7F03" w:rsidRPr="00997EA4">
        <w:rPr>
          <w:lang w:val="en-US"/>
        </w:rPr>
        <w:t>, rigid plastics IBCs and composite IBCs with plastics inner receptacles, unless otherwise approved by the competent authority, the period of use permitted for the carriage of dangerous substances shall be five years from the date of manufacture of the receptacles, except where a shorter period of use is prescribed because of the nature of the substance to be carried.</w:t>
      </w:r>
    </w:p>
    <w:p w14:paraId="0F915A8F" w14:textId="7BCBDCD4" w:rsidR="00CE7F03" w:rsidRPr="0019036A" w:rsidRDefault="003D29E1" w:rsidP="003D29E1">
      <w:pPr>
        <w:pStyle w:val="SingleTxtG"/>
        <w:ind w:left="1704"/>
        <w:jc w:val="left"/>
        <w:rPr>
          <w:b/>
          <w:bCs/>
          <w:i/>
          <w:iCs/>
        </w:rPr>
      </w:pPr>
      <w:r w:rsidRPr="0019036A">
        <w:rPr>
          <w:i/>
          <w:iCs/>
          <w:noProof/>
          <w:u w:val="single"/>
          <w:lang w:val="en-US"/>
        </w:rPr>
        <mc:AlternateContent>
          <mc:Choice Requires="wps">
            <w:drawing>
              <wp:anchor distT="45720" distB="45720" distL="114300" distR="114300" simplePos="0" relativeHeight="251659264" behindDoc="0" locked="0" layoutInCell="1" allowOverlap="1" wp14:anchorId="50AFEBED" wp14:editId="6DC020E6">
                <wp:simplePos x="0" y="0"/>
                <wp:positionH relativeFrom="column">
                  <wp:posOffset>2426970</wp:posOffset>
                </wp:positionH>
                <wp:positionV relativeFrom="page">
                  <wp:posOffset>9512300</wp:posOffset>
                </wp:positionV>
                <wp:extent cx="1295400" cy="252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2730"/>
                        </a:xfrm>
                        <a:prstGeom prst="rect">
                          <a:avLst/>
                        </a:prstGeom>
                        <a:solidFill>
                          <a:srgbClr val="FFFFFF"/>
                        </a:solidFill>
                        <a:ln w="9525">
                          <a:solidFill>
                            <a:schemeClr val="bg1"/>
                          </a:solidFill>
                          <a:miter lim="800000"/>
                          <a:headEnd/>
                          <a:tailEnd/>
                        </a:ln>
                      </wps:spPr>
                      <wps:txbx>
                        <w:txbxContent>
                          <w:p w14:paraId="5D13A8BB" w14:textId="7B74771D" w:rsidR="003D29E1" w:rsidRDefault="003D29E1">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FEBED" id="_x0000_t202" coordsize="21600,21600" o:spt="202" path="m,l,21600r21600,l21600,xe">
                <v:stroke joinstyle="miter"/>
                <v:path gradientshapeok="t" o:connecttype="rect"/>
              </v:shapetype>
              <v:shape id="Text Box 2" o:spid="_x0000_s1026" type="#_x0000_t202" style="position:absolute;left:0;text-align:left;margin-left:191.1pt;margin-top:749pt;width:102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" strokecolor="white [3212]">
                <v:textbox style="mso-fit-shape-to-text:t">
                  <w:txbxContent>
                    <w:p w14:paraId="5D13A8BB" w14:textId="7B74771D" w:rsidR="003D29E1" w:rsidRDefault="003D29E1">
                      <w:r>
                        <w:t>______________</w:t>
                      </w:r>
                    </w:p>
                  </w:txbxContent>
                </v:textbox>
                <w10:wrap type="square" anchory="page"/>
              </v:shape>
            </w:pict>
          </mc:Fallback>
        </mc:AlternateContent>
      </w:r>
      <w:r w:rsidR="00CE7F03" w:rsidRPr="0019036A">
        <w:rPr>
          <w:i/>
          <w:iCs/>
          <w:u w:val="single"/>
          <w:lang w:val="en-US"/>
        </w:rPr>
        <w:t>Note: for composite IBCs the period of use refers to the date of manufacture of the inner receptacle.</w:t>
      </w:r>
      <w:r w:rsidR="0019036A" w:rsidRPr="0019036A">
        <w:rPr>
          <w:i/>
          <w:iCs/>
          <w:u w:val="single"/>
          <w:lang w:val="en-US"/>
        </w:rPr>
        <w:t>”.</w:t>
      </w:r>
    </w:p>
    <w:bookmarkEnd w:id="0"/>
    <w:sectPr w:rsidR="00CE7F03" w:rsidRPr="0019036A" w:rsidSect="00AB575D">
      <w:headerReference w:type="even" r:id="rId9"/>
      <w:headerReference w:type="default" r:id="rId10"/>
      <w:footerReference w:type="even" r:id="rId11"/>
      <w:footerReference w:type="default" r:id="rId12"/>
      <w:footnotePr>
        <w:numFmt w:val="chicago"/>
      </w:footnotePr>
      <w:endnotePr>
        <w:numFmt w:val="decimal"/>
      </w:endnotePr>
      <w:pgSz w:w="11907" w:h="16840" w:code="9"/>
      <w:pgMar w:top="1584" w:right="1138" w:bottom="2160"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8829" w14:textId="77777777" w:rsidR="00AE39AA" w:rsidRDefault="00AE39AA" w:rsidP="000E3282">
      <w:pPr>
        <w:spacing w:line="240" w:lineRule="auto"/>
      </w:pPr>
      <w:r>
        <w:separator/>
      </w:r>
    </w:p>
  </w:endnote>
  <w:endnote w:type="continuationSeparator" w:id="0">
    <w:p w14:paraId="7F115DDE" w14:textId="77777777" w:rsidR="00AE39AA" w:rsidRDefault="00AE39AA" w:rsidP="000E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EE2E" w14:textId="77777777" w:rsidR="00AE39AA" w:rsidRPr="009D2A5B" w:rsidRDefault="00AE39AA" w:rsidP="006A4157">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8767B">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AEBF" w14:textId="77777777" w:rsidR="00AE39AA" w:rsidRPr="009D2A5B" w:rsidRDefault="00AE39AA" w:rsidP="006A4157">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36186">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5B56" w14:textId="77777777" w:rsidR="00871279" w:rsidRPr="00286FAC" w:rsidRDefault="00871279" w:rsidP="00871279">
      <w:pPr>
        <w:tabs>
          <w:tab w:val="right" w:pos="2155"/>
        </w:tabs>
        <w:spacing w:after="80"/>
        <w:ind w:left="680"/>
        <w:rPr>
          <w:u w:val="single"/>
        </w:rPr>
      </w:pPr>
      <w:r>
        <w:rPr>
          <w:u w:val="single"/>
        </w:rPr>
        <w:tab/>
      </w:r>
    </w:p>
  </w:footnote>
  <w:footnote w:type="continuationSeparator" w:id="0">
    <w:p w14:paraId="5226F36F" w14:textId="77777777" w:rsidR="00AE39AA" w:rsidRDefault="00AE39AA" w:rsidP="000E3282">
      <w:pPr>
        <w:spacing w:line="240" w:lineRule="auto"/>
      </w:pPr>
      <w:r>
        <w:continuationSeparator/>
      </w:r>
    </w:p>
  </w:footnote>
  <w:footnote w:id="1">
    <w:p w14:paraId="25D36633" w14:textId="11F2684E" w:rsidR="003D29E1" w:rsidRPr="003D29E1" w:rsidRDefault="003D29E1">
      <w:pPr>
        <w:pStyle w:val="FootnoteText"/>
        <w:rPr>
          <w:lang w:val="fr-CH"/>
        </w:rPr>
      </w:pPr>
      <w:r>
        <w:tab/>
      </w:r>
      <w:r>
        <w:tab/>
      </w:r>
      <w:r>
        <w:rPr>
          <w:rStyle w:val="FootnoteReference"/>
        </w:rPr>
        <w:t>*</w:t>
      </w:r>
      <w:r>
        <w:t xml:space="preserve"> </w:t>
      </w:r>
      <w:r>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4386" w14:textId="67AC477B" w:rsidR="00AE39AA" w:rsidRPr="00023445" w:rsidRDefault="00E3315D" w:rsidP="006A4157">
    <w:pPr>
      <w:pStyle w:val="Header"/>
      <w:rPr>
        <w:szCs w:val="18"/>
      </w:rPr>
    </w:pPr>
    <w:r>
      <w:rPr>
        <w:szCs w:val="18"/>
      </w:rPr>
      <w:t>ST/SG/AC.10/C.3/201</w:t>
    </w:r>
    <w:r w:rsidR="00D824E6">
      <w:rPr>
        <w:szCs w:val="18"/>
      </w:rPr>
      <w:t>9</w:t>
    </w:r>
    <w:r>
      <w:rPr>
        <w:szCs w:val="18"/>
      </w:rPr>
      <w:t>/</w:t>
    </w:r>
    <w:r w:rsidR="00D824E6">
      <w:rPr>
        <w:szCs w:val="18"/>
      </w:rPr>
      <w:t>2</w:t>
    </w:r>
    <w:r w:rsidR="003D29E1">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71A3" w14:textId="77777777" w:rsidR="00AE39AA" w:rsidRPr="00023445" w:rsidRDefault="00925F3C" w:rsidP="006A4157">
    <w:pPr>
      <w:pStyle w:val="Header"/>
      <w:jc w:val="right"/>
      <w:rPr>
        <w:szCs w:val="18"/>
      </w:rPr>
    </w:pPr>
    <w:r>
      <w:rPr>
        <w:szCs w:val="18"/>
      </w:rPr>
      <w:t>ST/SG/AC.10/C.3/201</w:t>
    </w:r>
    <w:r w:rsidR="00D824E6">
      <w:rPr>
        <w:szCs w:val="18"/>
      </w:rPr>
      <w:t>9</w:t>
    </w:r>
    <w:r>
      <w:rPr>
        <w:szCs w:val="18"/>
      </w:rPr>
      <w:t>/</w:t>
    </w:r>
    <w:r w:rsidR="00D824E6">
      <w:rPr>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5789"/>
    <w:multiLevelType w:val="hybridMultilevel"/>
    <w:tmpl w:val="991A2674"/>
    <w:lvl w:ilvl="0" w:tplc="75B2B398">
      <w:start w:val="1"/>
      <w:numFmt w:val="decimal"/>
      <w:lvlText w:val="%1."/>
      <w:lvlJc w:val="left"/>
      <w:pPr>
        <w:ind w:left="1704" w:hanging="57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C797F79"/>
    <w:multiLevelType w:val="hybridMultilevel"/>
    <w:tmpl w:val="53F2D580"/>
    <w:lvl w:ilvl="0" w:tplc="52DC28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11C760C"/>
    <w:multiLevelType w:val="multilevel"/>
    <w:tmpl w:val="07C6A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37742"/>
    <w:multiLevelType w:val="hybridMultilevel"/>
    <w:tmpl w:val="A404A4FA"/>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9D21710"/>
    <w:multiLevelType w:val="hybridMultilevel"/>
    <w:tmpl w:val="E1D0966A"/>
    <w:lvl w:ilvl="0" w:tplc="913403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31827A79"/>
    <w:multiLevelType w:val="hybridMultilevel"/>
    <w:tmpl w:val="B2F860F8"/>
    <w:lvl w:ilvl="0" w:tplc="1840D8EE">
      <w:start w:val="1"/>
      <w:numFmt w:val="lowerRoman"/>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4E415BFB"/>
    <w:multiLevelType w:val="hybridMultilevel"/>
    <w:tmpl w:val="E084D0C6"/>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23F8F"/>
    <w:multiLevelType w:val="hybridMultilevel"/>
    <w:tmpl w:val="7D78F03A"/>
    <w:lvl w:ilvl="0" w:tplc="A7362B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7F5D6FEB"/>
    <w:multiLevelType w:val="hybridMultilevel"/>
    <w:tmpl w:val="F6D8623A"/>
    <w:lvl w:ilvl="0" w:tplc="9D72947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evenAndOddHeaders/>
  <w:characterSpacingControl w:val="doNotCompress"/>
  <w:hdrShapeDefaults>
    <o:shapedefaults v:ext="edit" spidmax="36865"/>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82"/>
    <w:rsid w:val="00014003"/>
    <w:rsid w:val="0004307F"/>
    <w:rsid w:val="00050EC5"/>
    <w:rsid w:val="00051450"/>
    <w:rsid w:val="00070E80"/>
    <w:rsid w:val="00074621"/>
    <w:rsid w:val="000804D0"/>
    <w:rsid w:val="000B0540"/>
    <w:rsid w:val="000B22F0"/>
    <w:rsid w:val="000C1826"/>
    <w:rsid w:val="000C2811"/>
    <w:rsid w:val="000D69B7"/>
    <w:rsid w:val="000E0715"/>
    <w:rsid w:val="000E3282"/>
    <w:rsid w:val="00102FD5"/>
    <w:rsid w:val="00162D0E"/>
    <w:rsid w:val="00164B5A"/>
    <w:rsid w:val="0018790F"/>
    <w:rsid w:val="0019036A"/>
    <w:rsid w:val="001C5E82"/>
    <w:rsid w:val="001D715A"/>
    <w:rsid w:val="00245363"/>
    <w:rsid w:val="00260844"/>
    <w:rsid w:val="002844F4"/>
    <w:rsid w:val="002B35A0"/>
    <w:rsid w:val="002C71C7"/>
    <w:rsid w:val="002D6B30"/>
    <w:rsid w:val="002E2A31"/>
    <w:rsid w:val="002F7032"/>
    <w:rsid w:val="00325762"/>
    <w:rsid w:val="00325C94"/>
    <w:rsid w:val="003308AB"/>
    <w:rsid w:val="0034044D"/>
    <w:rsid w:val="00371763"/>
    <w:rsid w:val="003D0986"/>
    <w:rsid w:val="003D29E1"/>
    <w:rsid w:val="003D3528"/>
    <w:rsid w:val="003E61D4"/>
    <w:rsid w:val="003F6938"/>
    <w:rsid w:val="0040145C"/>
    <w:rsid w:val="00405FA3"/>
    <w:rsid w:val="004319F1"/>
    <w:rsid w:val="00435132"/>
    <w:rsid w:val="004652BC"/>
    <w:rsid w:val="004839E7"/>
    <w:rsid w:val="004970E8"/>
    <w:rsid w:val="00506271"/>
    <w:rsid w:val="00510E61"/>
    <w:rsid w:val="00530758"/>
    <w:rsid w:val="005340D1"/>
    <w:rsid w:val="00536643"/>
    <w:rsid w:val="00537050"/>
    <w:rsid w:val="00545396"/>
    <w:rsid w:val="00551732"/>
    <w:rsid w:val="00557530"/>
    <w:rsid w:val="0056479F"/>
    <w:rsid w:val="0059512D"/>
    <w:rsid w:val="005B3F8F"/>
    <w:rsid w:val="005B4B5F"/>
    <w:rsid w:val="005E4A43"/>
    <w:rsid w:val="006012E5"/>
    <w:rsid w:val="00615876"/>
    <w:rsid w:val="00617AE3"/>
    <w:rsid w:val="0062747C"/>
    <w:rsid w:val="00642A94"/>
    <w:rsid w:val="00656D00"/>
    <w:rsid w:val="00672084"/>
    <w:rsid w:val="00682C59"/>
    <w:rsid w:val="006976E0"/>
    <w:rsid w:val="006A4157"/>
    <w:rsid w:val="006E144E"/>
    <w:rsid w:val="006E6D9F"/>
    <w:rsid w:val="0077478A"/>
    <w:rsid w:val="00797469"/>
    <w:rsid w:val="007A220B"/>
    <w:rsid w:val="007B3F99"/>
    <w:rsid w:val="007B5983"/>
    <w:rsid w:val="007F403A"/>
    <w:rsid w:val="007F6F85"/>
    <w:rsid w:val="00810A43"/>
    <w:rsid w:val="00820BCC"/>
    <w:rsid w:val="00846E0A"/>
    <w:rsid w:val="00856249"/>
    <w:rsid w:val="00866FE1"/>
    <w:rsid w:val="00871279"/>
    <w:rsid w:val="0087578A"/>
    <w:rsid w:val="008843CF"/>
    <w:rsid w:val="008D3238"/>
    <w:rsid w:val="008E324E"/>
    <w:rsid w:val="008E4FBD"/>
    <w:rsid w:val="008E7D90"/>
    <w:rsid w:val="009153E9"/>
    <w:rsid w:val="00925E86"/>
    <w:rsid w:val="00925F3C"/>
    <w:rsid w:val="009278F3"/>
    <w:rsid w:val="00936186"/>
    <w:rsid w:val="00942C71"/>
    <w:rsid w:val="00947D76"/>
    <w:rsid w:val="00954E65"/>
    <w:rsid w:val="00955697"/>
    <w:rsid w:val="00955F6B"/>
    <w:rsid w:val="009702B5"/>
    <w:rsid w:val="009A45C7"/>
    <w:rsid w:val="009C7E4E"/>
    <w:rsid w:val="009D05A2"/>
    <w:rsid w:val="009D1CB0"/>
    <w:rsid w:val="009D5EEC"/>
    <w:rsid w:val="009E29CB"/>
    <w:rsid w:val="009F105E"/>
    <w:rsid w:val="00A17E18"/>
    <w:rsid w:val="00A21607"/>
    <w:rsid w:val="00A277C7"/>
    <w:rsid w:val="00A340F5"/>
    <w:rsid w:val="00A5753F"/>
    <w:rsid w:val="00AB575D"/>
    <w:rsid w:val="00AD21A7"/>
    <w:rsid w:val="00AE39AA"/>
    <w:rsid w:val="00AF45B7"/>
    <w:rsid w:val="00B10A0E"/>
    <w:rsid w:val="00BD2812"/>
    <w:rsid w:val="00C26505"/>
    <w:rsid w:val="00C629C6"/>
    <w:rsid w:val="00C82F5D"/>
    <w:rsid w:val="00C86756"/>
    <w:rsid w:val="00CA67EA"/>
    <w:rsid w:val="00CD0AA8"/>
    <w:rsid w:val="00CE3334"/>
    <w:rsid w:val="00CE7F03"/>
    <w:rsid w:val="00D05F0F"/>
    <w:rsid w:val="00D16481"/>
    <w:rsid w:val="00D2485B"/>
    <w:rsid w:val="00D25C03"/>
    <w:rsid w:val="00D71456"/>
    <w:rsid w:val="00D7564E"/>
    <w:rsid w:val="00D7689C"/>
    <w:rsid w:val="00D824E6"/>
    <w:rsid w:val="00D86AFA"/>
    <w:rsid w:val="00D8767B"/>
    <w:rsid w:val="00D96584"/>
    <w:rsid w:val="00DA51E9"/>
    <w:rsid w:val="00DB656E"/>
    <w:rsid w:val="00DD457F"/>
    <w:rsid w:val="00E230B0"/>
    <w:rsid w:val="00E3315D"/>
    <w:rsid w:val="00E3743D"/>
    <w:rsid w:val="00E55888"/>
    <w:rsid w:val="00E614BC"/>
    <w:rsid w:val="00E61BF5"/>
    <w:rsid w:val="00E9506B"/>
    <w:rsid w:val="00EB3A62"/>
    <w:rsid w:val="00EE684F"/>
    <w:rsid w:val="00F31155"/>
    <w:rsid w:val="00F36E7B"/>
    <w:rsid w:val="00F4392D"/>
    <w:rsid w:val="00F865E9"/>
    <w:rsid w:val="00F86CB0"/>
    <w:rsid w:val="00FC5146"/>
    <w:rsid w:val="00FC54A2"/>
    <w:rsid w:val="00FD2ACA"/>
    <w:rsid w:val="00FD44F1"/>
    <w:rsid w:val="00FE5040"/>
    <w:rsid w:val="00FE550B"/>
    <w:rsid w:val="00FF0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FCB374"/>
  <w15:chartTrackingRefBased/>
  <w15:docId w15:val="{9EED0874-6DC7-4BCF-9352-792B0EC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82"/>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0E3282"/>
    <w:pPr>
      <w:keepNext/>
      <w:keepLines/>
      <w:tabs>
        <w:tab w:val="right" w:pos="851"/>
      </w:tabs>
      <w:spacing w:before="360" w:after="240" w:line="300" w:lineRule="exact"/>
      <w:ind w:left="1134" w:right="1134" w:hanging="1134"/>
    </w:pPr>
    <w:rPr>
      <w:b/>
      <w:sz w:val="28"/>
      <w:lang w:eastAsia="x-none"/>
    </w:rPr>
  </w:style>
  <w:style w:type="paragraph" w:customStyle="1" w:styleId="SingleTxtG">
    <w:name w:val="_ Single Txt_G"/>
    <w:basedOn w:val="Normal"/>
    <w:link w:val="SingleTxtGChar"/>
    <w:qFormat/>
    <w:rsid w:val="000E3282"/>
    <w:pPr>
      <w:spacing w:after="120"/>
      <w:ind w:left="1134" w:right="1134"/>
      <w:jc w:val="both"/>
    </w:pPr>
  </w:style>
  <w:style w:type="character" w:styleId="FootnoteReference">
    <w:name w:val="footnote reference"/>
    <w:aliases w:val="4_G,Footnote Reference/"/>
    <w:rsid w:val="000E3282"/>
    <w:rPr>
      <w:rFonts w:ascii="Times New Roman" w:hAnsi="Times New Roman"/>
      <w:sz w:val="18"/>
      <w:vertAlign w:val="superscript"/>
    </w:rPr>
  </w:style>
  <w:style w:type="paragraph" w:styleId="FootnoteText">
    <w:name w:val="footnote text"/>
    <w:aliases w:val="5_G"/>
    <w:basedOn w:val="Normal"/>
    <w:link w:val="FootnoteTextChar"/>
    <w:rsid w:val="000E3282"/>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0E3282"/>
    <w:rPr>
      <w:rFonts w:ascii="Times New Roman" w:eastAsia="Times New Roman" w:hAnsi="Times New Roman" w:cs="Times New Roman"/>
      <w:sz w:val="18"/>
      <w:szCs w:val="20"/>
      <w:lang w:val="x-none"/>
    </w:rPr>
  </w:style>
  <w:style w:type="paragraph" w:customStyle="1" w:styleId="H1G">
    <w:name w:val="_ H_1_G"/>
    <w:basedOn w:val="Normal"/>
    <w:next w:val="Normal"/>
    <w:link w:val="H1GChar"/>
    <w:rsid w:val="000E3282"/>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0E3282"/>
    <w:pPr>
      <w:spacing w:line="240" w:lineRule="auto"/>
    </w:pPr>
    <w:rPr>
      <w:sz w:val="16"/>
    </w:rPr>
  </w:style>
  <w:style w:type="character" w:customStyle="1" w:styleId="FooterChar">
    <w:name w:val="Footer Char"/>
    <w:aliases w:val="3_G Char"/>
    <w:basedOn w:val="DefaultParagraphFont"/>
    <w:link w:val="Footer"/>
    <w:rsid w:val="000E3282"/>
    <w:rPr>
      <w:rFonts w:ascii="Times New Roman" w:eastAsia="Times New Roman" w:hAnsi="Times New Roman" w:cs="Times New Roman"/>
      <w:sz w:val="16"/>
      <w:szCs w:val="20"/>
      <w:lang w:val="en-GB"/>
    </w:rPr>
  </w:style>
  <w:style w:type="paragraph" w:styleId="Header">
    <w:name w:val="header"/>
    <w:aliases w:val="6_G"/>
    <w:basedOn w:val="Normal"/>
    <w:link w:val="HeaderChar"/>
    <w:rsid w:val="000E328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E3282"/>
    <w:rPr>
      <w:rFonts w:ascii="Times New Roman" w:eastAsia="Times New Roman" w:hAnsi="Times New Roman" w:cs="Times New Roman"/>
      <w:b/>
      <w:sz w:val="18"/>
      <w:szCs w:val="20"/>
      <w:lang w:val="en-GB"/>
    </w:rPr>
  </w:style>
  <w:style w:type="character" w:customStyle="1" w:styleId="H1GChar">
    <w:name w:val="_ H_1_G Char"/>
    <w:link w:val="H1G"/>
    <w:rsid w:val="000E3282"/>
    <w:rPr>
      <w:rFonts w:ascii="Times New Roman" w:eastAsia="Times New Roman" w:hAnsi="Times New Roman" w:cs="Times New Roman"/>
      <w:b/>
      <w:sz w:val="24"/>
      <w:szCs w:val="20"/>
      <w:lang w:val="en-GB"/>
    </w:rPr>
  </w:style>
  <w:style w:type="character" w:customStyle="1" w:styleId="HChGChar">
    <w:name w:val="_ H _Ch_G Char"/>
    <w:link w:val="HChG"/>
    <w:locked/>
    <w:rsid w:val="000E3282"/>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AF45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B7"/>
    <w:rPr>
      <w:rFonts w:ascii="Segoe UI" w:eastAsia="Times New Roman" w:hAnsi="Segoe UI" w:cs="Segoe UI"/>
      <w:sz w:val="18"/>
      <w:szCs w:val="18"/>
      <w:lang w:val="en-GB"/>
    </w:rPr>
  </w:style>
  <w:style w:type="table" w:styleId="TableGrid">
    <w:name w:val="Table Grid"/>
    <w:basedOn w:val="TableNormal"/>
    <w:uiPriority w:val="39"/>
    <w:rsid w:val="000D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7F03"/>
    <w:rPr>
      <w:sz w:val="6"/>
    </w:rPr>
  </w:style>
  <w:style w:type="paragraph" w:styleId="CommentText">
    <w:name w:val="annotation text"/>
    <w:basedOn w:val="Normal"/>
    <w:link w:val="CommentTextChar"/>
    <w:rsid w:val="00CE7F03"/>
    <w:rPr>
      <w:rFonts w:eastAsia="SimSun"/>
      <w:lang w:eastAsia="x-none"/>
    </w:rPr>
  </w:style>
  <w:style w:type="character" w:customStyle="1" w:styleId="CommentTextChar">
    <w:name w:val="Comment Text Char"/>
    <w:basedOn w:val="DefaultParagraphFont"/>
    <w:link w:val="CommentText"/>
    <w:rsid w:val="00CE7F03"/>
    <w:rPr>
      <w:rFonts w:ascii="Times New Roman" w:eastAsia="SimSun" w:hAnsi="Times New Roman" w:cs="Times New Roman"/>
      <w:sz w:val="20"/>
      <w:szCs w:val="20"/>
      <w:lang w:val="en-GB" w:eastAsia="x-none"/>
    </w:rPr>
  </w:style>
  <w:style w:type="character" w:customStyle="1" w:styleId="SingleTxtGChar">
    <w:name w:val="_ Single Txt_G Char"/>
    <w:link w:val="SingleTxtG"/>
    <w:qFormat/>
    <w:locked/>
    <w:rsid w:val="00CE7F0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0959">
      <w:bodyDiv w:val="1"/>
      <w:marLeft w:val="0"/>
      <w:marRight w:val="0"/>
      <w:marTop w:val="0"/>
      <w:marBottom w:val="0"/>
      <w:divBdr>
        <w:top w:val="none" w:sz="0" w:space="0" w:color="auto"/>
        <w:left w:val="none" w:sz="0" w:space="0" w:color="auto"/>
        <w:bottom w:val="none" w:sz="0" w:space="0" w:color="auto"/>
        <w:right w:val="none" w:sz="0" w:space="0" w:color="auto"/>
      </w:divBdr>
    </w:div>
    <w:div w:id="709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C546-4819-4FED-9E23-82DAABA6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783</Words>
  <Characters>4466</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Kerchner, George</dc:creator>
  <cp:keywords/>
  <dc:description/>
  <cp:lastModifiedBy>Laurence Berthet</cp:lastModifiedBy>
  <cp:revision>15</cp:revision>
  <cp:lastPrinted>2019-04-09T09:09:00Z</cp:lastPrinted>
  <dcterms:created xsi:type="dcterms:W3CDTF">2019-04-05T12:27:00Z</dcterms:created>
  <dcterms:modified xsi:type="dcterms:W3CDTF">2019-04-09T09:09:00Z</dcterms:modified>
</cp:coreProperties>
</file>