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EA06C3" w:rsidRPr="00471D64" w14:paraId="367741FE" w14:textId="77777777" w:rsidTr="00D76673">
        <w:trPr>
          <w:trHeight w:val="851"/>
        </w:trPr>
        <w:tc>
          <w:tcPr>
            <w:tcW w:w="1260" w:type="dxa"/>
            <w:tcBorders>
              <w:top w:val="nil"/>
              <w:left w:val="nil"/>
              <w:bottom w:val="single" w:sz="4" w:space="0" w:color="auto"/>
              <w:right w:val="nil"/>
            </w:tcBorders>
          </w:tcPr>
          <w:p w14:paraId="09FE534C" w14:textId="77777777" w:rsidR="00EA06C3" w:rsidRDefault="00EA06C3" w:rsidP="00EA06C3">
            <w:pPr>
              <w:spacing w:after="80" w:line="340" w:lineRule="exact"/>
            </w:pPr>
          </w:p>
        </w:tc>
        <w:tc>
          <w:tcPr>
            <w:tcW w:w="2237" w:type="dxa"/>
            <w:tcBorders>
              <w:top w:val="nil"/>
              <w:left w:val="nil"/>
              <w:bottom w:val="single" w:sz="4" w:space="0" w:color="auto"/>
              <w:right w:val="nil"/>
            </w:tcBorders>
            <w:vAlign w:val="bottom"/>
            <w:hideMark/>
          </w:tcPr>
          <w:p w14:paraId="7CCE40EE" w14:textId="77777777" w:rsidR="00EA06C3" w:rsidRDefault="00EA06C3" w:rsidP="00EA06C3">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14:paraId="0F9DDEC1" w14:textId="77777777" w:rsidR="00EA06C3" w:rsidRDefault="00EA06C3" w:rsidP="006B5CA3">
            <w:pPr>
              <w:suppressAutoHyphens w:val="0"/>
              <w:spacing w:after="20"/>
              <w:jc w:val="right"/>
            </w:pPr>
            <w:r>
              <w:rPr>
                <w:sz w:val="40"/>
                <w:lang w:eastAsia="en-GB"/>
              </w:rPr>
              <w:t>ST</w:t>
            </w:r>
            <w:r w:rsidR="00837843">
              <w:rPr>
                <w:lang w:eastAsia="en-GB"/>
              </w:rPr>
              <w:t>/SG/AC.10/C.3/2019</w:t>
            </w:r>
            <w:r>
              <w:rPr>
                <w:lang w:eastAsia="en-GB"/>
              </w:rPr>
              <w:t>/</w:t>
            </w:r>
            <w:r w:rsidR="00BC2610">
              <w:rPr>
                <w:lang w:eastAsia="en-GB"/>
              </w:rPr>
              <w:t>11</w:t>
            </w:r>
          </w:p>
        </w:tc>
      </w:tr>
      <w:tr w:rsidR="005E0F7B" w:rsidRPr="005E0F7B" w14:paraId="07C7CF4E" w14:textId="77777777" w:rsidTr="00D76673">
        <w:trPr>
          <w:trHeight w:val="2835"/>
        </w:trPr>
        <w:tc>
          <w:tcPr>
            <w:tcW w:w="1260" w:type="dxa"/>
            <w:tcBorders>
              <w:top w:val="single" w:sz="4" w:space="0" w:color="auto"/>
              <w:left w:val="nil"/>
              <w:bottom w:val="single" w:sz="12" w:space="0" w:color="auto"/>
              <w:right w:val="nil"/>
            </w:tcBorders>
            <w:hideMark/>
          </w:tcPr>
          <w:p w14:paraId="182B89BD" w14:textId="77777777" w:rsidR="005E0F7B" w:rsidRDefault="00FD21A9">
            <w:pPr>
              <w:spacing w:before="120"/>
              <w:jc w:val="center"/>
            </w:pPr>
            <w:r>
              <w:rPr>
                <w:noProof/>
                <w:lang w:val="en-US"/>
              </w:rPr>
              <w:drawing>
                <wp:inline distT="0" distB="0" distL="0" distR="0" wp14:anchorId="1E1C9637" wp14:editId="49BB8E7A">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14:paraId="594FD0AE" w14:textId="77777777"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14:paraId="660585D1" w14:textId="77777777" w:rsidR="005E0F7B" w:rsidRDefault="005E0F7B">
            <w:pPr>
              <w:suppressAutoHyphens w:val="0"/>
              <w:spacing w:before="240" w:line="240" w:lineRule="exact"/>
            </w:pPr>
            <w:r>
              <w:t>Distr.: General</w:t>
            </w:r>
          </w:p>
          <w:p w14:paraId="7CEB7E43" w14:textId="77777777" w:rsidR="005E0F7B" w:rsidRPr="005C67A3" w:rsidRDefault="008A6991">
            <w:pPr>
              <w:suppressAutoHyphens w:val="0"/>
            </w:pPr>
            <w:r>
              <w:t>3</w:t>
            </w:r>
            <w:r w:rsidR="009043FC">
              <w:t xml:space="preserve"> </w:t>
            </w:r>
            <w:r w:rsidR="00216D41">
              <w:t>April</w:t>
            </w:r>
            <w:r w:rsidR="00184294">
              <w:t xml:space="preserve"> </w:t>
            </w:r>
            <w:r w:rsidR="006B5CA3">
              <w:t>2019</w:t>
            </w:r>
          </w:p>
          <w:p w14:paraId="7157BA49" w14:textId="77777777" w:rsidR="005E0F7B" w:rsidRDefault="005E0F7B">
            <w:pPr>
              <w:suppressAutoHyphens w:val="0"/>
            </w:pPr>
          </w:p>
          <w:p w14:paraId="4D927CBA" w14:textId="77777777" w:rsidR="005E0F7B" w:rsidRDefault="005E0F7B">
            <w:pPr>
              <w:suppressAutoHyphens w:val="0"/>
            </w:pPr>
            <w:r>
              <w:t>Original: English</w:t>
            </w:r>
          </w:p>
        </w:tc>
      </w:tr>
    </w:tbl>
    <w:p w14:paraId="17688DC0" w14:textId="77777777"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14:paraId="2112AAE3" w14:textId="77777777" w:rsidR="00D76673" w:rsidRPr="00D76673" w:rsidRDefault="00D76673" w:rsidP="00D76673">
      <w:pPr>
        <w:spacing w:before="120"/>
        <w:rPr>
          <w:b/>
        </w:rPr>
      </w:pPr>
      <w:r w:rsidRPr="00D76673">
        <w:rPr>
          <w:b/>
        </w:rPr>
        <w:t>Sub-Committee of Experts on the Transport of Dangerous Goods</w:t>
      </w:r>
    </w:p>
    <w:p w14:paraId="6432796A" w14:textId="77777777" w:rsidR="00AC2113" w:rsidRPr="00432930" w:rsidRDefault="00AC2113" w:rsidP="00AC2113">
      <w:pPr>
        <w:spacing w:before="120"/>
        <w:rPr>
          <w:b/>
        </w:rPr>
      </w:pPr>
      <w:r>
        <w:rPr>
          <w:b/>
        </w:rPr>
        <w:t>Fifty-fifth session</w:t>
      </w:r>
    </w:p>
    <w:p w14:paraId="7F68C520" w14:textId="77777777" w:rsidR="00AC2113" w:rsidRPr="00BC2610" w:rsidRDefault="00AC2113" w:rsidP="00BC2610">
      <w:pPr>
        <w:pStyle w:val="p1"/>
        <w:rPr>
          <w:b/>
          <w:bCs/>
          <w:sz w:val="20"/>
          <w:szCs w:val="20"/>
        </w:rPr>
      </w:pPr>
      <w:r w:rsidRPr="00BC2610">
        <w:rPr>
          <w:sz w:val="20"/>
          <w:szCs w:val="20"/>
        </w:rPr>
        <w:t>Geneva, 1-5 July 2019</w:t>
      </w:r>
      <w:r w:rsidRPr="00BC2610">
        <w:rPr>
          <w:sz w:val="20"/>
          <w:szCs w:val="20"/>
        </w:rPr>
        <w:br/>
        <w:t>Item 2</w:t>
      </w:r>
      <w:r w:rsidR="00BC2610">
        <w:rPr>
          <w:sz w:val="20"/>
          <w:szCs w:val="20"/>
        </w:rPr>
        <w:t xml:space="preserve"> (</w:t>
      </w:r>
      <w:r w:rsidRPr="00BC2610">
        <w:rPr>
          <w:sz w:val="20"/>
          <w:szCs w:val="20"/>
        </w:rPr>
        <w:t>a</w:t>
      </w:r>
      <w:r w:rsidR="00BC2610">
        <w:rPr>
          <w:sz w:val="20"/>
          <w:szCs w:val="20"/>
        </w:rPr>
        <w:t>)</w:t>
      </w:r>
      <w:r w:rsidRPr="00BC2610">
        <w:rPr>
          <w:sz w:val="20"/>
          <w:szCs w:val="20"/>
        </w:rPr>
        <w:t xml:space="preserve"> of the provisional agenda</w:t>
      </w:r>
      <w:r w:rsidRPr="00BC2610">
        <w:rPr>
          <w:sz w:val="20"/>
          <w:szCs w:val="20"/>
        </w:rPr>
        <w:br/>
      </w:r>
      <w:r w:rsidRPr="00BC2610">
        <w:rPr>
          <w:b/>
          <w:bCs/>
          <w:sz w:val="20"/>
          <w:szCs w:val="20"/>
        </w:rPr>
        <w:t>Explosives and related matters:</w:t>
      </w:r>
      <w:r w:rsidR="00BC2610" w:rsidRPr="00BC2610">
        <w:rPr>
          <w:b/>
          <w:bCs/>
          <w:sz w:val="20"/>
          <w:szCs w:val="20"/>
        </w:rPr>
        <w:t xml:space="preserve"> r</w:t>
      </w:r>
      <w:r w:rsidRPr="00BC2610">
        <w:rPr>
          <w:b/>
          <w:bCs/>
          <w:sz w:val="20"/>
          <w:szCs w:val="20"/>
        </w:rPr>
        <w:t>eview of test series 6</w:t>
      </w:r>
    </w:p>
    <w:p w14:paraId="715F52DC" w14:textId="77777777" w:rsidR="00AC2113" w:rsidRDefault="00AC2113" w:rsidP="00AC2113">
      <w:pPr>
        <w:pStyle w:val="HChG"/>
      </w:pPr>
      <w:r>
        <w:tab/>
      </w:r>
      <w:r>
        <w:tab/>
        <w:t xml:space="preserve">Review of the </w:t>
      </w:r>
      <w:r w:rsidR="008A6991">
        <w:t>c</w:t>
      </w:r>
      <w:r>
        <w:t>riteria of Test 6 (d)</w:t>
      </w:r>
    </w:p>
    <w:p w14:paraId="70FAB409" w14:textId="77777777" w:rsidR="00AC2113" w:rsidRDefault="00AC2113" w:rsidP="00AC2113">
      <w:pPr>
        <w:pStyle w:val="H1G"/>
      </w:pPr>
      <w:r>
        <w:tab/>
      </w:r>
      <w:r>
        <w:tab/>
        <w:t>Transmitted by the Sporting Arms &amp; Ammunition Manufacturers’ Institute (SAAMI)</w:t>
      </w:r>
      <w:r w:rsidR="00C3527B">
        <w:rPr>
          <w:rStyle w:val="FootnoteReference"/>
        </w:rPr>
        <w:footnoteReference w:customMarkFollows="1" w:id="2"/>
        <w:t>*</w:t>
      </w:r>
    </w:p>
    <w:p w14:paraId="5CD9AFAF" w14:textId="77777777" w:rsidR="00AC2113" w:rsidRPr="001649AD" w:rsidRDefault="00AC2113" w:rsidP="00AC2113">
      <w:pPr>
        <w:pStyle w:val="HChG"/>
      </w:pPr>
      <w:r>
        <w:tab/>
      </w:r>
      <w:r>
        <w:tab/>
      </w:r>
      <w:r w:rsidRPr="001649AD">
        <w:t>Introduction</w:t>
      </w:r>
    </w:p>
    <w:p w14:paraId="2635B480" w14:textId="77777777" w:rsidR="00AC2113" w:rsidRPr="00BC2610" w:rsidRDefault="00AC2113" w:rsidP="00190553">
      <w:pPr>
        <w:pStyle w:val="SingleTxtG"/>
        <w:numPr>
          <w:ilvl w:val="0"/>
          <w:numId w:val="27"/>
        </w:numPr>
        <w:spacing w:after="80"/>
        <w:ind w:left="1134" w:firstLine="0"/>
      </w:pPr>
      <w:r w:rsidRPr="00BC2610">
        <w:t xml:space="preserve">Test 6 (d), called the unconfined package test, evaluates a single package of explosives to determine if any hazardous effects arising from accidental functioning are confined within the package unless the package has been degraded by fire, in conformance with the definition of </w:t>
      </w:r>
      <w:r w:rsidR="008A6991">
        <w:t>c</w:t>
      </w:r>
      <w:r w:rsidRPr="00BC2610">
        <w:t xml:space="preserve">ompatibility </w:t>
      </w:r>
      <w:r w:rsidR="008A6991">
        <w:t>g</w:t>
      </w:r>
      <w:r w:rsidRPr="00BC2610">
        <w:t xml:space="preserve">roup S of Division 1.4. </w:t>
      </w:r>
    </w:p>
    <w:p w14:paraId="755A69DD" w14:textId="77777777" w:rsidR="00AC2113" w:rsidRPr="00BC2610" w:rsidRDefault="00AC2113" w:rsidP="00190553">
      <w:pPr>
        <w:pStyle w:val="SingleTxtG"/>
        <w:numPr>
          <w:ilvl w:val="0"/>
          <w:numId w:val="27"/>
        </w:numPr>
        <w:spacing w:after="80"/>
        <w:ind w:left="1134" w:firstLine="0"/>
      </w:pPr>
      <w:r w:rsidRPr="00BC2610">
        <w:t>Since its adoption in 2008, Test 6 (d) has been welcomed internationally as a method to assess effects of explosives while still in their package. Unlike other tests in Series 6, the 6 (d) test results are not obscured by confining material or external fire and smoke. It also requires a minimal amount of explosive material and set-up to perform the test. These facts have made the test useful beyond its official purpose of evaluating the suitability of explosives for classification as 1.4S. This test has also been used to make observations for any purpose, or in lieu of Test 6 (a) because Test 6 (d) is easier to perform, or for excluding explosives from Class 1 using the alternate criteria in the Model Regulations</w:t>
      </w:r>
      <w:r w:rsidR="00190553">
        <w:t>, section </w:t>
      </w:r>
      <w:r w:rsidRPr="00BC2610">
        <w:t>2.1.3.6.4. It would not be surprising for additional uses to be proposed in the future.</w:t>
      </w:r>
    </w:p>
    <w:p w14:paraId="289C3B8C" w14:textId="77777777" w:rsidR="00AC2113" w:rsidRDefault="00AC2113" w:rsidP="00190553">
      <w:pPr>
        <w:pStyle w:val="SingleTxtG"/>
        <w:numPr>
          <w:ilvl w:val="0"/>
          <w:numId w:val="27"/>
        </w:numPr>
        <w:spacing w:after="80"/>
        <w:ind w:left="1134" w:firstLine="0"/>
      </w:pPr>
      <w:r>
        <w:t xml:space="preserve">Despite the above benefits, the test criteria do not align with the practice of experts who proposed the test, nor the 1.4S definition, and </w:t>
      </w:r>
      <w:proofErr w:type="gramStart"/>
      <w:r>
        <w:t>sufficient</w:t>
      </w:r>
      <w:proofErr w:type="gramEnd"/>
      <w:r>
        <w:t xml:space="preserve"> experience now exists which could be utilized to improve the criteria. Currently the test criteria create two different flavours of 1.4S, which was not the intent:</w:t>
      </w:r>
    </w:p>
    <w:p w14:paraId="0CA531DE" w14:textId="77777777" w:rsidR="00AC2113" w:rsidRDefault="00AC2113" w:rsidP="00190553">
      <w:pPr>
        <w:pStyle w:val="SingleTxtG"/>
        <w:numPr>
          <w:ilvl w:val="0"/>
          <w:numId w:val="28"/>
        </w:numPr>
        <w:spacing w:line="220" w:lineRule="atLeast"/>
        <w:ind w:left="2268" w:hanging="567"/>
      </w:pPr>
      <w:r w:rsidRPr="00BC2610">
        <w:lastRenderedPageBreak/>
        <w:t>creates</w:t>
      </w:r>
      <w:r>
        <w:t xml:space="preserve"> a double standard by overemphasizing differences in the two-part definition of </w:t>
      </w:r>
      <w:r w:rsidR="008A6991">
        <w:t>c</w:t>
      </w:r>
      <w:r>
        <w:t xml:space="preserve">ompatibility </w:t>
      </w:r>
      <w:r w:rsidR="008A6991">
        <w:t>g</w:t>
      </w:r>
      <w:r>
        <w:t>roup S:</w:t>
      </w:r>
    </w:p>
    <w:p w14:paraId="3876DA7B" w14:textId="77777777" w:rsidR="00AC2113" w:rsidRDefault="008A6991" w:rsidP="00190553">
      <w:pPr>
        <w:pStyle w:val="SingleTxtG"/>
        <w:spacing w:line="220" w:lineRule="atLeast"/>
        <w:ind w:left="2268"/>
      </w:pPr>
      <w:r>
        <w:t>(</w:t>
      </w:r>
      <w:proofErr w:type="spellStart"/>
      <w:r w:rsidR="00BC2610">
        <w:t>i</w:t>
      </w:r>
      <w:proofErr w:type="spellEnd"/>
      <w:r>
        <w:t>)</w:t>
      </w:r>
      <w:r w:rsidR="00BC2610">
        <w:tab/>
      </w:r>
      <w:r w:rsidR="00AC2113" w:rsidRPr="00BC2610">
        <w:t>Requiring</w:t>
      </w:r>
      <w:r w:rsidR="00AC2113">
        <w:t xml:space="preserve"> almost no effects outside the packaging when functioning the explosive, depending on the criteria, is more conservative than limiting </w:t>
      </w:r>
      <w:r w:rsidR="00AC2113" w:rsidRPr="00304648">
        <w:t xml:space="preserve">blast or projection effects </w:t>
      </w:r>
      <w:r w:rsidR="00AC2113">
        <w:t xml:space="preserve">so </w:t>
      </w:r>
      <w:r w:rsidR="00AC2113" w:rsidRPr="00304648">
        <w:t>they do not</w:t>
      </w:r>
      <w:r w:rsidR="00AC2113">
        <w:t xml:space="preserve"> </w:t>
      </w:r>
      <w:r w:rsidR="00AC2113" w:rsidRPr="00304648">
        <w:t>significantly hinder fire-fighting or other emergency response efforts in the immediate vicinity of the package</w:t>
      </w:r>
      <w:r w:rsidR="00AC2113">
        <w:t xml:space="preserve"> in a fire</w:t>
      </w:r>
      <w:r w:rsidR="00AC2113" w:rsidRPr="00304648">
        <w:t xml:space="preserve">. </w:t>
      </w:r>
    </w:p>
    <w:p w14:paraId="42A86970" w14:textId="77777777" w:rsidR="00AC2113" w:rsidRDefault="008A6991" w:rsidP="00190553">
      <w:pPr>
        <w:pStyle w:val="SingleTxtG"/>
        <w:spacing w:line="220" w:lineRule="atLeast"/>
        <w:ind w:left="2268"/>
      </w:pPr>
      <w:r>
        <w:t>(i</w:t>
      </w:r>
      <w:r w:rsidR="005C4E2C">
        <w:t>i</w:t>
      </w:r>
      <w:r>
        <w:t>)</w:t>
      </w:r>
      <w:r w:rsidR="005C4E2C">
        <w:tab/>
      </w:r>
      <w:r w:rsidR="00AC2113">
        <w:t xml:space="preserve">Perhaps a decision should be taken on whether it is really intended to require that accidental functioning is subject to more strict criteria than in a fire, or whether providing for the safety of emergency responders is the appropriate level of control. </w:t>
      </w:r>
      <w:r w:rsidR="00AC2113" w:rsidRPr="00BC2610">
        <w:t>We</w:t>
      </w:r>
      <w:r w:rsidR="00AC2113">
        <w:t xml:space="preserve"> bear in mind that there is no history of accidental functioning in transport motivating the adoption of this test, and that the 8 </w:t>
      </w:r>
      <w:r w:rsidR="00190553">
        <w:t>J</w:t>
      </w:r>
      <w:r w:rsidR="00AC2113">
        <w:t>oule projection criterion is already designed to protect bystanders, i.e. not only responders wearing personal protective equipment.</w:t>
      </w:r>
    </w:p>
    <w:p w14:paraId="51E1D5D6" w14:textId="77777777" w:rsidR="00AC2113" w:rsidRDefault="005C4E2C" w:rsidP="00190553">
      <w:pPr>
        <w:pStyle w:val="SingleTxtG"/>
        <w:spacing w:line="220" w:lineRule="atLeast"/>
        <w:ind w:left="1701"/>
      </w:pPr>
      <w:r>
        <w:tab/>
        <w:t>(b)</w:t>
      </w:r>
      <w:r>
        <w:tab/>
      </w:r>
      <w:r w:rsidR="00AC2113">
        <w:t xml:space="preserve">The </w:t>
      </w:r>
      <w:r w:rsidR="00AC2113" w:rsidRPr="005C4E2C">
        <w:t>test</w:t>
      </w:r>
      <w:r w:rsidR="00AC2113">
        <w:t xml:space="preserve"> is applied by special provision to less than 50% of the 1.4S entries on the dangerous goods list. Since the phrase “hazardous effects” has never been defined, the test criteria became the definition, and they are arguably too conservative in some cases, which would negatively impact many explosives, but presently only impact those to which the special provision is assigned.</w:t>
      </w:r>
    </w:p>
    <w:p w14:paraId="5FD55F03" w14:textId="77777777" w:rsidR="00AC2113" w:rsidRDefault="005C4E2C" w:rsidP="005C4E2C">
      <w:pPr>
        <w:pStyle w:val="SingleTxtG"/>
      </w:pPr>
      <w:r>
        <w:t>4.</w:t>
      </w:r>
      <w:r>
        <w:tab/>
      </w:r>
      <w:r w:rsidR="00AC2113">
        <w:t xml:space="preserve">SAAMI </w:t>
      </w:r>
      <w:r w:rsidR="00AC2113" w:rsidRPr="005C4E2C">
        <w:t>understands</w:t>
      </w:r>
      <w:r w:rsidR="00AC2113">
        <w:t xml:space="preserve"> that these test criteria are of broad interest within the Sub</w:t>
      </w:r>
      <w:r w:rsidR="008A6991">
        <w:noBreakHyphen/>
      </w:r>
      <w:r w:rsidR="00AC2113">
        <w:t>Committee, and that there is interest in reviewing them. We expect this proposal to facilitate discussion and further development. We re-propose the originally proposed criteria for this test to adopt criteria consistent with those in Tests 6 (a) and (c).</w:t>
      </w:r>
    </w:p>
    <w:p w14:paraId="17AAE1FD" w14:textId="77777777" w:rsidR="00AC2113" w:rsidRDefault="00AC2113" w:rsidP="00190553">
      <w:pPr>
        <w:pStyle w:val="HChG"/>
        <w:spacing w:before="240"/>
        <w:ind w:firstLine="0"/>
      </w:pPr>
      <w:r>
        <w:t xml:space="preserve">History of the 6 (d) </w:t>
      </w:r>
      <w:r w:rsidR="008A6991">
        <w:t>t</w:t>
      </w:r>
      <w:r>
        <w:t>est and its criteria</w:t>
      </w:r>
    </w:p>
    <w:p w14:paraId="11AC6FF8" w14:textId="77777777" w:rsidR="00AC2113" w:rsidRDefault="00AC2113" w:rsidP="00190553">
      <w:pPr>
        <w:pStyle w:val="SingleTxtG"/>
        <w:numPr>
          <w:ilvl w:val="0"/>
          <w:numId w:val="29"/>
        </w:numPr>
        <w:spacing w:after="100" w:line="220" w:lineRule="atLeast"/>
        <w:ind w:left="1134" w:firstLine="0"/>
      </w:pPr>
      <w:r>
        <w:t xml:space="preserve">Creation of the 6(d) </w:t>
      </w:r>
      <w:proofErr w:type="gramStart"/>
      <w:r w:rsidR="008A6991">
        <w:t>t</w:t>
      </w:r>
      <w:r>
        <w:t>est</w:t>
      </w:r>
      <w:proofErr w:type="gramEnd"/>
      <w:r>
        <w:t xml:space="preserve"> was motivated by occasional accidents in assembly operations of </w:t>
      </w:r>
      <w:r w:rsidRPr="005C4E2C">
        <w:t>shaped</w:t>
      </w:r>
      <w:r>
        <w:t xml:space="preserve"> charges (not in transport), and knowledge that certain explosives have a more severe reaction when functioning as intended than when subjected to fire.</w:t>
      </w:r>
      <w:r w:rsidR="00C3527B">
        <w:rPr>
          <w:rStyle w:val="FootnoteReference"/>
        </w:rPr>
        <w:footnoteReference w:customMarkFollows="1" w:id="3"/>
        <w:t>1</w:t>
      </w:r>
    </w:p>
    <w:p w14:paraId="1F503465" w14:textId="77777777" w:rsidR="00AC2113" w:rsidRDefault="00BC74C0" w:rsidP="00190553">
      <w:pPr>
        <w:pStyle w:val="SingleTxtG"/>
        <w:spacing w:after="100" w:line="220" w:lineRule="atLeast"/>
      </w:pPr>
      <w:r>
        <w:t>6.</w:t>
      </w:r>
      <w:r>
        <w:tab/>
      </w:r>
      <w:r w:rsidR="00AC2113">
        <w:t xml:space="preserve">We refer to </w:t>
      </w:r>
      <w:r w:rsidR="008A6991">
        <w:t xml:space="preserve">the </w:t>
      </w:r>
      <w:r w:rsidR="00AC2113">
        <w:t xml:space="preserve">original proposals </w:t>
      </w:r>
      <w:r w:rsidR="008A6991">
        <w:t xml:space="preserve">in </w:t>
      </w:r>
      <w:r w:rsidR="00AC2113" w:rsidRPr="00633A12">
        <w:t>ST/SG/AC.10/C.3/2006/62</w:t>
      </w:r>
      <w:r w:rsidR="00AC2113">
        <w:t xml:space="preserve"> and </w:t>
      </w:r>
      <w:r w:rsidR="00AC2113" w:rsidRPr="005318FB">
        <w:t>ST/SG/AC.10/C.3/</w:t>
      </w:r>
      <w:r w:rsidR="00AC2113" w:rsidRPr="00BC74C0">
        <w:t>2007</w:t>
      </w:r>
      <w:r w:rsidR="00AC2113" w:rsidRPr="005318FB">
        <w:t>/29</w:t>
      </w:r>
      <w:r w:rsidR="00AC2113">
        <w:t xml:space="preserve"> from Canada at the </w:t>
      </w:r>
      <w:r w:rsidR="008A6991">
        <w:t>twenty-ninth</w:t>
      </w:r>
      <w:r w:rsidR="00AC2113">
        <w:t xml:space="preserve"> and </w:t>
      </w:r>
      <w:r w:rsidR="008A6991">
        <w:t>thirty-first</w:t>
      </w:r>
      <w:r w:rsidR="00AC2113">
        <w:t xml:space="preserve"> sessions respectively. It was argued that the Model Regulations </w:t>
      </w:r>
      <w:r w:rsidR="008A6991">
        <w:t>(Rev.14)</w:t>
      </w:r>
      <w:r w:rsidR="00AC2113">
        <w:t xml:space="preserve"> classification of 1.4S relied</w:t>
      </w:r>
      <w:r w:rsidR="00AC2113" w:rsidRPr="00633A12">
        <w:t xml:space="preserve"> solely on the results of the 6(c) Test</w:t>
      </w:r>
      <w:r w:rsidR="00AC2113">
        <w:t>, which principally evaluates a package that has been degraded by fire, and no test covered that portion of the definition concerning accidental functioning when not subjected to fire. Canada stated</w:t>
      </w:r>
      <w:r w:rsidR="008A6991">
        <w:t xml:space="preserve"> in ST/SG/AC.10/C.3/2006/62 paras 6 and 7</w:t>
      </w:r>
      <w:r w:rsidR="00AC2113">
        <w:t>:</w:t>
      </w:r>
    </w:p>
    <w:p w14:paraId="62F6BC1D" w14:textId="77777777" w:rsidR="00AC2113" w:rsidRPr="00BB1DFD" w:rsidRDefault="00AC2113" w:rsidP="00190553">
      <w:pPr>
        <w:pStyle w:val="SingleTxtG"/>
        <w:spacing w:after="100" w:line="220" w:lineRule="atLeast"/>
        <w:ind w:left="1701"/>
      </w:pPr>
      <w:r>
        <w:t>“</w:t>
      </w:r>
      <w:r w:rsidRPr="00BB1DFD">
        <w:t>The portion of the definition for 1.4S, “any hazardous effects arising from accidental functioning are confined within the package”, is not addressed. The substance or the article is not initiated or ignited in a manner that could determine effects outside the package if the substance or article functioned as intended. There is a possibility that products classified as 1.4S based on behaviour in a fire may produce a hazardous effect when functioned. Examples are small amounts of detonating explosive which will burn in a fire but would detonate if initiated and would possibly produce hazardous effects outside the package</w:t>
      </w:r>
      <w:r w:rsidR="00BC74C0">
        <w:t xml:space="preserve"> </w:t>
      </w:r>
      <w:r w:rsidRPr="00BB1DFD">
        <w:t>.</w:t>
      </w:r>
      <w:r>
        <w:t>.</w:t>
      </w:r>
      <w:r w:rsidRPr="00BB1DFD">
        <w:t>.</w:t>
      </w:r>
      <w:r w:rsidR="00BC74C0">
        <w:t>”</w:t>
      </w:r>
      <w:r w:rsidR="008A6991">
        <w:t>.</w:t>
      </w:r>
    </w:p>
    <w:p w14:paraId="2E9B91EF" w14:textId="77777777" w:rsidR="00AC2113" w:rsidRPr="00BB1DFD" w:rsidRDefault="00AC2113" w:rsidP="006D7F42">
      <w:pPr>
        <w:pStyle w:val="SingleTxtG"/>
        <w:spacing w:after="100" w:line="236" w:lineRule="atLeast"/>
        <w:ind w:left="1701"/>
      </w:pPr>
      <w:r>
        <w:lastRenderedPageBreak/>
        <w:t>“</w:t>
      </w:r>
      <w:r w:rsidRPr="00BB1DFD">
        <w:t xml:space="preserve">Initiation or ignition </w:t>
      </w:r>
      <w:proofErr w:type="gramStart"/>
      <w:r w:rsidRPr="00BB1DFD">
        <w:t>as a result of</w:t>
      </w:r>
      <w:proofErr w:type="gramEnd"/>
      <w:r w:rsidRPr="00BB1DFD">
        <w:t xml:space="preserve"> fire, after the package is degraded, may produce different results from functioning with the intended means of ignition or initiation. Knowledge of the behaviour of the article or substance in both cases is needed to allow proper classification.</w:t>
      </w:r>
      <w:r>
        <w:t>”</w:t>
      </w:r>
    </w:p>
    <w:p w14:paraId="213A38CC" w14:textId="77777777" w:rsidR="00AC2113" w:rsidRDefault="00BC74C0" w:rsidP="006D7F42">
      <w:pPr>
        <w:pStyle w:val="SingleTxtG"/>
        <w:spacing w:after="100" w:line="236" w:lineRule="atLeast"/>
      </w:pPr>
      <w:r>
        <w:t>7.</w:t>
      </w:r>
      <w:r>
        <w:tab/>
      </w:r>
      <w:r w:rsidR="00AC2113">
        <w:t xml:space="preserve">Classification criteria should cover all relevant ignition scenarios. The intent was to capture occasional results where an intentional initiation produced more hazardous effects than the existing bonfire test. There was no intention to impose new safety criteria on an intentional </w:t>
      </w:r>
      <w:r w:rsidR="00AC2113" w:rsidRPr="00BC74C0">
        <w:t>initiation</w:t>
      </w:r>
      <w:r w:rsidR="00AC2113">
        <w:t xml:space="preserve"> which were </w:t>
      </w:r>
      <w:r w:rsidR="008A6991">
        <w:t>stricter</w:t>
      </w:r>
      <w:r w:rsidR="00AC2113">
        <w:t xml:space="preserve"> than those controlling the behaviour in a fire. The Canadian proposal was to make sure that all possible effects were evaluated according to the existing criteria.</w:t>
      </w:r>
    </w:p>
    <w:p w14:paraId="51A19BB6" w14:textId="77777777" w:rsidR="00AC2113" w:rsidRDefault="00BC74C0" w:rsidP="006D7F42">
      <w:pPr>
        <w:pStyle w:val="SingleTxtG"/>
        <w:spacing w:after="100" w:line="236" w:lineRule="atLeast"/>
      </w:pPr>
      <w:r>
        <w:tab/>
        <w:t>8.</w:t>
      </w:r>
      <w:r>
        <w:tab/>
      </w:r>
      <w:r w:rsidR="00AC2113">
        <w:t xml:space="preserve">The new test was envisioned as an optional tool for potential application to all candidates for 1.4S classification, where in the opinion of the competent authority, an intentional initiation might </w:t>
      </w:r>
      <w:r w:rsidR="00AC2113" w:rsidRPr="00BC74C0">
        <w:t>produce</w:t>
      </w:r>
      <w:r w:rsidR="00AC2113">
        <w:t xml:space="preserve"> worse effects than a bonfire:</w:t>
      </w:r>
    </w:p>
    <w:p w14:paraId="3FDF7866" w14:textId="77777777" w:rsidR="00AC2113" w:rsidRDefault="00AC2113" w:rsidP="006D7F42">
      <w:pPr>
        <w:pStyle w:val="SingleTxtG"/>
        <w:spacing w:after="100" w:line="236" w:lineRule="atLeast"/>
        <w:ind w:left="1701"/>
      </w:pPr>
      <w:r>
        <w:t>“This test would be an optional one, intended for use in cases where the functioning of the product might be expected to produce effects more severe than those obtained in the 6(c) Test, e.g. where detonating explosives are involved, or where the 1.4S classification is packaging-dependent. It is not envisaged for materials that are inherently Division 1.4S, such as small arms ammunition.”</w:t>
      </w:r>
    </w:p>
    <w:p w14:paraId="7B1AAE61" w14:textId="77777777" w:rsidR="00AC2113" w:rsidRDefault="00BC74C0" w:rsidP="006D7F42">
      <w:pPr>
        <w:pStyle w:val="SingleTxtG"/>
        <w:spacing w:after="100" w:line="236" w:lineRule="atLeast"/>
      </w:pPr>
      <w:r>
        <w:tab/>
        <w:t>9.</w:t>
      </w:r>
      <w:r>
        <w:tab/>
      </w:r>
      <w:r w:rsidR="00AC2113">
        <w:t xml:space="preserve">The test was intended to require additional packaging for 1.4S classification, or re-classification, of </w:t>
      </w:r>
      <w:r w:rsidR="00AC2113" w:rsidRPr="00BC74C0">
        <w:t>explosives</w:t>
      </w:r>
      <w:r w:rsidR="00AC2113">
        <w:t xml:space="preserve"> having hazardous effects outside the package:</w:t>
      </w:r>
    </w:p>
    <w:p w14:paraId="49A0AA76" w14:textId="77777777" w:rsidR="00AC2113" w:rsidRPr="00224563" w:rsidRDefault="00AC2113" w:rsidP="006D7F42">
      <w:pPr>
        <w:pStyle w:val="SingleTxtG"/>
        <w:spacing w:after="100" w:line="236" w:lineRule="atLeast"/>
        <w:ind w:left="1701"/>
      </w:pPr>
      <w:r>
        <w:t>“</w:t>
      </w:r>
      <w:r w:rsidRPr="00224563">
        <w:t xml:space="preserve">However, the expert from Canada wishes to point out that this proposal does not suggest that hazardous effects are to be eliminated but only that they be confined to the package. If articles or substances already classified fail to meet this proposed test, they also fail to meet the definitions for 1.4S and are not properly classified. </w:t>
      </w:r>
      <w:r w:rsidRPr="00224563">
        <w:rPr>
          <w:i/>
        </w:rPr>
        <w:t>The solution is not to change criteria to allow these substances or articles into this classification but to change the packaging so that they do meet the intentions of the definition, or to reclassify them.</w:t>
      </w:r>
      <w:r>
        <w:rPr>
          <w:i/>
        </w:rPr>
        <w:t>”</w:t>
      </w:r>
    </w:p>
    <w:p w14:paraId="33B84803" w14:textId="77777777" w:rsidR="00AC2113" w:rsidRDefault="00BC74C0" w:rsidP="006D7F42">
      <w:pPr>
        <w:pStyle w:val="SingleTxtG"/>
        <w:spacing w:after="100" w:line="236" w:lineRule="atLeast"/>
      </w:pPr>
      <w:r>
        <w:tab/>
        <w:t>10.</w:t>
      </w:r>
      <w:r>
        <w:tab/>
      </w:r>
      <w:r w:rsidR="00AC2113">
        <w:t xml:space="preserve">The 6 (d) Test was </w:t>
      </w:r>
      <w:r w:rsidR="00AC2113" w:rsidRPr="00BC74C0">
        <w:t>proposed</w:t>
      </w:r>
      <w:r w:rsidR="00AC2113">
        <w:t xml:space="preserve"> as a 6 (a) test without any confinement, using the following criteria in the Recommendations on the Transport of Dangerous Goods, Manual of Tests </w:t>
      </w:r>
      <w:r w:rsidR="008A6991">
        <w:t>and</w:t>
      </w:r>
      <w:r w:rsidR="00AC2113">
        <w:t xml:space="preserve"> Criteria:</w:t>
      </w:r>
    </w:p>
    <w:p w14:paraId="3FAF5815" w14:textId="77777777" w:rsidR="00AC2113" w:rsidRPr="00BC74C0" w:rsidRDefault="00BC74C0" w:rsidP="006D7F42">
      <w:pPr>
        <w:pStyle w:val="SingleTxtG"/>
        <w:spacing w:after="100" w:line="236" w:lineRule="atLeast"/>
        <w:ind w:firstLine="567"/>
      </w:pPr>
      <w:r>
        <w:tab/>
        <w:t>(a)</w:t>
      </w:r>
      <w:r>
        <w:tab/>
      </w:r>
      <w:r w:rsidR="00AC2113" w:rsidRPr="00BC74C0">
        <w:t>the Test 6 (a) criterion for the witness plate beneath the package</w:t>
      </w:r>
      <w:r>
        <w:t>;</w:t>
      </w:r>
    </w:p>
    <w:p w14:paraId="44D2F1EC" w14:textId="77777777" w:rsidR="00AC2113" w:rsidRPr="00BC74C0" w:rsidRDefault="00BC74C0" w:rsidP="006D7F42">
      <w:pPr>
        <w:pStyle w:val="SingleTxtG"/>
        <w:spacing w:after="100" w:line="236" w:lineRule="atLeast"/>
        <w:ind w:firstLine="567"/>
      </w:pPr>
      <w:r>
        <w:tab/>
        <w:t>(b)</w:t>
      </w:r>
      <w:r>
        <w:tab/>
      </w:r>
      <w:r w:rsidR="00AC2113" w:rsidRPr="00BC74C0">
        <w:t>the Test 6 (c) criterion for a flame ball or jet extending from the package</w:t>
      </w:r>
      <w:r>
        <w:t>;</w:t>
      </w:r>
    </w:p>
    <w:p w14:paraId="6B97D1D5" w14:textId="77777777" w:rsidR="00AC2113" w:rsidRPr="00BC74C0" w:rsidRDefault="00BC74C0" w:rsidP="006D7F42">
      <w:pPr>
        <w:pStyle w:val="SingleTxtG"/>
        <w:spacing w:after="100" w:line="236" w:lineRule="atLeast"/>
        <w:ind w:firstLine="567"/>
      </w:pPr>
      <w:r>
        <w:tab/>
        <w:t>(c)</w:t>
      </w:r>
      <w:r>
        <w:tab/>
      </w:r>
      <w:r w:rsidR="00AC2113" w:rsidRPr="00BC74C0">
        <w:t>an additional criterion of disruption and scattering of the packaging</w:t>
      </w:r>
      <w:r>
        <w:t>;</w:t>
      </w:r>
    </w:p>
    <w:p w14:paraId="3A59D62F" w14:textId="77777777" w:rsidR="00AC2113" w:rsidRPr="00BC74C0" w:rsidRDefault="00BC74C0" w:rsidP="006D7F42">
      <w:pPr>
        <w:pStyle w:val="SingleTxtG"/>
        <w:spacing w:after="100" w:line="236" w:lineRule="atLeast"/>
        <w:ind w:firstLine="567"/>
      </w:pPr>
      <w:r>
        <w:tab/>
        <w:t>(d)</w:t>
      </w:r>
      <w:r>
        <w:tab/>
      </w:r>
      <w:r w:rsidR="00AC2113" w:rsidRPr="00BC74C0">
        <w:t>the Test 6 (c) criterion for a metal projectile exceeding 8 joules</w:t>
      </w:r>
    </w:p>
    <w:p w14:paraId="237AA204" w14:textId="77777777" w:rsidR="00AC2113" w:rsidRPr="00730463" w:rsidRDefault="00BC74C0" w:rsidP="006D7F42">
      <w:pPr>
        <w:pStyle w:val="SingleTxtG"/>
        <w:spacing w:after="100" w:line="236" w:lineRule="atLeast"/>
      </w:pPr>
      <w:r>
        <w:tab/>
        <w:t>11.</w:t>
      </w:r>
      <w:r>
        <w:tab/>
      </w:r>
      <w:r w:rsidR="00AC2113" w:rsidRPr="00730463">
        <w:t xml:space="preserve">The </w:t>
      </w:r>
      <w:r w:rsidR="00AC2113" w:rsidRPr="00BC74C0">
        <w:t>current</w:t>
      </w:r>
      <w:r w:rsidR="00AC2113" w:rsidRPr="00730463">
        <w:t xml:space="preserve"> Test 6 (d) criteria follow, along with our assessment of </w:t>
      </w:r>
      <w:r w:rsidR="00AC2113">
        <w:t>how they relate to</w:t>
      </w:r>
      <w:r w:rsidR="00AC2113" w:rsidRPr="00730463">
        <w:t xml:space="preserve"> the original purpose to bette</w:t>
      </w:r>
      <w:r w:rsidR="00AC2113">
        <w:t>r implement the 1.4S definition:</w:t>
      </w:r>
    </w:p>
    <w:p w14:paraId="32A63E3C" w14:textId="77777777" w:rsidR="00AC2113" w:rsidRDefault="00BC74C0" w:rsidP="006D7F42">
      <w:pPr>
        <w:pStyle w:val="SingleTxtG"/>
        <w:spacing w:after="100" w:line="236" w:lineRule="atLeast"/>
        <w:ind w:left="1701"/>
      </w:pPr>
      <w:r>
        <w:t>(a)</w:t>
      </w:r>
      <w:r>
        <w:tab/>
      </w:r>
      <w:r w:rsidR="00AC2113">
        <w:t xml:space="preserve">The first </w:t>
      </w:r>
      <w:r w:rsidR="00AC2113" w:rsidRPr="00BC74C0">
        <w:t>criterion</w:t>
      </w:r>
      <w:r w:rsidR="00AC2113">
        <w:t xml:space="preserve"> is “Denting or perforation of the witness plate beneath the package.” This criterion relates to Test 6 (a), which is because the</w:t>
      </w:r>
      <w:r w:rsidR="00ED5139">
        <w:t xml:space="preserve"> Test 6 (d) method is based on </w:t>
      </w:r>
      <w:r w:rsidR="00AC2113">
        <w:t>Test 6 (a) without confining material; it is not related to the 1.4S definition. Test 6 (d) is sometimes substituted for Test 6 (a)</w:t>
      </w:r>
      <w:r w:rsidR="008A6991">
        <w:rPr>
          <w:rStyle w:val="FootnoteReference"/>
        </w:rPr>
        <w:footnoteReference w:customMarkFollows="1" w:id="4"/>
        <w:t>2</w:t>
      </w:r>
      <w:r w:rsidR="00AC2113">
        <w:t xml:space="preserve">, so the plate criterion is necessary. The criterion is acceptable in principle, and could remain as worded. However, for added clarity we recommend new text that the Working Group </w:t>
      </w:r>
      <w:r w:rsidR="008A6991">
        <w:t xml:space="preserve">on Explosives </w:t>
      </w:r>
      <w:r w:rsidR="00AC2113">
        <w:t>is considering in the work on Chapter 2.1</w:t>
      </w:r>
      <w:r w:rsidR="006B7842">
        <w:t xml:space="preserve"> of the GHS</w:t>
      </w:r>
      <w:r w:rsidR="00AC2113">
        <w:t>: “A</w:t>
      </w:r>
      <w:r w:rsidR="00AC2113" w:rsidRPr="00B75DBC">
        <w:t xml:space="preserve"> significant change in the witness plate shape (e.g., perforation, gouge, substantial dent/bowing, etc.)</w:t>
      </w:r>
      <w:r w:rsidR="00AC2113">
        <w:t>”.</w:t>
      </w:r>
    </w:p>
    <w:p w14:paraId="2EAE41EA" w14:textId="77777777" w:rsidR="00AC2113" w:rsidRPr="00FB69E2" w:rsidRDefault="00BC74C0" w:rsidP="006D7F42">
      <w:pPr>
        <w:pStyle w:val="SingleTxtG"/>
        <w:spacing w:after="100" w:line="236" w:lineRule="atLeast"/>
        <w:ind w:left="1701"/>
      </w:pPr>
      <w:r>
        <w:tab/>
        <w:t>(b)</w:t>
      </w:r>
      <w:r>
        <w:tab/>
      </w:r>
      <w:r w:rsidR="00AC2113">
        <w:t>The second criterion is “</w:t>
      </w:r>
      <w:r w:rsidR="00AC2113" w:rsidRPr="00B66C7F">
        <w:t>A flash or flame that ignites an adjacent material such as a sheet of 80 ± 3 g/m² paper at a dis</w:t>
      </w:r>
      <w:r w:rsidR="00AC2113">
        <w:t xml:space="preserve">tance of 25 cm from the package”. </w:t>
      </w:r>
      <w:r w:rsidR="00190553">
        <w:t>This criterion</w:t>
      </w:r>
      <w:r w:rsidR="00AC2113">
        <w:t xml:space="preserve"> </w:t>
      </w:r>
      <w:r w:rsidR="00AC2113">
        <w:lastRenderedPageBreak/>
        <w:t xml:space="preserve">was a new idea at the time is was adopted. It is not related to the 1.4S </w:t>
      </w:r>
      <w:r w:rsidR="00AC2113" w:rsidRPr="00BC74C0">
        <w:t>definition</w:t>
      </w:r>
      <w:r w:rsidR="00AC2113">
        <w:t xml:space="preserve"> as much as it relates to the Model Regulations 2.1.3.6.4 criterion for exclusion from Class 1: “No flash or flame capable of igniting a material such as a sheet of 80</w:t>
      </w:r>
      <w:r w:rsidR="00190553">
        <w:t> </w:t>
      </w:r>
      <w:r w:rsidR="00AC2113">
        <w:t>±</w:t>
      </w:r>
      <w:r w:rsidR="00190553">
        <w:t> </w:t>
      </w:r>
      <w:r w:rsidR="00AC2113">
        <w:t>10</w:t>
      </w:r>
      <w:r w:rsidR="00190553">
        <w:t> </w:t>
      </w:r>
      <w:r w:rsidR="00AC2113">
        <w:t xml:space="preserve">g/m² paper in contact with the article.” We think that this represents a change in the scope of 1.4S, and suggest it be replaced to more closely relate to the limitation on flame in Test 6 (c): “A </w:t>
      </w:r>
      <w:r w:rsidR="00AC2113" w:rsidRPr="00730463">
        <w:t xml:space="preserve">fireball or jet of flame which extends more than 1 m from the </w:t>
      </w:r>
      <w:r w:rsidR="00AC2113">
        <w:t>package”. We have substituted “package” for “flames of the fire”, which is more conservative.</w:t>
      </w:r>
    </w:p>
    <w:p w14:paraId="6E2377BC" w14:textId="77777777" w:rsidR="00AC2113" w:rsidRDefault="00BC74C0" w:rsidP="00190553">
      <w:pPr>
        <w:pStyle w:val="SingleTxtG"/>
        <w:spacing w:after="100"/>
        <w:ind w:left="1701"/>
      </w:pPr>
      <w:r>
        <w:t>(c)</w:t>
      </w:r>
      <w:r>
        <w:tab/>
      </w:r>
      <w:r w:rsidR="00AC2113">
        <w:t xml:space="preserve">The third criterion is “Disruption of the package causing projection of the explosives </w:t>
      </w:r>
      <w:r w:rsidR="00AC2113" w:rsidRPr="00BC74C0">
        <w:t>contents</w:t>
      </w:r>
      <w:r w:rsidR="00AC2113">
        <w:t>”. There are two parts to this criterion:</w:t>
      </w:r>
    </w:p>
    <w:p w14:paraId="61B55D4F" w14:textId="77777777" w:rsidR="00AC2113" w:rsidRPr="00BC74C0" w:rsidRDefault="006B7842" w:rsidP="00190553">
      <w:pPr>
        <w:pStyle w:val="SingleTxtG"/>
        <w:spacing w:after="100"/>
        <w:ind w:left="2268"/>
      </w:pPr>
      <w:r>
        <w:t>(</w:t>
      </w:r>
      <w:proofErr w:type="spellStart"/>
      <w:r w:rsidR="00BC74C0">
        <w:t>i</w:t>
      </w:r>
      <w:proofErr w:type="spellEnd"/>
      <w:r>
        <w:t>)</w:t>
      </w:r>
      <w:r w:rsidR="00BC74C0">
        <w:tab/>
      </w:r>
      <w:r w:rsidR="00AC2113" w:rsidRPr="00BC74C0">
        <w:t xml:space="preserve">The concept that the projection of unexploded explosives articles is a hazard to be controlled was novel and not based on any existing concept and is not an implementation of the 1.4S definition. We recommend removing this aspect of the criterion. </w:t>
      </w:r>
    </w:p>
    <w:p w14:paraId="05C97CD7" w14:textId="77777777" w:rsidR="00AC2113" w:rsidRPr="00BC74C0" w:rsidRDefault="006B7842" w:rsidP="00190553">
      <w:pPr>
        <w:pStyle w:val="SingleTxtG"/>
        <w:spacing w:after="100"/>
        <w:ind w:left="2268"/>
      </w:pPr>
      <w:r>
        <w:t>(</w:t>
      </w:r>
      <w:r w:rsidR="00BC74C0">
        <w:t>ii</w:t>
      </w:r>
      <w:r>
        <w:t>)</w:t>
      </w:r>
      <w:r w:rsidR="00BC74C0">
        <w:tab/>
      </w:r>
      <w:r w:rsidR="00AC2113" w:rsidRPr="00BC74C0">
        <w:t>This criterion is still valuable to prevent blast effects. It should not be used redundantly to control projections, as that is addressed in the next criterion. We propose the following wording: “</w:t>
      </w:r>
      <w:r w:rsidR="00AC2113" w:rsidRPr="00BC74C0">
        <w:rPr>
          <w:u w:val="single"/>
        </w:rPr>
        <w:t>A blast effect causing disruption and scattering of the package and most of its contents.</w:t>
      </w:r>
      <w:r w:rsidR="00AC2113" w:rsidRPr="00BC74C0">
        <w:t>”</w:t>
      </w:r>
    </w:p>
    <w:p w14:paraId="1DC6EF1E" w14:textId="77777777" w:rsidR="00AC2113" w:rsidRDefault="00BC74C0" w:rsidP="00190553">
      <w:pPr>
        <w:pStyle w:val="SingleTxtG"/>
        <w:spacing w:after="100"/>
        <w:ind w:left="1701"/>
      </w:pPr>
      <w:r>
        <w:t>(d)</w:t>
      </w:r>
      <w:r>
        <w:tab/>
      </w:r>
      <w:r w:rsidR="00AC2113">
        <w:t>The fourth criterion is “A projection which passes completely through the packaging (a projection or fragment</w:t>
      </w:r>
      <w:r w:rsidR="00AC2113" w:rsidRPr="00A96817">
        <w:t xml:space="preserve"> </w:t>
      </w:r>
      <w:r w:rsidR="00AC2113">
        <w:t xml:space="preserve">retained or stuck in the wall of the packaging is considered </w:t>
      </w:r>
      <w:r w:rsidR="00AC2113" w:rsidRPr="00BC74C0">
        <w:t>as</w:t>
      </w:r>
      <w:r w:rsidR="00AC2113">
        <w:t xml:space="preserve"> </w:t>
      </w:r>
      <w:r w:rsidR="00190553">
        <w:t>non-hazardous</w:t>
      </w:r>
      <w:r w:rsidR="00AC2113">
        <w:t xml:space="preserve">).” This seems more in alignment with the safety level of exclusion from Class 1. SAAMI proposes to revert to the originally proposed wording relating to the 8 </w:t>
      </w:r>
      <w:r w:rsidR="00190553">
        <w:t>J</w:t>
      </w:r>
      <w:r w:rsidR="00AC2113">
        <w:t>oule energy limit for projections: “</w:t>
      </w:r>
      <w:r w:rsidR="00AC2113" w:rsidRPr="00A96817">
        <w:t>A metallic projection with a kinetic energy exceeding 8 J as assessed by the distance-mass relation given in Figure</w:t>
      </w:r>
      <w:r w:rsidR="00190553">
        <w:t> </w:t>
      </w:r>
      <w:r w:rsidR="00AC2113" w:rsidRPr="00A96817">
        <w:t>16.6.1</w:t>
      </w:r>
      <w:r w:rsidR="00190553">
        <w:t>.1</w:t>
      </w:r>
      <w:r w:rsidR="00AC2113" w:rsidRPr="00A96817">
        <w:t>.</w:t>
      </w:r>
      <w:r w:rsidR="00AC2113">
        <w:t>” We add an option to calculate the energy with velocities determined by high speed camera.</w:t>
      </w:r>
    </w:p>
    <w:p w14:paraId="73D00F69" w14:textId="77777777" w:rsidR="00AC2113" w:rsidRDefault="00AC2113" w:rsidP="00190553">
      <w:pPr>
        <w:pStyle w:val="HChG"/>
        <w:spacing w:before="240"/>
        <w:ind w:firstLine="0"/>
      </w:pPr>
      <w:r>
        <w:t>Proposals</w:t>
      </w:r>
    </w:p>
    <w:p w14:paraId="0FEC3438" w14:textId="77777777" w:rsidR="00AC2113" w:rsidRDefault="00BC74C0" w:rsidP="00BC74C0">
      <w:pPr>
        <w:pStyle w:val="SingleTxtG"/>
      </w:pPr>
      <w:r>
        <w:tab/>
        <w:t>12.</w:t>
      </w:r>
      <w:r>
        <w:tab/>
      </w:r>
      <w:r w:rsidR="00190553">
        <w:t>Amend</w:t>
      </w:r>
      <w:bookmarkStart w:id="0" w:name="_GoBack"/>
      <w:bookmarkEnd w:id="0"/>
      <w:r w:rsidR="006B7842">
        <w:t xml:space="preserve"> </w:t>
      </w:r>
      <w:r w:rsidR="00190553">
        <w:t>p</w:t>
      </w:r>
      <w:r w:rsidR="006B7842">
        <w:t>aragraph</w:t>
      </w:r>
      <w:r w:rsidR="00AC2113">
        <w:t xml:space="preserve"> 16.7.1.4 of the Manual of Tests </w:t>
      </w:r>
      <w:r w:rsidR="006B7842">
        <w:t>and</w:t>
      </w:r>
      <w:r w:rsidR="00AC2113">
        <w:t xml:space="preserve"> Criteria </w:t>
      </w:r>
      <w:r w:rsidR="00190553">
        <w:t>as follows</w:t>
      </w:r>
      <w:r w:rsidR="006B7842">
        <w:t xml:space="preserve"> (new text is </w:t>
      </w:r>
      <w:r w:rsidR="006B7842" w:rsidRPr="006B7842">
        <w:rPr>
          <w:u w:val="single"/>
        </w:rPr>
        <w:t>underlined</w:t>
      </w:r>
      <w:r w:rsidR="006B7842">
        <w:t>)</w:t>
      </w:r>
      <w:r w:rsidR="00AC2113">
        <w:t>:</w:t>
      </w:r>
    </w:p>
    <w:p w14:paraId="739C1298" w14:textId="77777777" w:rsidR="00AC2113" w:rsidRPr="00A96817" w:rsidRDefault="006B7842" w:rsidP="00190553">
      <w:pPr>
        <w:pStyle w:val="SingleTxtG"/>
        <w:spacing w:after="100"/>
        <w:ind w:firstLine="567"/>
      </w:pPr>
      <w:r>
        <w:t>“</w:t>
      </w:r>
      <w:r w:rsidR="00AC2113" w:rsidRPr="00A96817">
        <w:t xml:space="preserve">16.7.1.4 </w:t>
      </w:r>
      <w:r w:rsidR="00190553">
        <w:tab/>
      </w:r>
      <w:r w:rsidR="00AC2113" w:rsidRPr="006B7842">
        <w:rPr>
          <w:i/>
          <w:iCs/>
        </w:rPr>
        <w:t>Test criteria and method of assessing the results</w:t>
      </w:r>
    </w:p>
    <w:p w14:paraId="458251A5" w14:textId="77777777" w:rsidR="00AC2113" w:rsidRPr="00A96817" w:rsidRDefault="00190553" w:rsidP="00190553">
      <w:pPr>
        <w:pStyle w:val="SingleTxtG"/>
        <w:tabs>
          <w:tab w:val="left" w:pos="2835"/>
        </w:tabs>
        <w:spacing w:after="100"/>
        <w:ind w:left="1701" w:firstLine="567"/>
      </w:pPr>
      <w:r>
        <w:tab/>
      </w:r>
      <w:r w:rsidR="00AC2113" w:rsidRPr="00A96817">
        <w:t xml:space="preserve">Inclusion in </w:t>
      </w:r>
      <w:r w:rsidR="006B7842">
        <w:t>c</w:t>
      </w:r>
      <w:r w:rsidR="00AC2113" w:rsidRPr="00A96817">
        <w:t xml:space="preserve">ompatibility </w:t>
      </w:r>
      <w:r w:rsidR="006B7842">
        <w:t>g</w:t>
      </w:r>
      <w:r w:rsidR="00AC2113" w:rsidRPr="00A96817">
        <w:t>roup S requires that any hazardous effects arising from</w:t>
      </w:r>
      <w:r w:rsidR="00BC74C0">
        <w:t xml:space="preserve"> </w:t>
      </w:r>
      <w:r w:rsidR="00AC2113" w:rsidRPr="00A96817">
        <w:t>functioning of the articles in this test are confined within the package. Evidence of a hazardous effect outside</w:t>
      </w:r>
      <w:r w:rsidR="00AC2113">
        <w:t xml:space="preserve"> </w:t>
      </w:r>
      <w:r w:rsidR="00AC2113" w:rsidRPr="00A96817">
        <w:t>the package includes:</w:t>
      </w:r>
    </w:p>
    <w:p w14:paraId="33830DAB" w14:textId="77777777" w:rsidR="00AC2113" w:rsidRPr="00BC74C0" w:rsidRDefault="00BC74C0" w:rsidP="00190553">
      <w:pPr>
        <w:pStyle w:val="SingleTxtG"/>
        <w:spacing w:after="100"/>
        <w:ind w:left="2268" w:hanging="567"/>
        <w:rPr>
          <w:u w:val="single"/>
        </w:rPr>
      </w:pPr>
      <w:r w:rsidRPr="00BC74C0">
        <w:t>(a)</w:t>
      </w:r>
      <w:r w:rsidRPr="00BC74C0">
        <w:tab/>
      </w:r>
      <w:r w:rsidR="00AC2113" w:rsidRPr="00BC74C0">
        <w:rPr>
          <w:u w:val="single"/>
        </w:rPr>
        <w:t>A significant change in the witness plate shape (e.g., perforation, gouge, substantial dent/bowing, etc.);</w:t>
      </w:r>
    </w:p>
    <w:p w14:paraId="45B03416" w14:textId="77777777" w:rsidR="00AC2113" w:rsidRPr="00BC74C0" w:rsidRDefault="00BC74C0" w:rsidP="00190553">
      <w:pPr>
        <w:pStyle w:val="SingleTxtG"/>
        <w:spacing w:after="100"/>
        <w:ind w:left="1701"/>
        <w:rPr>
          <w:u w:val="single"/>
        </w:rPr>
      </w:pPr>
      <w:r w:rsidRPr="00BC74C0">
        <w:tab/>
      </w:r>
      <w:r>
        <w:t>(b)</w:t>
      </w:r>
      <w:r w:rsidRPr="00BC74C0">
        <w:tab/>
      </w:r>
      <w:r w:rsidR="00AC2113" w:rsidRPr="00BC74C0">
        <w:rPr>
          <w:u w:val="single"/>
        </w:rPr>
        <w:t>A fireball or jet of flame which extends more than 1 m from the package;</w:t>
      </w:r>
    </w:p>
    <w:p w14:paraId="13CAF71A" w14:textId="77777777" w:rsidR="00AC2113" w:rsidRPr="00BC74C0" w:rsidRDefault="00BC74C0" w:rsidP="00190553">
      <w:pPr>
        <w:pStyle w:val="SingleTxtG"/>
        <w:spacing w:after="100"/>
        <w:ind w:left="2268" w:hanging="567"/>
        <w:rPr>
          <w:u w:val="single"/>
        </w:rPr>
      </w:pPr>
      <w:r>
        <w:t>(c)</w:t>
      </w:r>
      <w:r w:rsidRPr="00BC74C0">
        <w:tab/>
      </w:r>
      <w:r w:rsidR="00AC2113" w:rsidRPr="00BC74C0">
        <w:rPr>
          <w:u w:val="single"/>
        </w:rPr>
        <w:t xml:space="preserve">A blast effect causing disruption and scattering of the package and most of its contents; </w:t>
      </w:r>
      <w:r w:rsidR="00ED5139" w:rsidRPr="00BC74C0">
        <w:rPr>
          <w:u w:val="single"/>
        </w:rPr>
        <w:t>and</w:t>
      </w:r>
    </w:p>
    <w:p w14:paraId="6C766261" w14:textId="77777777" w:rsidR="00AC2113" w:rsidRDefault="00BC74C0" w:rsidP="00190553">
      <w:pPr>
        <w:pStyle w:val="SingleTxtG"/>
        <w:spacing w:after="100"/>
        <w:ind w:left="2268" w:hanging="567"/>
        <w:rPr>
          <w:u w:val="single"/>
        </w:rPr>
      </w:pPr>
      <w:r w:rsidRPr="00BC74C0">
        <w:t>(d)</w:t>
      </w:r>
      <w:r w:rsidRPr="00BC74C0">
        <w:tab/>
      </w:r>
      <w:r w:rsidR="00AC2113" w:rsidRPr="00BC74C0">
        <w:rPr>
          <w:u w:val="single"/>
        </w:rPr>
        <w:t>A metallic projection with a kinetic energy exceeding 8 J, as assessed either by E=1/2</w:t>
      </w:r>
      <w:r w:rsidR="00190553">
        <w:rPr>
          <w:u w:val="single"/>
        </w:rPr>
        <w:t> </w:t>
      </w:r>
      <w:r w:rsidR="00AC2113" w:rsidRPr="00BC74C0">
        <w:rPr>
          <w:u w:val="single"/>
        </w:rPr>
        <w:t>mv</w:t>
      </w:r>
      <w:r w:rsidR="00AC2113" w:rsidRPr="00BC74C0">
        <w:rPr>
          <w:u w:val="single"/>
          <w:vertAlign w:val="superscript"/>
        </w:rPr>
        <w:t>2</w:t>
      </w:r>
      <w:r w:rsidR="00AC2113" w:rsidRPr="00BC74C0">
        <w:rPr>
          <w:u w:val="single"/>
        </w:rPr>
        <w:t xml:space="preserve"> using a high-speed camera or the distance-mass re</w:t>
      </w:r>
      <w:r w:rsidR="00ED5139" w:rsidRPr="00BC74C0">
        <w:rPr>
          <w:u w:val="single"/>
        </w:rPr>
        <w:t>lation given in Figure 16.6.1.1.</w:t>
      </w:r>
    </w:p>
    <w:p w14:paraId="14A91D73" w14:textId="77777777" w:rsidR="00190553" w:rsidRDefault="00190553" w:rsidP="00190553">
      <w:pPr>
        <w:pStyle w:val="SingleTxtG"/>
        <w:tabs>
          <w:tab w:val="left" w:pos="2835"/>
        </w:tabs>
        <w:spacing w:after="100"/>
        <w:ind w:left="1701" w:firstLine="567"/>
      </w:pPr>
      <w:r w:rsidRPr="00190553">
        <w:t xml:space="preserve">The competent authority may wish to </w:t>
      </w:r>
      <w:proofErr w:type="gramStart"/>
      <w:r w:rsidRPr="00190553">
        <w:t>take into account</w:t>
      </w:r>
      <w:proofErr w:type="gramEnd"/>
      <w:r w:rsidRPr="00190553">
        <w:t xml:space="preserve"> the expected effect of the initiator when assessing the results of the test, if these are expected to be significant when compared to the articles being tested. If there are hazardous effects outside the package, then the product is excluded from </w:t>
      </w:r>
      <w:r>
        <w:t>c</w:t>
      </w:r>
      <w:r w:rsidRPr="00190553">
        <w:t xml:space="preserve">ompatibility </w:t>
      </w:r>
      <w:r>
        <w:t>g</w:t>
      </w:r>
      <w:r w:rsidRPr="00190553">
        <w:t>roup S.</w:t>
      </w:r>
      <w:r>
        <w:t>”.</w:t>
      </w:r>
    </w:p>
    <w:p w14:paraId="36DB8225" w14:textId="77777777" w:rsidR="00190553" w:rsidRPr="00190553" w:rsidRDefault="00190553" w:rsidP="00190553">
      <w:pPr>
        <w:pStyle w:val="SingleTxtG"/>
        <w:tabs>
          <w:tab w:val="left" w:pos="2835"/>
        </w:tabs>
        <w:ind w:left="1701" w:firstLine="567"/>
        <w:jc w:val="center"/>
      </w:pPr>
      <w:r>
        <w:softHyphen/>
      </w:r>
      <w:r>
        <w:softHyphen/>
      </w:r>
      <w:r>
        <w:softHyphen/>
      </w:r>
      <w:r>
        <w:softHyphen/>
      </w:r>
      <w:r>
        <w:softHyphen/>
      </w:r>
      <w:r>
        <w:softHyphen/>
      </w:r>
      <w:r>
        <w:softHyphen/>
      </w:r>
      <w:r>
        <w:softHyphen/>
      </w:r>
      <w:r>
        <w:softHyphen/>
      </w:r>
      <w:r>
        <w:softHyphen/>
      </w:r>
      <w:r>
        <w:softHyphen/>
        <w:t>_______________</w:t>
      </w:r>
    </w:p>
    <w:sectPr w:rsidR="00190553" w:rsidRPr="00190553" w:rsidSect="00D86516">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F354F" w14:textId="77777777" w:rsidR="00EA5351" w:rsidRDefault="00EA5351"/>
  </w:endnote>
  <w:endnote w:type="continuationSeparator" w:id="0">
    <w:p w14:paraId="3AD2015E" w14:textId="77777777" w:rsidR="00EA5351" w:rsidRDefault="00EA5351"/>
  </w:endnote>
  <w:endnote w:type="continuationNotice" w:id="1">
    <w:p w14:paraId="6C79F30E" w14:textId="77777777" w:rsidR="00EA5351" w:rsidRDefault="00EA5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3578" w14:textId="77777777" w:rsidR="00100242" w:rsidRPr="009C67CC" w:rsidRDefault="00100242">
    <w:pPr>
      <w:pStyle w:val="Footer"/>
      <w:rPr>
        <w:b/>
      </w:rPr>
    </w:pPr>
    <w:r w:rsidRPr="009C67CC">
      <w:rPr>
        <w:b/>
      </w:rPr>
      <w:fldChar w:fldCharType="begin"/>
    </w:r>
    <w:r w:rsidRPr="009C67CC">
      <w:rPr>
        <w:b/>
      </w:rPr>
      <w:instrText xml:space="preserve"> PAGE   \* MERGEFORMAT </w:instrText>
    </w:r>
    <w:r w:rsidRPr="009C67CC">
      <w:rPr>
        <w:b/>
      </w:rPr>
      <w:fldChar w:fldCharType="separate"/>
    </w:r>
    <w:r w:rsidR="00190A47">
      <w:rPr>
        <w:b/>
        <w:noProof/>
      </w:rPr>
      <w:t>2</w:t>
    </w:r>
    <w:r w:rsidRPr="009C67CC">
      <w:rPr>
        <w:b/>
        <w:noProof/>
      </w:rPr>
      <w:fldChar w:fldCharType="end"/>
    </w:r>
  </w:p>
  <w:p w14:paraId="4F441289" w14:textId="77777777" w:rsidR="00100242" w:rsidRDefault="0010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9AB6" w14:textId="77777777" w:rsidR="00100242" w:rsidRPr="009D58C1" w:rsidRDefault="00100242">
    <w:pPr>
      <w:pStyle w:val="Footer"/>
      <w:jc w:val="right"/>
      <w:rPr>
        <w:b/>
        <w:sz w:val="18"/>
        <w:szCs w:val="18"/>
      </w:rPr>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190A47">
      <w:rPr>
        <w:b/>
        <w:noProof/>
        <w:sz w:val="18"/>
        <w:szCs w:val="18"/>
      </w:rPr>
      <w:t>3</w:t>
    </w:r>
    <w:r w:rsidRPr="009D58C1">
      <w:rPr>
        <w:b/>
        <w:noProof/>
        <w:sz w:val="18"/>
        <w:szCs w:val="18"/>
      </w:rPr>
      <w:fldChar w:fldCharType="end"/>
    </w:r>
  </w:p>
  <w:p w14:paraId="1A05193A" w14:textId="77777777" w:rsidR="00100242" w:rsidRPr="00432CFD" w:rsidRDefault="00100242" w:rsidP="009D58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2AF78" w14:textId="77777777" w:rsidR="00EA5351" w:rsidRPr="000B175B" w:rsidRDefault="00EA5351" w:rsidP="000B175B">
      <w:pPr>
        <w:tabs>
          <w:tab w:val="right" w:pos="2155"/>
        </w:tabs>
        <w:spacing w:after="80"/>
        <w:ind w:left="680"/>
        <w:rPr>
          <w:u w:val="single"/>
        </w:rPr>
      </w:pPr>
      <w:r>
        <w:rPr>
          <w:u w:val="single"/>
        </w:rPr>
        <w:tab/>
      </w:r>
    </w:p>
  </w:footnote>
  <w:footnote w:type="continuationSeparator" w:id="0">
    <w:p w14:paraId="156EAAFC" w14:textId="77777777" w:rsidR="00EA5351" w:rsidRPr="00FC68B7" w:rsidRDefault="00EA5351" w:rsidP="00FC68B7">
      <w:pPr>
        <w:tabs>
          <w:tab w:val="left" w:pos="2155"/>
        </w:tabs>
        <w:spacing w:after="80"/>
        <w:ind w:left="680"/>
        <w:rPr>
          <w:u w:val="single"/>
        </w:rPr>
      </w:pPr>
      <w:r>
        <w:rPr>
          <w:u w:val="single"/>
        </w:rPr>
        <w:tab/>
      </w:r>
    </w:p>
  </w:footnote>
  <w:footnote w:type="continuationNotice" w:id="1">
    <w:p w14:paraId="5907BA9E" w14:textId="77777777" w:rsidR="00EA5351" w:rsidRDefault="00EA5351"/>
  </w:footnote>
  <w:footnote w:id="2">
    <w:p w14:paraId="7BA951F1" w14:textId="77777777" w:rsidR="00C3527B" w:rsidRPr="00C3527B" w:rsidRDefault="00C3527B" w:rsidP="00C3527B">
      <w:pPr>
        <w:pStyle w:val="FootnoteText"/>
        <w:ind w:firstLine="0"/>
        <w:rPr>
          <w:lang w:val="fr-CH"/>
        </w:rPr>
      </w:pPr>
      <w:r>
        <w:rPr>
          <w:rStyle w:val="FootnoteReference"/>
        </w:rPr>
        <w:t>*</w:t>
      </w:r>
      <w:r>
        <w:t xml:space="preserve"> </w:t>
      </w:r>
      <w:r>
        <w:tab/>
      </w:r>
      <w:r w:rsidR="00822913">
        <w:rPr>
          <w:lang w:val="en-US"/>
        </w:rPr>
        <w:t xml:space="preserve">In accordance with </w:t>
      </w:r>
      <w:r w:rsidR="00822913" w:rsidRPr="00C77DF8">
        <w:t>the programme</w:t>
      </w:r>
      <w:r w:rsidR="00822913">
        <w:rPr>
          <w:lang w:val="en-US"/>
        </w:rPr>
        <w:t xml:space="preserve"> of work of the Sub-Committee for 2019-2020 approved by the Committee at its ninth session (see ST/SG/AC.10/C.3/108, paragraph 141 and ST/SG/AC.10/46, paragraph 14).</w:t>
      </w:r>
    </w:p>
  </w:footnote>
  <w:footnote w:id="3">
    <w:p w14:paraId="29B9789F" w14:textId="77777777" w:rsidR="00C3527B" w:rsidRPr="00C3527B" w:rsidRDefault="00C3527B" w:rsidP="00C3527B">
      <w:pPr>
        <w:pStyle w:val="FootnoteText"/>
        <w:ind w:firstLine="0"/>
        <w:rPr>
          <w:lang w:val="fr-CH"/>
        </w:rPr>
      </w:pPr>
      <w:r>
        <w:rPr>
          <w:rStyle w:val="FootnoteReference"/>
        </w:rPr>
        <w:t>1</w:t>
      </w:r>
      <w:r>
        <w:t xml:space="preserve"> </w:t>
      </w:r>
      <w:r>
        <w:tab/>
      </w:r>
      <w:r>
        <w:rPr>
          <w:lang w:val="en-US"/>
        </w:rPr>
        <w:t>It was counter-argued at the time that, in the experience of those producing the explosives of greatest concern, accidental initiations were not relevant because there was no history of them in transport. The proposal was based on the knowledge of known effects, and that these were in some cases worse than what was seen in the 6 (c) bonfire test. The proposal was not driven by accidents or risk in transport, but rather the mandate to control the hazard to an acceptable level as defined for 1.4S.</w:t>
      </w:r>
    </w:p>
  </w:footnote>
  <w:footnote w:id="4">
    <w:p w14:paraId="4B553F28" w14:textId="77777777" w:rsidR="008A6991" w:rsidRPr="008A6991" w:rsidRDefault="008A6991" w:rsidP="008A6991">
      <w:pPr>
        <w:pStyle w:val="FootnoteText"/>
        <w:ind w:firstLine="0"/>
        <w:rPr>
          <w:lang w:val="fr-CH"/>
        </w:rPr>
      </w:pPr>
      <w:r>
        <w:rPr>
          <w:rStyle w:val="FootnoteReference"/>
        </w:rPr>
        <w:t>2</w:t>
      </w:r>
      <w:r>
        <w:t xml:space="preserve"> </w:t>
      </w:r>
      <w:r>
        <w:tab/>
      </w:r>
      <w:r>
        <w:rPr>
          <w:lang w:val="en-US"/>
        </w:rPr>
        <w:t>Section 16.6.2 of the Manual</w:t>
      </w:r>
      <w:r w:rsidR="00190553">
        <w:rPr>
          <w:lang w:val="en-US"/>
        </w:rPr>
        <w:t xml:space="preserve"> of Tests and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5BA4" w14:textId="77777777" w:rsidR="00100242" w:rsidRPr="00432CFD" w:rsidRDefault="001C21AD">
    <w:pPr>
      <w:pStyle w:val="Header"/>
      <w:rPr>
        <w:lang w:val="fr-CH"/>
      </w:rPr>
    </w:pPr>
    <w:r>
      <w:rPr>
        <w:lang w:val="fr-CH"/>
      </w:rPr>
      <w:t>S</w:t>
    </w:r>
    <w:r w:rsidR="0032739B">
      <w:rPr>
        <w:lang w:val="fr-CH"/>
      </w:rPr>
      <w:t>T/SG/AC.10/C.3/201</w:t>
    </w:r>
    <w:r w:rsidR="00BC2610">
      <w:rPr>
        <w:lang w:val="fr-CH"/>
      </w:rPr>
      <w:t>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2CF3" w14:textId="77777777" w:rsidR="00100242" w:rsidRPr="009D58C1" w:rsidRDefault="00100242" w:rsidP="009D58C1">
    <w:pPr>
      <w:pStyle w:val="Header"/>
      <w:pBdr>
        <w:bottom w:val="single" w:sz="4" w:space="1" w:color="auto"/>
      </w:pBdr>
      <w:jc w:val="right"/>
      <w:rPr>
        <w:lang w:val="fr-CH"/>
      </w:rPr>
    </w:pPr>
    <w:r>
      <w:rPr>
        <w:lang w:val="fr-CH"/>
      </w:rPr>
      <w:t>ST/SG/AC.10/C.3/201</w:t>
    </w:r>
    <w:r w:rsidR="00F85304">
      <w:rPr>
        <w:lang w:val="fr-CH"/>
      </w:rPr>
      <w:t>9/11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72D7" w14:textId="77777777" w:rsidR="00100242" w:rsidRPr="002E10DE" w:rsidRDefault="00100242" w:rsidP="001C21A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A08"/>
    <w:multiLevelType w:val="hybridMultilevel"/>
    <w:tmpl w:val="EF5AF2C6"/>
    <w:lvl w:ilvl="0" w:tplc="04090019">
      <w:start w:val="1"/>
      <w:numFmt w:val="lowerLetter"/>
      <w:lvlText w:val="%1."/>
      <w:lvlJc w:val="left"/>
      <w:pPr>
        <w:ind w:left="22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F5313"/>
    <w:multiLevelType w:val="hybridMultilevel"/>
    <w:tmpl w:val="6A863746"/>
    <w:lvl w:ilvl="0" w:tplc="08090019">
      <w:start w:val="1"/>
      <w:numFmt w:val="lowerLetter"/>
      <w:lvlText w:val="%1."/>
      <w:lvlJc w:val="left"/>
      <w:pPr>
        <w:ind w:left="22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90AA2"/>
    <w:multiLevelType w:val="hybridMultilevel"/>
    <w:tmpl w:val="3998C7B4"/>
    <w:lvl w:ilvl="0" w:tplc="08090019">
      <w:start w:val="1"/>
      <w:numFmt w:val="lowerLetter"/>
      <w:lvlText w:val="%1."/>
      <w:lvlJc w:val="left"/>
      <w:pPr>
        <w:ind w:left="22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26916"/>
    <w:multiLevelType w:val="hybridMultilevel"/>
    <w:tmpl w:val="88C2F4B4"/>
    <w:lvl w:ilvl="0" w:tplc="0464AD12">
      <w:start w:val="1"/>
      <w:numFmt w:val="decimal"/>
      <w:lvlText w:val="%1."/>
      <w:lvlJc w:val="left"/>
      <w:pPr>
        <w:ind w:left="1494" w:hanging="360"/>
      </w:pPr>
      <w:rPr>
        <w:rFonts w:hint="default"/>
      </w:rPr>
    </w:lvl>
    <w:lvl w:ilvl="1" w:tplc="20D283A4">
      <w:start w:val="1"/>
      <w:numFmt w:val="lowerLetter"/>
      <w:lvlText w:val="%2."/>
      <w:lvlJc w:val="left"/>
      <w:pPr>
        <w:ind w:left="2214" w:hanging="360"/>
      </w:pPr>
      <w:rPr>
        <w:strike w:val="0"/>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F935C96"/>
    <w:multiLevelType w:val="hybridMultilevel"/>
    <w:tmpl w:val="5A22310E"/>
    <w:lvl w:ilvl="0" w:tplc="4516B53A">
      <w:start w:val="1"/>
      <w:numFmt w:val="lowerLetter"/>
      <w:lvlText w:val="(%1)"/>
      <w:lvlJc w:val="left"/>
      <w:pPr>
        <w:ind w:left="2214"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C7DAB"/>
    <w:multiLevelType w:val="hybridMultilevel"/>
    <w:tmpl w:val="CC28BD28"/>
    <w:lvl w:ilvl="0" w:tplc="04DA919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43391B46"/>
    <w:multiLevelType w:val="hybridMultilevel"/>
    <w:tmpl w:val="9F82E45E"/>
    <w:lvl w:ilvl="0" w:tplc="378C71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9EF1EB5"/>
    <w:multiLevelType w:val="hybridMultilevel"/>
    <w:tmpl w:val="6456CB96"/>
    <w:lvl w:ilvl="0" w:tplc="20D283A4">
      <w:start w:val="1"/>
      <w:numFmt w:val="lowerLetter"/>
      <w:lvlText w:val="%1."/>
      <w:lvlJc w:val="left"/>
      <w:pPr>
        <w:ind w:left="2214"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70094"/>
    <w:multiLevelType w:val="hybridMultilevel"/>
    <w:tmpl w:val="64D25FAC"/>
    <w:lvl w:ilvl="0" w:tplc="ED0807AA">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4AB73C2"/>
    <w:multiLevelType w:val="hybridMultilevel"/>
    <w:tmpl w:val="4E42A8A2"/>
    <w:lvl w:ilvl="0" w:tplc="08090019">
      <w:start w:val="1"/>
      <w:numFmt w:val="lowerLetter"/>
      <w:lvlText w:val="%1."/>
      <w:lvlJc w:val="left"/>
      <w:pPr>
        <w:ind w:left="221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094D9F"/>
    <w:multiLevelType w:val="hybridMultilevel"/>
    <w:tmpl w:val="42484A64"/>
    <w:lvl w:ilvl="0" w:tplc="FF68E8E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8F66A3"/>
    <w:multiLevelType w:val="hybridMultilevel"/>
    <w:tmpl w:val="AB8ED1FC"/>
    <w:lvl w:ilvl="0" w:tplc="04090017">
      <w:start w:val="1"/>
      <w:numFmt w:val="lowerLetter"/>
      <w:lvlText w:val="%1)"/>
      <w:lvlJc w:val="left"/>
      <w:pPr>
        <w:ind w:left="22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EF6C5C"/>
    <w:multiLevelType w:val="hybridMultilevel"/>
    <w:tmpl w:val="E07A57D4"/>
    <w:lvl w:ilvl="0" w:tplc="E82C7DCE">
      <w:start w:val="7"/>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1"/>
  </w:num>
  <w:num w:numId="13">
    <w:abstractNumId w:val="10"/>
  </w:num>
  <w:num w:numId="14">
    <w:abstractNumId w:val="25"/>
  </w:num>
  <w:num w:numId="15">
    <w:abstractNumId w:val="27"/>
  </w:num>
  <w:num w:numId="16">
    <w:abstractNumId w:val="16"/>
  </w:num>
  <w:num w:numId="17">
    <w:abstractNumId w:val="15"/>
  </w:num>
  <w:num w:numId="18">
    <w:abstractNumId w:val="28"/>
  </w:num>
  <w:num w:numId="19">
    <w:abstractNumId w:val="24"/>
  </w:num>
  <w:num w:numId="20">
    <w:abstractNumId w:val="13"/>
  </w:num>
  <w:num w:numId="21">
    <w:abstractNumId w:val="26"/>
  </w:num>
  <w:num w:numId="22">
    <w:abstractNumId w:val="12"/>
  </w:num>
  <w:num w:numId="23">
    <w:abstractNumId w:val="17"/>
  </w:num>
  <w:num w:numId="24">
    <w:abstractNumId w:val="14"/>
  </w:num>
  <w:num w:numId="25">
    <w:abstractNumId w:val="22"/>
  </w:num>
  <w:num w:numId="26">
    <w:abstractNumId w:val="20"/>
  </w:num>
  <w:num w:numId="27">
    <w:abstractNumId w:val="19"/>
  </w:num>
  <w:num w:numId="28">
    <w:abstractNumId w:val="18"/>
  </w:num>
  <w:num w:numId="2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26CB"/>
    <w:rsid w:val="0000447A"/>
    <w:rsid w:val="00006350"/>
    <w:rsid w:val="00010403"/>
    <w:rsid w:val="00010840"/>
    <w:rsid w:val="000115A4"/>
    <w:rsid w:val="000134CF"/>
    <w:rsid w:val="00014BA7"/>
    <w:rsid w:val="00016113"/>
    <w:rsid w:val="00021A34"/>
    <w:rsid w:val="000230A1"/>
    <w:rsid w:val="00025E4D"/>
    <w:rsid w:val="00026046"/>
    <w:rsid w:val="0002626C"/>
    <w:rsid w:val="00027FBE"/>
    <w:rsid w:val="00031FF3"/>
    <w:rsid w:val="00034B57"/>
    <w:rsid w:val="00035D50"/>
    <w:rsid w:val="00037FD8"/>
    <w:rsid w:val="000424E1"/>
    <w:rsid w:val="00044B65"/>
    <w:rsid w:val="00044DE9"/>
    <w:rsid w:val="00050F6B"/>
    <w:rsid w:val="00051062"/>
    <w:rsid w:val="000540AC"/>
    <w:rsid w:val="00056542"/>
    <w:rsid w:val="00057EC6"/>
    <w:rsid w:val="00060E74"/>
    <w:rsid w:val="00062A47"/>
    <w:rsid w:val="00062F47"/>
    <w:rsid w:val="00064A74"/>
    <w:rsid w:val="00066BB0"/>
    <w:rsid w:val="000675CC"/>
    <w:rsid w:val="00067B2D"/>
    <w:rsid w:val="00071BCB"/>
    <w:rsid w:val="00072C8C"/>
    <w:rsid w:val="0007360D"/>
    <w:rsid w:val="00074065"/>
    <w:rsid w:val="00075444"/>
    <w:rsid w:val="00080E0E"/>
    <w:rsid w:val="00086FBE"/>
    <w:rsid w:val="000900D2"/>
    <w:rsid w:val="00091419"/>
    <w:rsid w:val="000931C0"/>
    <w:rsid w:val="000A25EF"/>
    <w:rsid w:val="000A47C9"/>
    <w:rsid w:val="000A57F2"/>
    <w:rsid w:val="000B0A3E"/>
    <w:rsid w:val="000B175B"/>
    <w:rsid w:val="000B3A0F"/>
    <w:rsid w:val="000B7309"/>
    <w:rsid w:val="000C0BD8"/>
    <w:rsid w:val="000C2501"/>
    <w:rsid w:val="000C52A3"/>
    <w:rsid w:val="000D21CE"/>
    <w:rsid w:val="000D2DB2"/>
    <w:rsid w:val="000E0415"/>
    <w:rsid w:val="000E2643"/>
    <w:rsid w:val="000E3BAD"/>
    <w:rsid w:val="000E45F7"/>
    <w:rsid w:val="000F2380"/>
    <w:rsid w:val="000F5031"/>
    <w:rsid w:val="00100242"/>
    <w:rsid w:val="00105D5C"/>
    <w:rsid w:val="0010735D"/>
    <w:rsid w:val="00115198"/>
    <w:rsid w:val="00117787"/>
    <w:rsid w:val="00130B2B"/>
    <w:rsid w:val="00131714"/>
    <w:rsid w:val="00131767"/>
    <w:rsid w:val="00131D42"/>
    <w:rsid w:val="001329B7"/>
    <w:rsid w:val="00134A89"/>
    <w:rsid w:val="001359E2"/>
    <w:rsid w:val="001415AC"/>
    <w:rsid w:val="00141AC5"/>
    <w:rsid w:val="0014274C"/>
    <w:rsid w:val="001472C9"/>
    <w:rsid w:val="0014749F"/>
    <w:rsid w:val="00147BFD"/>
    <w:rsid w:val="00150A37"/>
    <w:rsid w:val="0015390C"/>
    <w:rsid w:val="001559C5"/>
    <w:rsid w:val="00155A9F"/>
    <w:rsid w:val="0016239A"/>
    <w:rsid w:val="001633FB"/>
    <w:rsid w:val="001649AD"/>
    <w:rsid w:val="001832E7"/>
    <w:rsid w:val="00184294"/>
    <w:rsid w:val="00184541"/>
    <w:rsid w:val="00186AE8"/>
    <w:rsid w:val="0018709C"/>
    <w:rsid w:val="00190553"/>
    <w:rsid w:val="00190A47"/>
    <w:rsid w:val="00191FC2"/>
    <w:rsid w:val="001A0D51"/>
    <w:rsid w:val="001A368F"/>
    <w:rsid w:val="001B1A57"/>
    <w:rsid w:val="001B4B04"/>
    <w:rsid w:val="001C08BC"/>
    <w:rsid w:val="001C144E"/>
    <w:rsid w:val="001C21AD"/>
    <w:rsid w:val="001C3F03"/>
    <w:rsid w:val="001C4390"/>
    <w:rsid w:val="001C4992"/>
    <w:rsid w:val="001C6663"/>
    <w:rsid w:val="001C70FB"/>
    <w:rsid w:val="001C7895"/>
    <w:rsid w:val="001D26DF"/>
    <w:rsid w:val="001D2FDC"/>
    <w:rsid w:val="001D510E"/>
    <w:rsid w:val="001E1715"/>
    <w:rsid w:val="001E5B82"/>
    <w:rsid w:val="001F2F2D"/>
    <w:rsid w:val="001F62B8"/>
    <w:rsid w:val="001F7DAC"/>
    <w:rsid w:val="00204D75"/>
    <w:rsid w:val="002054BE"/>
    <w:rsid w:val="0020640F"/>
    <w:rsid w:val="00211BD8"/>
    <w:rsid w:val="00211E0B"/>
    <w:rsid w:val="00212046"/>
    <w:rsid w:val="00213254"/>
    <w:rsid w:val="00216D41"/>
    <w:rsid w:val="002213FA"/>
    <w:rsid w:val="0022446F"/>
    <w:rsid w:val="00224563"/>
    <w:rsid w:val="002262D3"/>
    <w:rsid w:val="002309A7"/>
    <w:rsid w:val="00230CED"/>
    <w:rsid w:val="00230F2E"/>
    <w:rsid w:val="00235937"/>
    <w:rsid w:val="002370FA"/>
    <w:rsid w:val="00237785"/>
    <w:rsid w:val="00241466"/>
    <w:rsid w:val="00244BA0"/>
    <w:rsid w:val="00251D38"/>
    <w:rsid w:val="00253374"/>
    <w:rsid w:val="002642BC"/>
    <w:rsid w:val="00265251"/>
    <w:rsid w:val="00265A8C"/>
    <w:rsid w:val="00265B09"/>
    <w:rsid w:val="00266EF2"/>
    <w:rsid w:val="002705B6"/>
    <w:rsid w:val="00271844"/>
    <w:rsid w:val="00271FD4"/>
    <w:rsid w:val="002725CA"/>
    <w:rsid w:val="00273071"/>
    <w:rsid w:val="00273296"/>
    <w:rsid w:val="00273765"/>
    <w:rsid w:val="00276796"/>
    <w:rsid w:val="0027776D"/>
    <w:rsid w:val="002807B9"/>
    <w:rsid w:val="00280EB7"/>
    <w:rsid w:val="00282E6F"/>
    <w:rsid w:val="00283B0C"/>
    <w:rsid w:val="002845E7"/>
    <w:rsid w:val="00284D69"/>
    <w:rsid w:val="00285581"/>
    <w:rsid w:val="00287C9D"/>
    <w:rsid w:val="00291742"/>
    <w:rsid w:val="00295751"/>
    <w:rsid w:val="00297FDB"/>
    <w:rsid w:val="002A0F9D"/>
    <w:rsid w:val="002A2457"/>
    <w:rsid w:val="002A3034"/>
    <w:rsid w:val="002A60F8"/>
    <w:rsid w:val="002A6E0B"/>
    <w:rsid w:val="002A7BC0"/>
    <w:rsid w:val="002B1A41"/>
    <w:rsid w:val="002B1CDA"/>
    <w:rsid w:val="002B26CF"/>
    <w:rsid w:val="002C56EC"/>
    <w:rsid w:val="002C638D"/>
    <w:rsid w:val="002D30CC"/>
    <w:rsid w:val="002D767C"/>
    <w:rsid w:val="002E0A46"/>
    <w:rsid w:val="002E10DE"/>
    <w:rsid w:val="002E6066"/>
    <w:rsid w:val="002F0ACF"/>
    <w:rsid w:val="002F67EF"/>
    <w:rsid w:val="002F7AAF"/>
    <w:rsid w:val="002F7F51"/>
    <w:rsid w:val="00301F46"/>
    <w:rsid w:val="00304648"/>
    <w:rsid w:val="003107FA"/>
    <w:rsid w:val="00314EEC"/>
    <w:rsid w:val="00316CDE"/>
    <w:rsid w:val="003229D8"/>
    <w:rsid w:val="00323B8F"/>
    <w:rsid w:val="00325099"/>
    <w:rsid w:val="00326949"/>
    <w:rsid w:val="0032739B"/>
    <w:rsid w:val="003307C0"/>
    <w:rsid w:val="00336A2D"/>
    <w:rsid w:val="003437DC"/>
    <w:rsid w:val="00350C40"/>
    <w:rsid w:val="0035488D"/>
    <w:rsid w:val="00363CCA"/>
    <w:rsid w:val="00364DED"/>
    <w:rsid w:val="00366D9B"/>
    <w:rsid w:val="003747A4"/>
    <w:rsid w:val="00376216"/>
    <w:rsid w:val="0037785D"/>
    <w:rsid w:val="00380F90"/>
    <w:rsid w:val="00381151"/>
    <w:rsid w:val="00383CC3"/>
    <w:rsid w:val="00385108"/>
    <w:rsid w:val="00390FE4"/>
    <w:rsid w:val="0039277A"/>
    <w:rsid w:val="00393FE4"/>
    <w:rsid w:val="003972E0"/>
    <w:rsid w:val="003A2736"/>
    <w:rsid w:val="003A2B5D"/>
    <w:rsid w:val="003A4A7A"/>
    <w:rsid w:val="003B45CF"/>
    <w:rsid w:val="003B5E83"/>
    <w:rsid w:val="003C247C"/>
    <w:rsid w:val="003C2CC4"/>
    <w:rsid w:val="003C39BA"/>
    <w:rsid w:val="003D4B23"/>
    <w:rsid w:val="003E1CED"/>
    <w:rsid w:val="003E3164"/>
    <w:rsid w:val="003E5E81"/>
    <w:rsid w:val="003E7451"/>
    <w:rsid w:val="003F347E"/>
    <w:rsid w:val="003F66B7"/>
    <w:rsid w:val="003F77B5"/>
    <w:rsid w:val="004028F0"/>
    <w:rsid w:val="00412C82"/>
    <w:rsid w:val="0041748B"/>
    <w:rsid w:val="00421F30"/>
    <w:rsid w:val="004230C6"/>
    <w:rsid w:val="004325CB"/>
    <w:rsid w:val="00432CFD"/>
    <w:rsid w:val="00434639"/>
    <w:rsid w:val="00434D54"/>
    <w:rsid w:val="00435D14"/>
    <w:rsid w:val="00435DC9"/>
    <w:rsid w:val="00436ABC"/>
    <w:rsid w:val="00436E22"/>
    <w:rsid w:val="00437F3F"/>
    <w:rsid w:val="00440728"/>
    <w:rsid w:val="00443E7D"/>
    <w:rsid w:val="004444D3"/>
    <w:rsid w:val="00445784"/>
    <w:rsid w:val="00446DE4"/>
    <w:rsid w:val="00447A01"/>
    <w:rsid w:val="00454036"/>
    <w:rsid w:val="0045550F"/>
    <w:rsid w:val="00457ED8"/>
    <w:rsid w:val="00461C3F"/>
    <w:rsid w:val="00462EB7"/>
    <w:rsid w:val="00463344"/>
    <w:rsid w:val="00463DBC"/>
    <w:rsid w:val="00465A22"/>
    <w:rsid w:val="00471D64"/>
    <w:rsid w:val="0047259D"/>
    <w:rsid w:val="00474B1C"/>
    <w:rsid w:val="004801F9"/>
    <w:rsid w:val="0048040E"/>
    <w:rsid w:val="004815BC"/>
    <w:rsid w:val="00486F0C"/>
    <w:rsid w:val="004906B4"/>
    <w:rsid w:val="004918ED"/>
    <w:rsid w:val="00495374"/>
    <w:rsid w:val="00495FDE"/>
    <w:rsid w:val="004A27F7"/>
    <w:rsid w:val="004A411D"/>
    <w:rsid w:val="004A57CE"/>
    <w:rsid w:val="004A72B1"/>
    <w:rsid w:val="004B2C9D"/>
    <w:rsid w:val="004B4C10"/>
    <w:rsid w:val="004B5224"/>
    <w:rsid w:val="004C008C"/>
    <w:rsid w:val="004C3287"/>
    <w:rsid w:val="004C5AF0"/>
    <w:rsid w:val="004C6CF4"/>
    <w:rsid w:val="004C7878"/>
    <w:rsid w:val="004D0FBF"/>
    <w:rsid w:val="004E2C23"/>
    <w:rsid w:val="004E795A"/>
    <w:rsid w:val="004F44DC"/>
    <w:rsid w:val="00503B9C"/>
    <w:rsid w:val="00511413"/>
    <w:rsid w:val="005123DA"/>
    <w:rsid w:val="00515F83"/>
    <w:rsid w:val="00516993"/>
    <w:rsid w:val="00517A3F"/>
    <w:rsid w:val="005203EB"/>
    <w:rsid w:val="00521982"/>
    <w:rsid w:val="00522D44"/>
    <w:rsid w:val="00524600"/>
    <w:rsid w:val="005252DB"/>
    <w:rsid w:val="0052748C"/>
    <w:rsid w:val="00527910"/>
    <w:rsid w:val="005318FB"/>
    <w:rsid w:val="00532908"/>
    <w:rsid w:val="00534DA8"/>
    <w:rsid w:val="0053686F"/>
    <w:rsid w:val="005420F2"/>
    <w:rsid w:val="00547520"/>
    <w:rsid w:val="00553BE1"/>
    <w:rsid w:val="00553F25"/>
    <w:rsid w:val="00555BB3"/>
    <w:rsid w:val="005601F0"/>
    <w:rsid w:val="005616F9"/>
    <w:rsid w:val="00572388"/>
    <w:rsid w:val="005725A0"/>
    <w:rsid w:val="0057266D"/>
    <w:rsid w:val="00573567"/>
    <w:rsid w:val="00574827"/>
    <w:rsid w:val="00580F83"/>
    <w:rsid w:val="005872A8"/>
    <w:rsid w:val="00590144"/>
    <w:rsid w:val="00590878"/>
    <w:rsid w:val="005962B5"/>
    <w:rsid w:val="00596AFB"/>
    <w:rsid w:val="005A3505"/>
    <w:rsid w:val="005A4D8F"/>
    <w:rsid w:val="005A585F"/>
    <w:rsid w:val="005A58DB"/>
    <w:rsid w:val="005B2AC2"/>
    <w:rsid w:val="005B3DB3"/>
    <w:rsid w:val="005C00DF"/>
    <w:rsid w:val="005C4E2C"/>
    <w:rsid w:val="005C5058"/>
    <w:rsid w:val="005C67A3"/>
    <w:rsid w:val="005D1CA6"/>
    <w:rsid w:val="005D476B"/>
    <w:rsid w:val="005D5296"/>
    <w:rsid w:val="005D5E45"/>
    <w:rsid w:val="005E0F7B"/>
    <w:rsid w:val="005E482E"/>
    <w:rsid w:val="005E5BFE"/>
    <w:rsid w:val="005F02BA"/>
    <w:rsid w:val="00601025"/>
    <w:rsid w:val="006014D2"/>
    <w:rsid w:val="00606BD8"/>
    <w:rsid w:val="006119AE"/>
    <w:rsid w:val="00611FC4"/>
    <w:rsid w:val="00614783"/>
    <w:rsid w:val="0061691B"/>
    <w:rsid w:val="006176FB"/>
    <w:rsid w:val="00626363"/>
    <w:rsid w:val="00626845"/>
    <w:rsid w:val="006304B5"/>
    <w:rsid w:val="00633A12"/>
    <w:rsid w:val="0063419C"/>
    <w:rsid w:val="00640B26"/>
    <w:rsid w:val="006420B1"/>
    <w:rsid w:val="006500BA"/>
    <w:rsid w:val="00650DBA"/>
    <w:rsid w:val="006612FE"/>
    <w:rsid w:val="00663B47"/>
    <w:rsid w:val="006804E7"/>
    <w:rsid w:val="00680EC5"/>
    <w:rsid w:val="00681546"/>
    <w:rsid w:val="00681628"/>
    <w:rsid w:val="00681744"/>
    <w:rsid w:val="0068403D"/>
    <w:rsid w:val="00684E8C"/>
    <w:rsid w:val="00690794"/>
    <w:rsid w:val="0069492F"/>
    <w:rsid w:val="00696595"/>
    <w:rsid w:val="00697525"/>
    <w:rsid w:val="006A7392"/>
    <w:rsid w:val="006B5CA3"/>
    <w:rsid w:val="006B7842"/>
    <w:rsid w:val="006B7933"/>
    <w:rsid w:val="006C0D34"/>
    <w:rsid w:val="006C1CA0"/>
    <w:rsid w:val="006C40E7"/>
    <w:rsid w:val="006C54A0"/>
    <w:rsid w:val="006C7E11"/>
    <w:rsid w:val="006D0AF8"/>
    <w:rsid w:val="006D1418"/>
    <w:rsid w:val="006D247B"/>
    <w:rsid w:val="006D5191"/>
    <w:rsid w:val="006D7F42"/>
    <w:rsid w:val="006E564B"/>
    <w:rsid w:val="006E6FBD"/>
    <w:rsid w:val="006F3E52"/>
    <w:rsid w:val="006F4D74"/>
    <w:rsid w:val="006F5501"/>
    <w:rsid w:val="007012C4"/>
    <w:rsid w:val="0070311F"/>
    <w:rsid w:val="00704A7F"/>
    <w:rsid w:val="007102D9"/>
    <w:rsid w:val="00711998"/>
    <w:rsid w:val="007227B6"/>
    <w:rsid w:val="00725848"/>
    <w:rsid w:val="0072632A"/>
    <w:rsid w:val="0073039D"/>
    <w:rsid w:val="00730463"/>
    <w:rsid w:val="007319D5"/>
    <w:rsid w:val="00731BEA"/>
    <w:rsid w:val="00741915"/>
    <w:rsid w:val="00745352"/>
    <w:rsid w:val="0075116C"/>
    <w:rsid w:val="00753201"/>
    <w:rsid w:val="007548D5"/>
    <w:rsid w:val="007553DC"/>
    <w:rsid w:val="007612E0"/>
    <w:rsid w:val="00761389"/>
    <w:rsid w:val="00761700"/>
    <w:rsid w:val="00762706"/>
    <w:rsid w:val="007665DE"/>
    <w:rsid w:val="007701AF"/>
    <w:rsid w:val="00770C42"/>
    <w:rsid w:val="00771113"/>
    <w:rsid w:val="007713F2"/>
    <w:rsid w:val="00776CA4"/>
    <w:rsid w:val="00777356"/>
    <w:rsid w:val="00780921"/>
    <w:rsid w:val="0078270D"/>
    <w:rsid w:val="007857CD"/>
    <w:rsid w:val="00790791"/>
    <w:rsid w:val="00791404"/>
    <w:rsid w:val="007922B8"/>
    <w:rsid w:val="007A23EF"/>
    <w:rsid w:val="007A34EE"/>
    <w:rsid w:val="007A5086"/>
    <w:rsid w:val="007A66B2"/>
    <w:rsid w:val="007B6BA5"/>
    <w:rsid w:val="007B6FE6"/>
    <w:rsid w:val="007C3390"/>
    <w:rsid w:val="007C4F4B"/>
    <w:rsid w:val="007C7CE9"/>
    <w:rsid w:val="007E3A92"/>
    <w:rsid w:val="007E4C8F"/>
    <w:rsid w:val="007E51DE"/>
    <w:rsid w:val="007E5D88"/>
    <w:rsid w:val="007E7937"/>
    <w:rsid w:val="007F25B3"/>
    <w:rsid w:val="007F28CB"/>
    <w:rsid w:val="007F6611"/>
    <w:rsid w:val="00800138"/>
    <w:rsid w:val="00802D27"/>
    <w:rsid w:val="0080387F"/>
    <w:rsid w:val="008041BA"/>
    <w:rsid w:val="0080468E"/>
    <w:rsid w:val="008124A5"/>
    <w:rsid w:val="008129F0"/>
    <w:rsid w:val="008164C0"/>
    <w:rsid w:val="008175E9"/>
    <w:rsid w:val="008213BB"/>
    <w:rsid w:val="00822225"/>
    <w:rsid w:val="00822913"/>
    <w:rsid w:val="008242D7"/>
    <w:rsid w:val="0083337A"/>
    <w:rsid w:val="00837843"/>
    <w:rsid w:val="00841AB4"/>
    <w:rsid w:val="00846136"/>
    <w:rsid w:val="00853FAE"/>
    <w:rsid w:val="008548B3"/>
    <w:rsid w:val="008554E7"/>
    <w:rsid w:val="00855967"/>
    <w:rsid w:val="00861ACC"/>
    <w:rsid w:val="008621CD"/>
    <w:rsid w:val="00866523"/>
    <w:rsid w:val="00870CBA"/>
    <w:rsid w:val="00871FD5"/>
    <w:rsid w:val="00874782"/>
    <w:rsid w:val="00874C3C"/>
    <w:rsid w:val="00880DE7"/>
    <w:rsid w:val="008828E0"/>
    <w:rsid w:val="00884B25"/>
    <w:rsid w:val="00885E87"/>
    <w:rsid w:val="00893828"/>
    <w:rsid w:val="008947E2"/>
    <w:rsid w:val="00894C13"/>
    <w:rsid w:val="008979B1"/>
    <w:rsid w:val="008A1350"/>
    <w:rsid w:val="008A29F7"/>
    <w:rsid w:val="008A476F"/>
    <w:rsid w:val="008A5C06"/>
    <w:rsid w:val="008A6991"/>
    <w:rsid w:val="008A6B25"/>
    <w:rsid w:val="008A6B52"/>
    <w:rsid w:val="008A6C4F"/>
    <w:rsid w:val="008B0D33"/>
    <w:rsid w:val="008B174F"/>
    <w:rsid w:val="008B6897"/>
    <w:rsid w:val="008C0C4E"/>
    <w:rsid w:val="008C3133"/>
    <w:rsid w:val="008C4A16"/>
    <w:rsid w:val="008C4FB8"/>
    <w:rsid w:val="008C518D"/>
    <w:rsid w:val="008C7398"/>
    <w:rsid w:val="008C78D1"/>
    <w:rsid w:val="008D16E8"/>
    <w:rsid w:val="008D16EF"/>
    <w:rsid w:val="008D5AB6"/>
    <w:rsid w:val="008D6FE1"/>
    <w:rsid w:val="008D7973"/>
    <w:rsid w:val="008D7AB3"/>
    <w:rsid w:val="008E0E46"/>
    <w:rsid w:val="008E1E27"/>
    <w:rsid w:val="008E228E"/>
    <w:rsid w:val="008E3B3C"/>
    <w:rsid w:val="008F1250"/>
    <w:rsid w:val="008F2451"/>
    <w:rsid w:val="008F596C"/>
    <w:rsid w:val="008F671F"/>
    <w:rsid w:val="00901098"/>
    <w:rsid w:val="009019F7"/>
    <w:rsid w:val="009043FC"/>
    <w:rsid w:val="00904592"/>
    <w:rsid w:val="00910F3B"/>
    <w:rsid w:val="009128F8"/>
    <w:rsid w:val="00915A89"/>
    <w:rsid w:val="00916F49"/>
    <w:rsid w:val="009213A3"/>
    <w:rsid w:val="0092169C"/>
    <w:rsid w:val="00921A36"/>
    <w:rsid w:val="00921FDE"/>
    <w:rsid w:val="0092208B"/>
    <w:rsid w:val="00924C9C"/>
    <w:rsid w:val="0092746C"/>
    <w:rsid w:val="0093272D"/>
    <w:rsid w:val="009338EE"/>
    <w:rsid w:val="009346DE"/>
    <w:rsid w:val="00940320"/>
    <w:rsid w:val="00940479"/>
    <w:rsid w:val="0094213D"/>
    <w:rsid w:val="00943B65"/>
    <w:rsid w:val="00945553"/>
    <w:rsid w:val="00945A5D"/>
    <w:rsid w:val="009502B6"/>
    <w:rsid w:val="00952D79"/>
    <w:rsid w:val="00953FD3"/>
    <w:rsid w:val="00956CAD"/>
    <w:rsid w:val="00957C6D"/>
    <w:rsid w:val="00963CBA"/>
    <w:rsid w:val="00964B10"/>
    <w:rsid w:val="00967AC9"/>
    <w:rsid w:val="00971136"/>
    <w:rsid w:val="00971BC5"/>
    <w:rsid w:val="00973555"/>
    <w:rsid w:val="009815DF"/>
    <w:rsid w:val="009848AB"/>
    <w:rsid w:val="00987E8A"/>
    <w:rsid w:val="00987EBF"/>
    <w:rsid w:val="00990F51"/>
    <w:rsid w:val="009910F4"/>
    <w:rsid w:val="0099124E"/>
    <w:rsid w:val="00991261"/>
    <w:rsid w:val="00992985"/>
    <w:rsid w:val="00993E78"/>
    <w:rsid w:val="00993F32"/>
    <w:rsid w:val="0099483C"/>
    <w:rsid w:val="009967A1"/>
    <w:rsid w:val="00997C6F"/>
    <w:rsid w:val="009A3CB7"/>
    <w:rsid w:val="009A681A"/>
    <w:rsid w:val="009B007F"/>
    <w:rsid w:val="009B0E4A"/>
    <w:rsid w:val="009B0ED1"/>
    <w:rsid w:val="009B7AFE"/>
    <w:rsid w:val="009C25D5"/>
    <w:rsid w:val="009C2953"/>
    <w:rsid w:val="009C2C82"/>
    <w:rsid w:val="009C3507"/>
    <w:rsid w:val="009C3671"/>
    <w:rsid w:val="009C46C7"/>
    <w:rsid w:val="009C67CC"/>
    <w:rsid w:val="009D5278"/>
    <w:rsid w:val="009D58C1"/>
    <w:rsid w:val="009E140E"/>
    <w:rsid w:val="009F0F06"/>
    <w:rsid w:val="009F20AF"/>
    <w:rsid w:val="009F53F9"/>
    <w:rsid w:val="00A00A87"/>
    <w:rsid w:val="00A04323"/>
    <w:rsid w:val="00A04695"/>
    <w:rsid w:val="00A05021"/>
    <w:rsid w:val="00A05A6B"/>
    <w:rsid w:val="00A065BA"/>
    <w:rsid w:val="00A0730A"/>
    <w:rsid w:val="00A120B4"/>
    <w:rsid w:val="00A1255E"/>
    <w:rsid w:val="00A1427D"/>
    <w:rsid w:val="00A1492E"/>
    <w:rsid w:val="00A176C2"/>
    <w:rsid w:val="00A23A0D"/>
    <w:rsid w:val="00A250A4"/>
    <w:rsid w:val="00A27434"/>
    <w:rsid w:val="00A27707"/>
    <w:rsid w:val="00A3141D"/>
    <w:rsid w:val="00A328AA"/>
    <w:rsid w:val="00A343EA"/>
    <w:rsid w:val="00A40024"/>
    <w:rsid w:val="00A43680"/>
    <w:rsid w:val="00A43937"/>
    <w:rsid w:val="00A444A2"/>
    <w:rsid w:val="00A46844"/>
    <w:rsid w:val="00A47B65"/>
    <w:rsid w:val="00A52ACD"/>
    <w:rsid w:val="00A60EB5"/>
    <w:rsid w:val="00A655EC"/>
    <w:rsid w:val="00A67BA6"/>
    <w:rsid w:val="00A72F22"/>
    <w:rsid w:val="00A7341F"/>
    <w:rsid w:val="00A748A6"/>
    <w:rsid w:val="00A74F3D"/>
    <w:rsid w:val="00A75EC9"/>
    <w:rsid w:val="00A879A4"/>
    <w:rsid w:val="00A96817"/>
    <w:rsid w:val="00AA3258"/>
    <w:rsid w:val="00AA479F"/>
    <w:rsid w:val="00AA54E3"/>
    <w:rsid w:val="00AA7910"/>
    <w:rsid w:val="00AB48E3"/>
    <w:rsid w:val="00AB521F"/>
    <w:rsid w:val="00AB79D3"/>
    <w:rsid w:val="00AC1947"/>
    <w:rsid w:val="00AC2113"/>
    <w:rsid w:val="00AC3EB6"/>
    <w:rsid w:val="00AC47CB"/>
    <w:rsid w:val="00AC71C1"/>
    <w:rsid w:val="00AD22B7"/>
    <w:rsid w:val="00AD29A4"/>
    <w:rsid w:val="00AD29BB"/>
    <w:rsid w:val="00AD6445"/>
    <w:rsid w:val="00AE0953"/>
    <w:rsid w:val="00AE5607"/>
    <w:rsid w:val="00AE71B9"/>
    <w:rsid w:val="00AF2A45"/>
    <w:rsid w:val="00AF2B6B"/>
    <w:rsid w:val="00AF2FF0"/>
    <w:rsid w:val="00AF3B55"/>
    <w:rsid w:val="00AF5AB8"/>
    <w:rsid w:val="00B00EA2"/>
    <w:rsid w:val="00B045D1"/>
    <w:rsid w:val="00B062A6"/>
    <w:rsid w:val="00B07928"/>
    <w:rsid w:val="00B27DFF"/>
    <w:rsid w:val="00B30179"/>
    <w:rsid w:val="00B329D9"/>
    <w:rsid w:val="00B32C5C"/>
    <w:rsid w:val="00B3317B"/>
    <w:rsid w:val="00B355CF"/>
    <w:rsid w:val="00B3750B"/>
    <w:rsid w:val="00B37D2F"/>
    <w:rsid w:val="00B41EB4"/>
    <w:rsid w:val="00B43E15"/>
    <w:rsid w:val="00B44874"/>
    <w:rsid w:val="00B44D1E"/>
    <w:rsid w:val="00B501B7"/>
    <w:rsid w:val="00B50F43"/>
    <w:rsid w:val="00B57FBF"/>
    <w:rsid w:val="00B60225"/>
    <w:rsid w:val="00B6429F"/>
    <w:rsid w:val="00B656F0"/>
    <w:rsid w:val="00B66C7F"/>
    <w:rsid w:val="00B71A11"/>
    <w:rsid w:val="00B725B8"/>
    <w:rsid w:val="00B726A5"/>
    <w:rsid w:val="00B73FEA"/>
    <w:rsid w:val="00B74841"/>
    <w:rsid w:val="00B75DBC"/>
    <w:rsid w:val="00B760BC"/>
    <w:rsid w:val="00B77F38"/>
    <w:rsid w:val="00B81354"/>
    <w:rsid w:val="00B81C8D"/>
    <w:rsid w:val="00B81E12"/>
    <w:rsid w:val="00B82024"/>
    <w:rsid w:val="00B83CFE"/>
    <w:rsid w:val="00B85580"/>
    <w:rsid w:val="00B86B4D"/>
    <w:rsid w:val="00B87869"/>
    <w:rsid w:val="00B91DEF"/>
    <w:rsid w:val="00B920A4"/>
    <w:rsid w:val="00B93068"/>
    <w:rsid w:val="00B93114"/>
    <w:rsid w:val="00B95070"/>
    <w:rsid w:val="00BA17A3"/>
    <w:rsid w:val="00BB0818"/>
    <w:rsid w:val="00BB1DFD"/>
    <w:rsid w:val="00BB3143"/>
    <w:rsid w:val="00BB418D"/>
    <w:rsid w:val="00BB7196"/>
    <w:rsid w:val="00BC193A"/>
    <w:rsid w:val="00BC1C5D"/>
    <w:rsid w:val="00BC2610"/>
    <w:rsid w:val="00BC46ED"/>
    <w:rsid w:val="00BC498D"/>
    <w:rsid w:val="00BC5429"/>
    <w:rsid w:val="00BC6F35"/>
    <w:rsid w:val="00BC74C0"/>
    <w:rsid w:val="00BC74E9"/>
    <w:rsid w:val="00BC7EFB"/>
    <w:rsid w:val="00BD011C"/>
    <w:rsid w:val="00BD05B3"/>
    <w:rsid w:val="00BD58AB"/>
    <w:rsid w:val="00BE084C"/>
    <w:rsid w:val="00BE103A"/>
    <w:rsid w:val="00BE3C13"/>
    <w:rsid w:val="00BE447C"/>
    <w:rsid w:val="00BE5B7F"/>
    <w:rsid w:val="00BE618E"/>
    <w:rsid w:val="00BF5395"/>
    <w:rsid w:val="00BF5F47"/>
    <w:rsid w:val="00BF6D59"/>
    <w:rsid w:val="00BF7A1A"/>
    <w:rsid w:val="00C02B2A"/>
    <w:rsid w:val="00C1320F"/>
    <w:rsid w:val="00C13534"/>
    <w:rsid w:val="00C13800"/>
    <w:rsid w:val="00C15D9D"/>
    <w:rsid w:val="00C16149"/>
    <w:rsid w:val="00C20967"/>
    <w:rsid w:val="00C223FD"/>
    <w:rsid w:val="00C26657"/>
    <w:rsid w:val="00C302B4"/>
    <w:rsid w:val="00C31D95"/>
    <w:rsid w:val="00C344BC"/>
    <w:rsid w:val="00C3527B"/>
    <w:rsid w:val="00C35AE7"/>
    <w:rsid w:val="00C44685"/>
    <w:rsid w:val="00C463DD"/>
    <w:rsid w:val="00C4716A"/>
    <w:rsid w:val="00C53C82"/>
    <w:rsid w:val="00C60B9C"/>
    <w:rsid w:val="00C61568"/>
    <w:rsid w:val="00C622ED"/>
    <w:rsid w:val="00C62F76"/>
    <w:rsid w:val="00C65026"/>
    <w:rsid w:val="00C662AA"/>
    <w:rsid w:val="00C70858"/>
    <w:rsid w:val="00C72005"/>
    <w:rsid w:val="00C72E02"/>
    <w:rsid w:val="00C73FB2"/>
    <w:rsid w:val="00C73FD9"/>
    <w:rsid w:val="00C740DA"/>
    <w:rsid w:val="00C745C3"/>
    <w:rsid w:val="00C74A11"/>
    <w:rsid w:val="00C8384C"/>
    <w:rsid w:val="00C85F8B"/>
    <w:rsid w:val="00C927AC"/>
    <w:rsid w:val="00CA1183"/>
    <w:rsid w:val="00CA1F88"/>
    <w:rsid w:val="00CA516D"/>
    <w:rsid w:val="00CA7279"/>
    <w:rsid w:val="00CB03EB"/>
    <w:rsid w:val="00CB26B3"/>
    <w:rsid w:val="00CB51FE"/>
    <w:rsid w:val="00CB7EF2"/>
    <w:rsid w:val="00CC2702"/>
    <w:rsid w:val="00CC756A"/>
    <w:rsid w:val="00CC78A6"/>
    <w:rsid w:val="00CD20A1"/>
    <w:rsid w:val="00CD3225"/>
    <w:rsid w:val="00CD64B5"/>
    <w:rsid w:val="00CD747F"/>
    <w:rsid w:val="00CE1382"/>
    <w:rsid w:val="00CE4A8F"/>
    <w:rsid w:val="00CF03F4"/>
    <w:rsid w:val="00CF05AF"/>
    <w:rsid w:val="00CF0AEF"/>
    <w:rsid w:val="00CF209E"/>
    <w:rsid w:val="00CF3DF4"/>
    <w:rsid w:val="00CF3F39"/>
    <w:rsid w:val="00CF657E"/>
    <w:rsid w:val="00D01A4C"/>
    <w:rsid w:val="00D038EE"/>
    <w:rsid w:val="00D06940"/>
    <w:rsid w:val="00D102AE"/>
    <w:rsid w:val="00D12E4C"/>
    <w:rsid w:val="00D15F42"/>
    <w:rsid w:val="00D2031B"/>
    <w:rsid w:val="00D20C87"/>
    <w:rsid w:val="00D20EF4"/>
    <w:rsid w:val="00D21AA4"/>
    <w:rsid w:val="00D23442"/>
    <w:rsid w:val="00D234A9"/>
    <w:rsid w:val="00D25FE2"/>
    <w:rsid w:val="00D34FB3"/>
    <w:rsid w:val="00D351EB"/>
    <w:rsid w:val="00D35F5F"/>
    <w:rsid w:val="00D37904"/>
    <w:rsid w:val="00D43252"/>
    <w:rsid w:val="00D462A7"/>
    <w:rsid w:val="00D46E50"/>
    <w:rsid w:val="00D4764D"/>
    <w:rsid w:val="00D50452"/>
    <w:rsid w:val="00D66DEE"/>
    <w:rsid w:val="00D72DC1"/>
    <w:rsid w:val="00D74901"/>
    <w:rsid w:val="00D753D8"/>
    <w:rsid w:val="00D76673"/>
    <w:rsid w:val="00D80431"/>
    <w:rsid w:val="00D80A99"/>
    <w:rsid w:val="00D80CD6"/>
    <w:rsid w:val="00D8153A"/>
    <w:rsid w:val="00D86516"/>
    <w:rsid w:val="00D87F4C"/>
    <w:rsid w:val="00D9178F"/>
    <w:rsid w:val="00D94B0C"/>
    <w:rsid w:val="00D95B5B"/>
    <w:rsid w:val="00D96CC5"/>
    <w:rsid w:val="00D978C6"/>
    <w:rsid w:val="00DA1A6D"/>
    <w:rsid w:val="00DA67AD"/>
    <w:rsid w:val="00DB0CD3"/>
    <w:rsid w:val="00DB0CF8"/>
    <w:rsid w:val="00DB1F53"/>
    <w:rsid w:val="00DB5DD7"/>
    <w:rsid w:val="00DB6AEE"/>
    <w:rsid w:val="00DC1AA4"/>
    <w:rsid w:val="00DC5166"/>
    <w:rsid w:val="00DC5FBA"/>
    <w:rsid w:val="00DD5C8B"/>
    <w:rsid w:val="00DD6AFF"/>
    <w:rsid w:val="00DE0613"/>
    <w:rsid w:val="00DE112D"/>
    <w:rsid w:val="00DF236F"/>
    <w:rsid w:val="00DF2772"/>
    <w:rsid w:val="00DF3CF2"/>
    <w:rsid w:val="00DF453A"/>
    <w:rsid w:val="00DF498E"/>
    <w:rsid w:val="00DF662C"/>
    <w:rsid w:val="00E000AD"/>
    <w:rsid w:val="00E011A6"/>
    <w:rsid w:val="00E07564"/>
    <w:rsid w:val="00E1169F"/>
    <w:rsid w:val="00E130AB"/>
    <w:rsid w:val="00E147D5"/>
    <w:rsid w:val="00E14CFE"/>
    <w:rsid w:val="00E23AA7"/>
    <w:rsid w:val="00E241E1"/>
    <w:rsid w:val="00E26278"/>
    <w:rsid w:val="00E3055C"/>
    <w:rsid w:val="00E328FE"/>
    <w:rsid w:val="00E32E43"/>
    <w:rsid w:val="00E335A4"/>
    <w:rsid w:val="00E35C1C"/>
    <w:rsid w:val="00E41283"/>
    <w:rsid w:val="00E43CE3"/>
    <w:rsid w:val="00E52AC1"/>
    <w:rsid w:val="00E53F3B"/>
    <w:rsid w:val="00E549B7"/>
    <w:rsid w:val="00E5644E"/>
    <w:rsid w:val="00E60AC0"/>
    <w:rsid w:val="00E62EA5"/>
    <w:rsid w:val="00E62ED0"/>
    <w:rsid w:val="00E62F12"/>
    <w:rsid w:val="00E631DD"/>
    <w:rsid w:val="00E63654"/>
    <w:rsid w:val="00E6387D"/>
    <w:rsid w:val="00E63A70"/>
    <w:rsid w:val="00E65564"/>
    <w:rsid w:val="00E65EF4"/>
    <w:rsid w:val="00E70AD0"/>
    <w:rsid w:val="00E7260F"/>
    <w:rsid w:val="00E747A5"/>
    <w:rsid w:val="00E7485D"/>
    <w:rsid w:val="00E7601D"/>
    <w:rsid w:val="00E76142"/>
    <w:rsid w:val="00E8535A"/>
    <w:rsid w:val="00E856CE"/>
    <w:rsid w:val="00E862F2"/>
    <w:rsid w:val="00E9059F"/>
    <w:rsid w:val="00E90F23"/>
    <w:rsid w:val="00E94E64"/>
    <w:rsid w:val="00E96630"/>
    <w:rsid w:val="00EA06C3"/>
    <w:rsid w:val="00EA392B"/>
    <w:rsid w:val="00EA5351"/>
    <w:rsid w:val="00EA772F"/>
    <w:rsid w:val="00EB18D7"/>
    <w:rsid w:val="00EB2652"/>
    <w:rsid w:val="00EB30C3"/>
    <w:rsid w:val="00EB5EFC"/>
    <w:rsid w:val="00EB6832"/>
    <w:rsid w:val="00EB70E2"/>
    <w:rsid w:val="00EC5505"/>
    <w:rsid w:val="00EC5BC7"/>
    <w:rsid w:val="00EC7146"/>
    <w:rsid w:val="00ED5139"/>
    <w:rsid w:val="00ED6D82"/>
    <w:rsid w:val="00ED7A2A"/>
    <w:rsid w:val="00EE5771"/>
    <w:rsid w:val="00EE639C"/>
    <w:rsid w:val="00EF0B5A"/>
    <w:rsid w:val="00EF0D6E"/>
    <w:rsid w:val="00EF1D7F"/>
    <w:rsid w:val="00EF2383"/>
    <w:rsid w:val="00EF497D"/>
    <w:rsid w:val="00EF6834"/>
    <w:rsid w:val="00F14AAA"/>
    <w:rsid w:val="00F14AEA"/>
    <w:rsid w:val="00F16818"/>
    <w:rsid w:val="00F16AE0"/>
    <w:rsid w:val="00F179DE"/>
    <w:rsid w:val="00F20E52"/>
    <w:rsid w:val="00F233E7"/>
    <w:rsid w:val="00F236CE"/>
    <w:rsid w:val="00F2630D"/>
    <w:rsid w:val="00F30427"/>
    <w:rsid w:val="00F345D5"/>
    <w:rsid w:val="00F36C76"/>
    <w:rsid w:val="00F3711E"/>
    <w:rsid w:val="00F40E75"/>
    <w:rsid w:val="00F41498"/>
    <w:rsid w:val="00F42066"/>
    <w:rsid w:val="00F474CE"/>
    <w:rsid w:val="00F512F3"/>
    <w:rsid w:val="00F51379"/>
    <w:rsid w:val="00F518F7"/>
    <w:rsid w:val="00F532F9"/>
    <w:rsid w:val="00F54674"/>
    <w:rsid w:val="00F55A1F"/>
    <w:rsid w:val="00F55FD3"/>
    <w:rsid w:val="00F61B05"/>
    <w:rsid w:val="00F623B0"/>
    <w:rsid w:val="00F64EBE"/>
    <w:rsid w:val="00F701A2"/>
    <w:rsid w:val="00F70522"/>
    <w:rsid w:val="00F7224B"/>
    <w:rsid w:val="00F729F2"/>
    <w:rsid w:val="00F76BC5"/>
    <w:rsid w:val="00F778FA"/>
    <w:rsid w:val="00F800DA"/>
    <w:rsid w:val="00F81292"/>
    <w:rsid w:val="00F826CB"/>
    <w:rsid w:val="00F84827"/>
    <w:rsid w:val="00F85304"/>
    <w:rsid w:val="00F85B4A"/>
    <w:rsid w:val="00F85DBE"/>
    <w:rsid w:val="00F91C7F"/>
    <w:rsid w:val="00F94942"/>
    <w:rsid w:val="00F954BA"/>
    <w:rsid w:val="00FA5D8D"/>
    <w:rsid w:val="00FB016C"/>
    <w:rsid w:val="00FB09F1"/>
    <w:rsid w:val="00FB2719"/>
    <w:rsid w:val="00FB69E2"/>
    <w:rsid w:val="00FC2B0A"/>
    <w:rsid w:val="00FC5E08"/>
    <w:rsid w:val="00FC68B7"/>
    <w:rsid w:val="00FD02C1"/>
    <w:rsid w:val="00FD199B"/>
    <w:rsid w:val="00FD21A9"/>
    <w:rsid w:val="00FD59E3"/>
    <w:rsid w:val="00FD6B2B"/>
    <w:rsid w:val="00FE26FA"/>
    <w:rsid w:val="00FE37D0"/>
    <w:rsid w:val="00FF0169"/>
    <w:rsid w:val="00FF03BB"/>
    <w:rsid w:val="00FF437D"/>
    <w:rsid w:val="00FF7519"/>
    <w:rsid w:val="566ED5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82F62B"/>
  <w15:docId w15:val="{57AB88A4-0734-4727-ACF8-68B62CDA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1"/>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6"/>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 w:type="paragraph" w:customStyle="1" w:styleId="TableParagraph">
    <w:name w:val="Table Paragraph"/>
    <w:basedOn w:val="Normal"/>
    <w:uiPriority w:val="1"/>
    <w:qFormat/>
    <w:rsid w:val="00CD747F"/>
    <w:pPr>
      <w:widowControl w:val="0"/>
      <w:suppressAutoHyphens w:val="0"/>
      <w:autoSpaceDE w:val="0"/>
      <w:autoSpaceDN w:val="0"/>
      <w:spacing w:line="240" w:lineRule="auto"/>
      <w:jc w:val="center"/>
    </w:pPr>
    <w:rPr>
      <w:sz w:val="22"/>
      <w:szCs w:val="22"/>
      <w:lang w:val="en-US"/>
    </w:rPr>
  </w:style>
  <w:style w:type="paragraph" w:customStyle="1" w:styleId="p1">
    <w:name w:val="p1"/>
    <w:basedOn w:val="Normal"/>
    <w:rsid w:val="00DB6AEE"/>
    <w:pPr>
      <w:suppressAutoHyphens w:val="0"/>
      <w:spacing w:line="240" w:lineRule="auto"/>
    </w:pPr>
    <w:rPr>
      <w:sz w:val="17"/>
      <w:szCs w:val="17"/>
      <w:lang w:val="en-US"/>
    </w:rPr>
  </w:style>
  <w:style w:type="character" w:customStyle="1" w:styleId="apple-converted-space">
    <w:name w:val="apple-converted-space"/>
    <w:basedOn w:val="DefaultParagraphFont"/>
    <w:rsid w:val="00DB6AEE"/>
  </w:style>
  <w:style w:type="paragraph" w:customStyle="1" w:styleId="p2">
    <w:name w:val="p2"/>
    <w:basedOn w:val="Normal"/>
    <w:rsid w:val="00016113"/>
    <w:pPr>
      <w:suppressAutoHyphens w:val="0"/>
      <w:spacing w:line="240" w:lineRule="auto"/>
    </w:pPr>
    <w:rPr>
      <w:rFonts w:ascii="Helvetica" w:hAnsi="Helvetica"/>
      <w:sz w:val="18"/>
      <w:szCs w:val="18"/>
      <w:lang w:val="en-US"/>
    </w:rPr>
  </w:style>
  <w:style w:type="character" w:customStyle="1" w:styleId="s1">
    <w:name w:val="s1"/>
    <w:basedOn w:val="DefaultParagraphFont"/>
    <w:rsid w:val="00A96817"/>
    <w:rPr>
      <w:rFonts w:ascii="Times New Roman" w:hAnsi="Times New Roman" w:cs="Times New Roman"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103">
      <w:bodyDiv w:val="1"/>
      <w:marLeft w:val="0"/>
      <w:marRight w:val="0"/>
      <w:marTop w:val="0"/>
      <w:marBottom w:val="0"/>
      <w:divBdr>
        <w:top w:val="none" w:sz="0" w:space="0" w:color="auto"/>
        <w:left w:val="none" w:sz="0" w:space="0" w:color="auto"/>
        <w:bottom w:val="none" w:sz="0" w:space="0" w:color="auto"/>
        <w:right w:val="none" w:sz="0" w:space="0" w:color="auto"/>
      </w:divBdr>
    </w:div>
    <w:div w:id="44455079">
      <w:bodyDiv w:val="1"/>
      <w:marLeft w:val="0"/>
      <w:marRight w:val="0"/>
      <w:marTop w:val="0"/>
      <w:marBottom w:val="0"/>
      <w:divBdr>
        <w:top w:val="none" w:sz="0" w:space="0" w:color="auto"/>
        <w:left w:val="none" w:sz="0" w:space="0" w:color="auto"/>
        <w:bottom w:val="none" w:sz="0" w:space="0" w:color="auto"/>
        <w:right w:val="none" w:sz="0" w:space="0" w:color="auto"/>
      </w:divBdr>
    </w:div>
    <w:div w:id="57753436">
      <w:bodyDiv w:val="1"/>
      <w:marLeft w:val="0"/>
      <w:marRight w:val="0"/>
      <w:marTop w:val="0"/>
      <w:marBottom w:val="0"/>
      <w:divBdr>
        <w:top w:val="none" w:sz="0" w:space="0" w:color="auto"/>
        <w:left w:val="none" w:sz="0" w:space="0" w:color="auto"/>
        <w:bottom w:val="none" w:sz="0" w:space="0" w:color="auto"/>
        <w:right w:val="none" w:sz="0" w:space="0" w:color="auto"/>
      </w:divBdr>
    </w:div>
    <w:div w:id="92824458">
      <w:bodyDiv w:val="1"/>
      <w:marLeft w:val="0"/>
      <w:marRight w:val="0"/>
      <w:marTop w:val="0"/>
      <w:marBottom w:val="0"/>
      <w:divBdr>
        <w:top w:val="none" w:sz="0" w:space="0" w:color="auto"/>
        <w:left w:val="none" w:sz="0" w:space="0" w:color="auto"/>
        <w:bottom w:val="none" w:sz="0" w:space="0" w:color="auto"/>
        <w:right w:val="none" w:sz="0" w:space="0" w:color="auto"/>
      </w:divBdr>
    </w:div>
    <w:div w:id="200556333">
      <w:bodyDiv w:val="1"/>
      <w:marLeft w:val="0"/>
      <w:marRight w:val="0"/>
      <w:marTop w:val="0"/>
      <w:marBottom w:val="0"/>
      <w:divBdr>
        <w:top w:val="none" w:sz="0" w:space="0" w:color="auto"/>
        <w:left w:val="none" w:sz="0" w:space="0" w:color="auto"/>
        <w:bottom w:val="none" w:sz="0" w:space="0" w:color="auto"/>
        <w:right w:val="none" w:sz="0" w:space="0" w:color="auto"/>
      </w:divBdr>
    </w:div>
    <w:div w:id="354773228">
      <w:bodyDiv w:val="1"/>
      <w:marLeft w:val="0"/>
      <w:marRight w:val="0"/>
      <w:marTop w:val="0"/>
      <w:marBottom w:val="0"/>
      <w:divBdr>
        <w:top w:val="none" w:sz="0" w:space="0" w:color="auto"/>
        <w:left w:val="none" w:sz="0" w:space="0" w:color="auto"/>
        <w:bottom w:val="none" w:sz="0" w:space="0" w:color="auto"/>
        <w:right w:val="none" w:sz="0" w:space="0" w:color="auto"/>
      </w:divBdr>
    </w:div>
    <w:div w:id="379599810">
      <w:bodyDiv w:val="1"/>
      <w:marLeft w:val="0"/>
      <w:marRight w:val="0"/>
      <w:marTop w:val="0"/>
      <w:marBottom w:val="0"/>
      <w:divBdr>
        <w:top w:val="none" w:sz="0" w:space="0" w:color="auto"/>
        <w:left w:val="none" w:sz="0" w:space="0" w:color="auto"/>
        <w:bottom w:val="none" w:sz="0" w:space="0" w:color="auto"/>
        <w:right w:val="none" w:sz="0" w:space="0" w:color="auto"/>
      </w:divBdr>
    </w:div>
    <w:div w:id="659424903">
      <w:bodyDiv w:val="1"/>
      <w:marLeft w:val="0"/>
      <w:marRight w:val="0"/>
      <w:marTop w:val="0"/>
      <w:marBottom w:val="0"/>
      <w:divBdr>
        <w:top w:val="none" w:sz="0" w:space="0" w:color="auto"/>
        <w:left w:val="none" w:sz="0" w:space="0" w:color="auto"/>
        <w:bottom w:val="none" w:sz="0" w:space="0" w:color="auto"/>
        <w:right w:val="none" w:sz="0" w:space="0" w:color="auto"/>
      </w:divBdr>
    </w:div>
    <w:div w:id="662313645">
      <w:bodyDiv w:val="1"/>
      <w:marLeft w:val="0"/>
      <w:marRight w:val="0"/>
      <w:marTop w:val="0"/>
      <w:marBottom w:val="0"/>
      <w:divBdr>
        <w:top w:val="none" w:sz="0" w:space="0" w:color="auto"/>
        <w:left w:val="none" w:sz="0" w:space="0" w:color="auto"/>
        <w:bottom w:val="none" w:sz="0" w:space="0" w:color="auto"/>
        <w:right w:val="none" w:sz="0" w:space="0" w:color="auto"/>
      </w:divBdr>
    </w:div>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70971952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896862055">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1386415">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396002495">
      <w:bodyDiv w:val="1"/>
      <w:marLeft w:val="0"/>
      <w:marRight w:val="0"/>
      <w:marTop w:val="0"/>
      <w:marBottom w:val="0"/>
      <w:divBdr>
        <w:top w:val="none" w:sz="0" w:space="0" w:color="auto"/>
        <w:left w:val="none" w:sz="0" w:space="0" w:color="auto"/>
        <w:bottom w:val="none" w:sz="0" w:space="0" w:color="auto"/>
        <w:right w:val="none" w:sz="0" w:space="0" w:color="auto"/>
      </w:divBdr>
    </w:div>
    <w:div w:id="1483043419">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518958084">
      <w:bodyDiv w:val="1"/>
      <w:marLeft w:val="0"/>
      <w:marRight w:val="0"/>
      <w:marTop w:val="0"/>
      <w:marBottom w:val="0"/>
      <w:divBdr>
        <w:top w:val="none" w:sz="0" w:space="0" w:color="auto"/>
        <w:left w:val="none" w:sz="0" w:space="0" w:color="auto"/>
        <w:bottom w:val="none" w:sz="0" w:space="0" w:color="auto"/>
        <w:right w:val="none" w:sz="0" w:space="0" w:color="auto"/>
      </w:divBdr>
    </w:div>
    <w:div w:id="1673101045">
      <w:bodyDiv w:val="1"/>
      <w:marLeft w:val="0"/>
      <w:marRight w:val="0"/>
      <w:marTop w:val="0"/>
      <w:marBottom w:val="0"/>
      <w:divBdr>
        <w:top w:val="none" w:sz="0" w:space="0" w:color="auto"/>
        <w:left w:val="none" w:sz="0" w:space="0" w:color="auto"/>
        <w:bottom w:val="none" w:sz="0" w:space="0" w:color="auto"/>
        <w:right w:val="none" w:sz="0" w:space="0" w:color="auto"/>
      </w:divBdr>
    </w:div>
    <w:div w:id="1688675123">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 w:id="2042632127">
      <w:bodyDiv w:val="1"/>
      <w:marLeft w:val="0"/>
      <w:marRight w:val="0"/>
      <w:marTop w:val="0"/>
      <w:marBottom w:val="0"/>
      <w:divBdr>
        <w:top w:val="none" w:sz="0" w:space="0" w:color="auto"/>
        <w:left w:val="none" w:sz="0" w:space="0" w:color="auto"/>
        <w:bottom w:val="none" w:sz="0" w:space="0" w:color="auto"/>
        <w:right w:val="none" w:sz="0" w:space="0" w:color="auto"/>
      </w:divBdr>
    </w:div>
    <w:div w:id="21449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0C13-34B4-4553-A7E7-12BB36BE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1923</Words>
  <Characters>9962</Characters>
  <Application>Microsoft Office Word</Application>
  <DocSecurity>0</DocSecurity>
  <Lines>171</Lines>
  <Paragraphs>63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11</cp:revision>
  <cp:lastPrinted>2019-04-03T14:00:00Z</cp:lastPrinted>
  <dcterms:created xsi:type="dcterms:W3CDTF">2019-04-02T08:52:00Z</dcterms:created>
  <dcterms:modified xsi:type="dcterms:W3CDTF">2019-04-03T14:00:00Z</dcterms:modified>
</cp:coreProperties>
</file>