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3C499E" w:rsidRPr="009C0521">
        <w:tc>
          <w:tcPr>
            <w:tcW w:w="5529" w:type="dxa"/>
          </w:tcPr>
          <w:p w:rsidR="003C499E" w:rsidRPr="009C0521" w:rsidRDefault="00FD6EA8">
            <w:pPr>
              <w:tabs>
                <w:tab w:val="center" w:pos="4677"/>
                <w:tab w:val="right" w:pos="9355"/>
              </w:tabs>
              <w:ind w:left="-108"/>
              <w:rPr>
                <w:lang w:val="en-US" w:eastAsia="ar-SA"/>
              </w:rPr>
            </w:pPr>
            <w:r w:rsidRPr="009C0521">
              <w:rPr>
                <w:lang w:val="en-US" w:eastAsia="ar-SA"/>
              </w:rPr>
              <w:t xml:space="preserve">Submitted by </w:t>
            </w:r>
            <w:r w:rsidRPr="009C0521">
              <w:t>the expert</w:t>
            </w:r>
            <w:r w:rsidRPr="009C0521">
              <w:rPr>
                <w:lang w:val="sv-SE"/>
              </w:rPr>
              <w:t>s</w:t>
            </w:r>
            <w:r w:rsidRPr="009C0521">
              <w:t xml:space="preserve"> of </w:t>
            </w:r>
            <w:r w:rsidRPr="009C0521">
              <w:rPr>
                <w:lang w:val="sv-SE"/>
              </w:rPr>
              <w:t>CLEPA</w:t>
            </w:r>
          </w:p>
        </w:tc>
        <w:tc>
          <w:tcPr>
            <w:tcW w:w="4252" w:type="dxa"/>
          </w:tcPr>
          <w:p w:rsidR="003C499E" w:rsidRPr="009C0521" w:rsidRDefault="00FD6EA8" w:rsidP="009C0521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lang w:eastAsia="ar-SA"/>
              </w:rPr>
            </w:pPr>
            <w:r w:rsidRPr="009C0521">
              <w:rPr>
                <w:u w:val="single"/>
                <w:lang w:eastAsia="ar-SA"/>
              </w:rPr>
              <w:t>Informal document</w:t>
            </w:r>
            <w:r w:rsidRPr="009C0521">
              <w:rPr>
                <w:lang w:eastAsia="ar-SA"/>
              </w:rPr>
              <w:t xml:space="preserve"> </w:t>
            </w:r>
            <w:r w:rsidRPr="009C0521">
              <w:rPr>
                <w:b/>
                <w:lang w:eastAsia="ar-SA"/>
              </w:rPr>
              <w:t>GRRF-8</w:t>
            </w:r>
            <w:r w:rsidRPr="009C0521">
              <w:rPr>
                <w:b/>
                <w:lang w:val="sv-SE" w:eastAsia="ar-SA"/>
              </w:rPr>
              <w:t>6</w:t>
            </w:r>
            <w:r w:rsidRPr="009C0521">
              <w:rPr>
                <w:b/>
                <w:lang w:eastAsia="ar-SA"/>
              </w:rPr>
              <w:t>-</w:t>
            </w:r>
            <w:r w:rsidR="009C0521" w:rsidRPr="009C0521">
              <w:rPr>
                <w:b/>
                <w:lang w:val="sv-SE" w:eastAsia="ar-SA"/>
              </w:rPr>
              <w:t>03</w:t>
            </w:r>
          </w:p>
          <w:p w:rsidR="003C499E" w:rsidRPr="009C0521" w:rsidRDefault="00FD6EA8" w:rsidP="009C0521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lang w:eastAsia="ar-SA"/>
              </w:rPr>
            </w:pPr>
            <w:r w:rsidRPr="009C0521">
              <w:rPr>
                <w:lang w:eastAsia="ar-SA"/>
              </w:rPr>
              <w:t>8</w:t>
            </w:r>
            <w:r w:rsidRPr="009C0521">
              <w:rPr>
                <w:lang w:val="sv-SE" w:eastAsia="ar-SA"/>
              </w:rPr>
              <w:t>6</w:t>
            </w:r>
            <w:r w:rsidRPr="009C0521">
              <w:rPr>
                <w:vertAlign w:val="superscript"/>
                <w:lang w:val="sv-SE" w:eastAsia="ar-SA"/>
              </w:rPr>
              <w:t>th</w:t>
            </w:r>
            <w:r w:rsidRPr="009C0521">
              <w:rPr>
                <w:lang w:val="sv-SE" w:eastAsia="ar-SA"/>
              </w:rPr>
              <w:t xml:space="preserve"> </w:t>
            </w:r>
            <w:r w:rsidRPr="009C0521">
              <w:rPr>
                <w:lang w:eastAsia="ar-SA"/>
              </w:rPr>
              <w:t xml:space="preserve">GRRF, </w:t>
            </w:r>
            <w:r w:rsidRPr="009C0521">
              <w:rPr>
                <w:lang w:val="sv-SE" w:eastAsia="ar-SA"/>
              </w:rPr>
              <w:t>12</w:t>
            </w:r>
            <w:r w:rsidRPr="009C0521">
              <w:rPr>
                <w:lang w:eastAsia="ar-SA"/>
              </w:rPr>
              <w:t>-</w:t>
            </w:r>
            <w:r w:rsidRPr="009C0521">
              <w:rPr>
                <w:lang w:val="sv-SE" w:eastAsia="ar-SA"/>
              </w:rPr>
              <w:t>16</w:t>
            </w:r>
            <w:r w:rsidRPr="009C0521">
              <w:rPr>
                <w:lang w:eastAsia="ar-SA"/>
              </w:rPr>
              <w:t xml:space="preserve"> February 201</w:t>
            </w:r>
            <w:r w:rsidRPr="009C0521">
              <w:rPr>
                <w:lang w:val="sv-SE" w:eastAsia="ar-SA"/>
              </w:rPr>
              <w:t>8</w:t>
            </w:r>
          </w:p>
          <w:p w:rsidR="003C499E" w:rsidRPr="009C0521" w:rsidRDefault="00FD6EA8" w:rsidP="009C0521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u w:val="single"/>
                <w:lang w:eastAsia="ar-SA"/>
              </w:rPr>
            </w:pPr>
            <w:r w:rsidRPr="009C0521">
              <w:rPr>
                <w:lang w:eastAsia="ar-SA"/>
              </w:rPr>
              <w:t xml:space="preserve">Agenda item </w:t>
            </w:r>
            <w:r w:rsidRPr="009C0521">
              <w:rPr>
                <w:lang w:val="sv-SE" w:eastAsia="ar-SA"/>
              </w:rPr>
              <w:t>4</w:t>
            </w:r>
          </w:p>
        </w:tc>
      </w:tr>
    </w:tbl>
    <w:p w:rsidR="003C499E" w:rsidRDefault="009C0521">
      <w:pPr>
        <w:pStyle w:val="HChG"/>
        <w:ind w:left="108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6EA8">
        <w:rPr>
          <w:sz w:val="36"/>
          <w:szCs w:val="36"/>
        </w:rPr>
        <w:t xml:space="preserve">Proposal for </w:t>
      </w:r>
      <w:r>
        <w:rPr>
          <w:sz w:val="36"/>
          <w:szCs w:val="36"/>
        </w:rPr>
        <w:t xml:space="preserve">a Corrigendum to the Revision 2 to </w:t>
      </w:r>
      <w:bookmarkStart w:id="0" w:name="_GoBack"/>
      <w:bookmarkEnd w:id="0"/>
      <w:r>
        <w:rPr>
          <w:sz w:val="36"/>
          <w:szCs w:val="36"/>
        </w:rPr>
        <w:t xml:space="preserve">UN </w:t>
      </w:r>
      <w:r w:rsidR="00FD6EA8">
        <w:rPr>
          <w:sz w:val="36"/>
          <w:szCs w:val="36"/>
        </w:rPr>
        <w:t xml:space="preserve">Regulations No. </w:t>
      </w:r>
      <w:r w:rsidR="00FD6EA8">
        <w:rPr>
          <w:sz w:val="36"/>
          <w:szCs w:val="36"/>
          <w:lang w:val="sv-SE"/>
        </w:rPr>
        <w:t>55</w:t>
      </w:r>
    </w:p>
    <w:p w:rsidR="00E470CA" w:rsidRPr="009C0521" w:rsidRDefault="00FD6EA8" w:rsidP="009C0521">
      <w:pPr>
        <w:pStyle w:val="SingleTxtG"/>
      </w:pPr>
      <w:r>
        <w:t xml:space="preserve">(The text reproduced below was prepared by the expert from the European Association of Automotive Suppliers (CLEPA) introducing an amendment to the Regulation No. </w:t>
      </w:r>
      <w:r>
        <w:rPr>
          <w:lang w:val="sv-SE"/>
        </w:rPr>
        <w:t>55</w:t>
      </w:r>
      <w:r>
        <w:t xml:space="preserve">, based on the </w:t>
      </w:r>
      <w:r w:rsidR="00084380">
        <w:t xml:space="preserve">working </w:t>
      </w:r>
      <w:r>
        <w:t xml:space="preserve">document </w:t>
      </w:r>
      <w:r w:rsidR="009C0521" w:rsidRPr="009C0521">
        <w:t>ECE/TRANS/WP.29/</w:t>
      </w:r>
      <w:r>
        <w:t>GRRF</w:t>
      </w:r>
      <w:r w:rsidR="00256427">
        <w:t>/</w:t>
      </w:r>
      <w:r>
        <w:rPr>
          <w:lang w:val="sv-SE"/>
        </w:rPr>
        <w:t>2014</w:t>
      </w:r>
      <w:r w:rsidR="00256427">
        <w:rPr>
          <w:lang w:val="sv-SE"/>
        </w:rPr>
        <w:t>/</w:t>
      </w:r>
      <w:r>
        <w:rPr>
          <w:lang w:val="sv-SE"/>
        </w:rPr>
        <w:t>28</w:t>
      </w:r>
      <w:r>
        <w:t xml:space="preserve"> </w:t>
      </w:r>
      <w:r w:rsidR="00084380">
        <w:rPr>
          <w:lang w:val="sv-SE"/>
        </w:rPr>
        <w:t xml:space="preserve">and correcting a typing error </w:t>
      </w:r>
      <w:r w:rsidR="009C0521" w:rsidRPr="009C0521">
        <w:rPr>
          <w:lang w:val="sv-SE"/>
        </w:rPr>
        <w:t>that</w:t>
      </w:r>
      <w:r w:rsidR="009C0521">
        <w:rPr>
          <w:b/>
          <w:lang w:val="sv-SE"/>
        </w:rPr>
        <w:t xml:space="preserve"> </w:t>
      </w:r>
      <w:r w:rsidR="00084380">
        <w:rPr>
          <w:lang w:val="sv-SE"/>
        </w:rPr>
        <w:t xml:space="preserve">occurred during consolidation of Revision 2. </w:t>
      </w:r>
      <w:r>
        <w:t>The modifications to the existing text of the Regulation are marked in bold for new and strike</w:t>
      </w:r>
      <w:r w:rsidRPr="009C0521">
        <w:t>t</w:t>
      </w:r>
      <w:r w:rsidR="009C0521" w:rsidRPr="009C0521">
        <w:t>hrough for deleted characters.)</w:t>
      </w:r>
    </w:p>
    <w:p w:rsidR="003C499E" w:rsidRDefault="009C0521" w:rsidP="009C0521">
      <w:pPr>
        <w:pStyle w:val="HChG"/>
      </w:pPr>
      <w:r>
        <w:rPr>
          <w:lang w:val="sv-SE"/>
        </w:rPr>
        <w:tab/>
      </w:r>
      <w:r w:rsidR="00FD6EA8">
        <w:rPr>
          <w:lang w:val="sv-SE"/>
        </w:rPr>
        <w:t>I.</w:t>
      </w:r>
      <w:r>
        <w:rPr>
          <w:lang w:val="sv-SE"/>
        </w:rPr>
        <w:tab/>
      </w:r>
      <w:r w:rsidR="00FD6EA8">
        <w:t>Proposal</w:t>
      </w:r>
      <w:r>
        <w:tab/>
      </w:r>
    </w:p>
    <w:p w:rsidR="003C499E" w:rsidRDefault="00FD6EA8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 xml:space="preserve">Annex </w:t>
      </w:r>
      <w:r>
        <w:rPr>
          <w:i/>
          <w:iCs/>
          <w:lang w:val="sv-SE"/>
        </w:rPr>
        <w:t>5</w:t>
      </w:r>
    </w:p>
    <w:p w:rsidR="003C499E" w:rsidRPr="009C0521" w:rsidRDefault="009C0521">
      <w:pPr>
        <w:pStyle w:val="SingleTxtG"/>
      </w:pPr>
      <w:r>
        <w:rPr>
          <w:i/>
          <w:lang w:val="sv-SE"/>
        </w:rPr>
        <w:t>P</w:t>
      </w:r>
      <w:r w:rsidR="00FD6EA8">
        <w:rPr>
          <w:i/>
          <w:lang w:val="sv-SE"/>
        </w:rPr>
        <w:t xml:space="preserve">aragraph </w:t>
      </w:r>
      <w:r w:rsidR="00314A3C">
        <w:rPr>
          <w:i/>
          <w:lang w:val="sv-SE"/>
        </w:rPr>
        <w:t>13</w:t>
      </w:r>
      <w:r w:rsidR="00FD6EA8">
        <w:rPr>
          <w:i/>
          <w:lang w:val="sv-SE"/>
        </w:rPr>
        <w:t>.1</w:t>
      </w:r>
      <w:r w:rsidR="00FD6EA8">
        <w:rPr>
          <w:i/>
          <w:lang w:val="en-US"/>
        </w:rPr>
        <w:t xml:space="preserve">, </w:t>
      </w:r>
      <w:r w:rsidRPr="009C0521">
        <w:rPr>
          <w:lang w:val="en-US"/>
        </w:rPr>
        <w:t xml:space="preserve">amend </w:t>
      </w:r>
      <w:r w:rsidR="00FD6EA8" w:rsidRPr="009C0521">
        <w:rPr>
          <w:lang w:val="en-US"/>
        </w:rPr>
        <w:t>to read:</w:t>
      </w:r>
    </w:p>
    <w:p w:rsidR="003C499E" w:rsidRDefault="009C0521" w:rsidP="009C0521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sv-SE"/>
        </w:rPr>
        <w:t>"</w:t>
      </w:r>
      <w:r w:rsidR="00314A3C">
        <w:rPr>
          <w:lang w:val="en-US"/>
        </w:rPr>
        <w:t>13</w:t>
      </w:r>
      <w:r w:rsidR="00FD6EA8">
        <w:rPr>
          <w:lang w:val="en-US"/>
        </w:rPr>
        <w:t xml:space="preserve">.1. </w:t>
      </w:r>
      <w:r w:rsidR="00FD6EA8">
        <w:rPr>
          <w:lang w:val="sv-SE"/>
        </w:rPr>
        <w:tab/>
      </w:r>
      <w:r w:rsidR="00FD6EA8">
        <w:rPr>
          <w:lang w:val="en-US"/>
        </w:rPr>
        <w:t xml:space="preserve">Devices for remote indication and remote control are permitted only on automatic drawbar couplings and automatic fifth wheel couplings. </w:t>
      </w:r>
    </w:p>
    <w:p w:rsidR="003C499E" w:rsidRDefault="00FD6EA8" w:rsidP="009C0521">
      <w:pPr>
        <w:spacing w:after="120" w:line="240" w:lineRule="auto"/>
        <w:ind w:left="2268" w:right="1134"/>
        <w:jc w:val="both"/>
        <w:rPr>
          <w:strike/>
          <w:lang w:val="en-US"/>
        </w:rPr>
      </w:pPr>
      <w:r>
        <w:rPr>
          <w:strike/>
          <w:lang w:val="en-US"/>
        </w:rPr>
        <w:t>Devices for remote indication and remote control are permitted only on automatic coupling devices of Classes C50-X and G50-X.</w:t>
      </w:r>
    </w:p>
    <w:p w:rsidR="00314A3C" w:rsidRPr="00314A3C" w:rsidRDefault="00314A3C" w:rsidP="009C0521">
      <w:pPr>
        <w:spacing w:after="120" w:line="240" w:lineRule="auto"/>
        <w:ind w:left="2268" w:right="1134"/>
        <w:jc w:val="both"/>
        <w:rPr>
          <w:lang w:val="en-US"/>
        </w:rPr>
      </w:pPr>
      <w:r w:rsidRPr="00314A3C">
        <w:rPr>
          <w:lang w:val="en-US"/>
        </w:rPr>
        <w:t>Devices for remote indication and remote control shall not interfere with the</w:t>
      </w:r>
      <w:r>
        <w:rPr>
          <w:lang w:val="en-US"/>
        </w:rPr>
        <w:t xml:space="preserve"> </w:t>
      </w:r>
      <w:r w:rsidRPr="00314A3C">
        <w:rPr>
          <w:lang w:val="en-US"/>
        </w:rPr>
        <w:t>minimum free movement of the coupled drawbar eye or coupled semitrailer.</w:t>
      </w:r>
    </w:p>
    <w:p w:rsidR="00314A3C" w:rsidRDefault="00314A3C" w:rsidP="009C0521">
      <w:pPr>
        <w:spacing w:after="120" w:line="240" w:lineRule="auto"/>
        <w:ind w:left="2268" w:right="1134"/>
        <w:jc w:val="both"/>
        <w:rPr>
          <w:lang w:val="en-US"/>
        </w:rPr>
      </w:pPr>
      <w:r w:rsidRPr="00314A3C">
        <w:rPr>
          <w:lang w:val="en-US"/>
        </w:rPr>
        <w:t>They shall be permanently fitted to the vehicle.</w:t>
      </w:r>
    </w:p>
    <w:p w:rsidR="00E470CA" w:rsidRDefault="00314A3C" w:rsidP="009C0521">
      <w:pPr>
        <w:spacing w:after="120" w:line="240" w:lineRule="auto"/>
        <w:ind w:left="2268" w:right="1134"/>
        <w:jc w:val="both"/>
        <w:rPr>
          <w:lang w:val="en-US"/>
        </w:rPr>
      </w:pPr>
      <w:r w:rsidRPr="00314A3C">
        <w:rPr>
          <w:lang w:val="en-US"/>
        </w:rPr>
        <w:t>All the devices for remote indication or remote control fall within the scope of</w:t>
      </w:r>
      <w:r>
        <w:rPr>
          <w:lang w:val="en-US"/>
        </w:rPr>
        <w:t xml:space="preserve"> </w:t>
      </w:r>
      <w:r w:rsidRPr="00314A3C">
        <w:rPr>
          <w:lang w:val="en-US"/>
        </w:rPr>
        <w:t>testing and approval of the coupling device together with all parts of the</w:t>
      </w:r>
      <w:r>
        <w:rPr>
          <w:lang w:val="en-US"/>
        </w:rPr>
        <w:t xml:space="preserve"> </w:t>
      </w:r>
      <w:r w:rsidRPr="00314A3C">
        <w:rPr>
          <w:lang w:val="en-US"/>
        </w:rPr>
        <w:t>operating devices and transmission devices.</w:t>
      </w:r>
      <w:r w:rsidR="009C0521">
        <w:rPr>
          <w:lang w:val="en-US"/>
        </w:rPr>
        <w:t>"</w:t>
      </w:r>
    </w:p>
    <w:p w:rsidR="003C499E" w:rsidRDefault="009C0521" w:rsidP="009C0521">
      <w:pPr>
        <w:pStyle w:val="HChG"/>
        <w:rPr>
          <w:lang w:val="sv-SE"/>
        </w:rPr>
      </w:pPr>
      <w:r>
        <w:rPr>
          <w:lang w:val="en-US"/>
        </w:rPr>
        <w:tab/>
      </w:r>
      <w:r w:rsidR="00FD6EA8">
        <w:rPr>
          <w:lang w:val="en-US"/>
        </w:rPr>
        <w:t>II.</w:t>
      </w:r>
      <w:r w:rsidR="00FD6EA8">
        <w:rPr>
          <w:lang w:val="en-US"/>
        </w:rPr>
        <w:tab/>
        <w:t>Justification</w:t>
      </w:r>
    </w:p>
    <w:p w:rsidR="0098263F" w:rsidRPr="009C0521" w:rsidRDefault="009C0521" w:rsidP="009C0521">
      <w:pPr>
        <w:pStyle w:val="SingleTxtG"/>
      </w:pPr>
      <w:r>
        <w:t>1.</w:t>
      </w:r>
      <w:r>
        <w:tab/>
      </w:r>
      <w:r w:rsidR="0098263F" w:rsidRPr="009C0521">
        <w:t xml:space="preserve">Revision 2 of Regulation </w:t>
      </w:r>
      <w:r w:rsidRPr="009C0521">
        <w:t xml:space="preserve">No. </w:t>
      </w:r>
      <w:r w:rsidR="0098263F" w:rsidRPr="009C0521">
        <w:t xml:space="preserve">55 </w:t>
      </w:r>
      <w:r w:rsidR="004E35A4" w:rsidRPr="009C0521">
        <w:t xml:space="preserve">includes text </w:t>
      </w:r>
      <w:r w:rsidR="0098263F" w:rsidRPr="009C0521">
        <w:t xml:space="preserve">that was deleted </w:t>
      </w:r>
      <w:r w:rsidR="004E35A4" w:rsidRPr="009C0521">
        <w:t xml:space="preserve">with </w:t>
      </w:r>
      <w:r w:rsidRPr="009C0521">
        <w:t>ECE/TRANS/WP.29/GRRF/</w:t>
      </w:r>
      <w:r w:rsidR="0098263F" w:rsidRPr="009C0521">
        <w:t>2014</w:t>
      </w:r>
      <w:r w:rsidRPr="009C0521">
        <w:t>/</w:t>
      </w:r>
      <w:r w:rsidR="0098263F" w:rsidRPr="009C0521">
        <w:t>28</w:t>
      </w:r>
      <w:r w:rsidR="005F0EEF" w:rsidRPr="009C0521">
        <w:t xml:space="preserve"> and</w:t>
      </w:r>
      <w:r w:rsidR="004E35A4" w:rsidRPr="009C0521">
        <w:t xml:space="preserve"> </w:t>
      </w:r>
      <w:r w:rsidR="00E470CA" w:rsidRPr="009C0521">
        <w:t xml:space="preserve">that </w:t>
      </w:r>
      <w:r w:rsidR="00613CBB" w:rsidRPr="009C0521">
        <w:t xml:space="preserve">text </w:t>
      </w:r>
      <w:r w:rsidR="004E35A4" w:rsidRPr="009C0521">
        <w:t xml:space="preserve">does not appear </w:t>
      </w:r>
      <w:r w:rsidR="0098263F" w:rsidRPr="009C0521">
        <w:t>in the corresponding Supplement 04 to 01 Series.</w:t>
      </w:r>
      <w:r w:rsidR="004E35A4" w:rsidRPr="009C0521">
        <w:t xml:space="preserve"> The concerned </w:t>
      </w:r>
      <w:r w:rsidR="0098263F" w:rsidRPr="009C0521">
        <w:t xml:space="preserve">paragraph 12.1 </w:t>
      </w:r>
      <w:r w:rsidR="004E35A4" w:rsidRPr="009C0521">
        <w:t xml:space="preserve">of Annex 5 was </w:t>
      </w:r>
      <w:r w:rsidR="0098263F" w:rsidRPr="009C0521">
        <w:t>renumbered in 13.1 by Supplement 05</w:t>
      </w:r>
      <w:r w:rsidR="004E35A4" w:rsidRPr="009C0521">
        <w:t xml:space="preserve"> to Series 01</w:t>
      </w:r>
      <w:r w:rsidR="00E470CA" w:rsidRPr="009C0521">
        <w:t>.</w:t>
      </w:r>
    </w:p>
    <w:p w:rsidR="004E35A4" w:rsidRPr="009C0521" w:rsidRDefault="009C0521" w:rsidP="009C0521">
      <w:pPr>
        <w:pStyle w:val="SingleTxtG"/>
      </w:pPr>
      <w:r>
        <w:t>2.</w:t>
      </w:r>
      <w:r>
        <w:tab/>
      </w:r>
      <w:r w:rsidR="00613CBB" w:rsidRPr="009C0521">
        <w:t>Because of this duplication, now</w:t>
      </w:r>
      <w:r w:rsidR="004E35A4" w:rsidRPr="009C0521">
        <w:t xml:space="preserve"> paragraph 13.1. </w:t>
      </w:r>
      <w:proofErr w:type="gramStart"/>
      <w:r w:rsidR="004E35A4" w:rsidRPr="009C0521">
        <w:t>has</w:t>
      </w:r>
      <w:proofErr w:type="gramEnd"/>
      <w:r w:rsidR="004E35A4" w:rsidRPr="009C0521">
        <w:t xml:space="preserve"> two sub-paragraph</w:t>
      </w:r>
      <w:r w:rsidR="00E470CA" w:rsidRPr="009C0521">
        <w:t>s</w:t>
      </w:r>
      <w:r w:rsidR="004E35A4" w:rsidRPr="009C0521">
        <w:t xml:space="preserve"> addressing the same item but stating different requirements</w:t>
      </w:r>
      <w:r w:rsidR="00E470CA" w:rsidRPr="009C0521">
        <w:t>.</w:t>
      </w:r>
    </w:p>
    <w:p w:rsidR="003C499E" w:rsidRDefault="009C0521" w:rsidP="009C0521">
      <w:pPr>
        <w:pStyle w:val="SingleTxtG"/>
      </w:pPr>
      <w:r>
        <w:t>3.</w:t>
      </w:r>
      <w:r>
        <w:tab/>
      </w:r>
      <w:r w:rsidR="00FD6EA8" w:rsidRPr="009C0521">
        <w:t xml:space="preserve">This proposal </w:t>
      </w:r>
      <w:r w:rsidRPr="009C0521">
        <w:t>aligns</w:t>
      </w:r>
      <w:r w:rsidR="00613CBB" w:rsidRPr="009C0521">
        <w:t xml:space="preserve"> R</w:t>
      </w:r>
      <w:r w:rsidR="00E470CA" w:rsidRPr="009C0521">
        <w:t>evision 2 of R</w:t>
      </w:r>
      <w:r w:rsidR="00FD6EA8" w:rsidRPr="009C0521">
        <w:t>egulation</w:t>
      </w:r>
      <w:r>
        <w:t xml:space="preserve"> No. </w:t>
      </w:r>
      <w:r w:rsidR="00E470CA" w:rsidRPr="009C0521">
        <w:t xml:space="preserve">55 </w:t>
      </w:r>
      <w:r w:rsidR="00613CBB" w:rsidRPr="009C0521">
        <w:t>with the correct text as published in Supplement 04 to 01 Series</w:t>
      </w:r>
      <w:r w:rsidR="00E470CA" w:rsidRPr="009C0521">
        <w:t>.</w:t>
      </w:r>
    </w:p>
    <w:p w:rsidR="003C499E" w:rsidRDefault="00FD6EA8">
      <w:pPr>
        <w:spacing w:before="240"/>
        <w:ind w:left="1134" w:right="1134"/>
        <w:jc w:val="center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3C499E">
      <w:footerReference w:type="first" r:id="rId9"/>
      <w:footnotePr>
        <w:numRestart w:val="eachSect"/>
      </w:footnotePr>
      <w:endnotePr>
        <w:numFmt w:val="decimal"/>
      </w:endnotePr>
      <w:type w:val="continuous"/>
      <w:pgSz w:w="11907" w:h="16840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1" w:rsidRDefault="00E26801"/>
  </w:endnote>
  <w:endnote w:type="continuationSeparator" w:id="0">
    <w:p w:rsidR="00E26801" w:rsidRDefault="00E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9E" w:rsidRDefault="00FD6EA8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C0521">
      <w:rPr>
        <w:b/>
        <w:noProof/>
        <w:sz w:val="18"/>
      </w:rPr>
      <w:t>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1" w:rsidRDefault="00E26801"/>
  </w:footnote>
  <w:footnote w:type="continuationSeparator" w:id="0">
    <w:p w:rsidR="00E26801" w:rsidRDefault="00E2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pStyle w:val="Level1"/>
      <w:lvlText w:val="1.%1_"/>
      <w:lvlJc w:val="left"/>
      <w:pPr>
        <w:tabs>
          <w:tab w:val="left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2B3F49C6"/>
    <w:multiLevelType w:val="singleLevel"/>
    <w:tmpl w:val="2B3F49C6"/>
    <w:lvl w:ilvl="0">
      <w:start w:val="1"/>
      <w:numFmt w:val="lowerRoman"/>
      <w:pStyle w:val="Rom2"/>
      <w:lvlText w:val="%1)"/>
      <w:lvlJc w:val="right"/>
      <w:pPr>
        <w:tabs>
          <w:tab w:val="left" w:pos="927"/>
        </w:tabs>
        <w:ind w:left="567" w:firstLine="0"/>
      </w:pPr>
    </w:lvl>
  </w:abstractNum>
  <w:abstractNum w:abstractNumId="12">
    <w:nsid w:val="3BA027A8"/>
    <w:multiLevelType w:val="multilevel"/>
    <w:tmpl w:val="AB22BC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>
    <w:nsid w:val="3CB061AB"/>
    <w:multiLevelType w:val="singleLevel"/>
    <w:tmpl w:val="3CB061AB"/>
    <w:lvl w:ilvl="0">
      <w:start w:val="1"/>
      <w:numFmt w:val="decimal"/>
      <w:pStyle w:val="ParaNo"/>
      <w:lvlText w:val="%1."/>
      <w:lvlJc w:val="left"/>
      <w:pPr>
        <w:tabs>
          <w:tab w:val="left" w:pos="360"/>
        </w:tabs>
        <w:ind w:left="-1" w:firstLine="1"/>
      </w:pPr>
      <w:rPr>
        <w:rFonts w:hint="default"/>
      </w:rPr>
    </w:lvl>
  </w:abstractNum>
  <w:abstractNum w:abstractNumId="14">
    <w:nsid w:val="452D144C"/>
    <w:multiLevelType w:val="singleLevel"/>
    <w:tmpl w:val="452D144C"/>
    <w:lvl w:ilvl="0">
      <w:start w:val="1"/>
      <w:numFmt w:val="decimal"/>
      <w:pStyle w:val="ParaNo0"/>
      <w:lvlText w:val="(%1)"/>
      <w:lvlJc w:val="left"/>
      <w:pPr>
        <w:tabs>
          <w:tab w:val="left" w:pos="720"/>
        </w:tabs>
        <w:ind w:left="720" w:hanging="720"/>
      </w:pPr>
    </w:lvl>
  </w:abstractNum>
  <w:abstractNum w:abstractNumId="15">
    <w:nsid w:val="589514CF"/>
    <w:multiLevelType w:val="multilevel"/>
    <w:tmpl w:val="589514C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5925DC1"/>
    <w:multiLevelType w:val="multilevel"/>
    <w:tmpl w:val="65925DC1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multilevel"/>
    <w:tmpl w:val="75E223DA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349BD"/>
    <w:multiLevelType w:val="singleLevel"/>
    <w:tmpl w:val="7CF349BD"/>
    <w:lvl w:ilvl="0">
      <w:start w:val="1"/>
      <w:numFmt w:val="lowerRoman"/>
      <w:pStyle w:val="Rom1"/>
      <w:lvlText w:val="%1)"/>
      <w:lvlJc w:val="right"/>
      <w:pPr>
        <w:tabs>
          <w:tab w:val="left" w:pos="504"/>
        </w:tabs>
        <w:ind w:left="504" w:hanging="216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0"/>
    <w:lvlOverride w:ilvl="0">
      <w:startOverride w:val="1"/>
      <w:lvl w:ilvl="0" w:tentative="1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 w:tentative="1">
        <w:start w:val="1"/>
        <w:numFmt w:val="decimal"/>
        <w:lvlText w:val="%2"/>
        <w:lvlJc w:val="left"/>
      </w:lvl>
    </w:lvlOverride>
    <w:lvlOverride w:ilvl="2">
      <w:startOverride w:val="1"/>
      <w:lvl w:ilvl="2" w:tentative="1">
        <w:start w:val="1"/>
        <w:numFmt w:val="decimal"/>
        <w:lvlText w:val="%3"/>
        <w:lvlJc w:val="left"/>
      </w:lvl>
    </w:lvlOverride>
    <w:lvlOverride w:ilvl="3">
      <w:startOverride w:val="1"/>
      <w:lvl w:ilvl="3" w:tentative="1">
        <w:start w:val="1"/>
        <w:numFmt w:val="decimal"/>
        <w:lvlText w:val="%4"/>
        <w:lvlJc w:val="left"/>
      </w:lvl>
    </w:lvlOverride>
    <w:lvlOverride w:ilvl="4">
      <w:startOverride w:val="1"/>
      <w:lvl w:ilvl="4" w:tentative="1">
        <w:start w:val="1"/>
        <w:numFmt w:val="decimal"/>
        <w:lvlText w:val="%5"/>
        <w:lvlJc w:val="left"/>
      </w:lvl>
    </w:lvlOverride>
    <w:lvlOverride w:ilvl="5">
      <w:startOverride w:val="1"/>
      <w:lvl w:ilvl="5" w:tentative="1">
        <w:start w:val="1"/>
        <w:numFmt w:val="decimal"/>
        <w:lvlText w:val="%6"/>
        <w:lvlJc w:val="left"/>
      </w:lvl>
    </w:lvlOverride>
    <w:lvlOverride w:ilvl="6">
      <w:startOverride w:val="1"/>
      <w:lvl w:ilvl="6" w:tentative="1">
        <w:start w:val="1"/>
        <w:numFmt w:val="decimal"/>
        <w:lvlText w:val="%7"/>
        <w:lvlJc w:val="left"/>
      </w:lvl>
    </w:lvlOverride>
    <w:lvlOverride w:ilvl="7">
      <w:startOverride w:val="1"/>
      <w:lvl w:ilvl="7" w:tentative="1">
        <w:start w:val="1"/>
        <w:numFmt w:val="decimal"/>
        <w:lvlText w:val="%8"/>
        <w:lvlJc w:val="left"/>
      </w:lvl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4380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F58EC"/>
    <w:rsid w:val="001029E4"/>
    <w:rsid w:val="00107548"/>
    <w:rsid w:val="001103AA"/>
    <w:rsid w:val="001132C7"/>
    <w:rsid w:val="0011332D"/>
    <w:rsid w:val="0011666B"/>
    <w:rsid w:val="00143572"/>
    <w:rsid w:val="001457CF"/>
    <w:rsid w:val="0015220F"/>
    <w:rsid w:val="0016422E"/>
    <w:rsid w:val="00165052"/>
    <w:rsid w:val="00165F3A"/>
    <w:rsid w:val="00172128"/>
    <w:rsid w:val="00177B8A"/>
    <w:rsid w:val="00182290"/>
    <w:rsid w:val="00184A31"/>
    <w:rsid w:val="0018698C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20236B"/>
    <w:rsid w:val="00202DA8"/>
    <w:rsid w:val="00203D58"/>
    <w:rsid w:val="00211E0B"/>
    <w:rsid w:val="0021382F"/>
    <w:rsid w:val="00236C43"/>
    <w:rsid w:val="0024772E"/>
    <w:rsid w:val="00247F8D"/>
    <w:rsid w:val="00256427"/>
    <w:rsid w:val="00267F5F"/>
    <w:rsid w:val="00270F51"/>
    <w:rsid w:val="00283F5B"/>
    <w:rsid w:val="00286B4D"/>
    <w:rsid w:val="00291B34"/>
    <w:rsid w:val="002A598C"/>
    <w:rsid w:val="002B19E4"/>
    <w:rsid w:val="002B5DFC"/>
    <w:rsid w:val="002B619C"/>
    <w:rsid w:val="002C27BE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14A3C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760D4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34FC"/>
    <w:rsid w:val="003C47DE"/>
    <w:rsid w:val="003C499E"/>
    <w:rsid w:val="003C534D"/>
    <w:rsid w:val="003D4B23"/>
    <w:rsid w:val="003E130E"/>
    <w:rsid w:val="004017B2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35A4"/>
    <w:rsid w:val="004E56C4"/>
    <w:rsid w:val="004E77B2"/>
    <w:rsid w:val="004F405F"/>
    <w:rsid w:val="005020CE"/>
    <w:rsid w:val="00504B2D"/>
    <w:rsid w:val="00510195"/>
    <w:rsid w:val="005141F7"/>
    <w:rsid w:val="00514397"/>
    <w:rsid w:val="005144EA"/>
    <w:rsid w:val="0052136D"/>
    <w:rsid w:val="005219A4"/>
    <w:rsid w:val="0052775E"/>
    <w:rsid w:val="00530A07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0EEF"/>
    <w:rsid w:val="005F7B75"/>
    <w:rsid w:val="006001EE"/>
    <w:rsid w:val="00605042"/>
    <w:rsid w:val="00610EFB"/>
    <w:rsid w:val="00611FC4"/>
    <w:rsid w:val="00613CBB"/>
    <w:rsid w:val="006176FB"/>
    <w:rsid w:val="00631266"/>
    <w:rsid w:val="00632E7E"/>
    <w:rsid w:val="00640B26"/>
    <w:rsid w:val="0064110A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92A48"/>
    <w:rsid w:val="006A2530"/>
    <w:rsid w:val="006C0E4A"/>
    <w:rsid w:val="006C3589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239C"/>
    <w:rsid w:val="008242D7"/>
    <w:rsid w:val="008257B1"/>
    <w:rsid w:val="00832334"/>
    <w:rsid w:val="00843767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0F85"/>
    <w:rsid w:val="0093745E"/>
    <w:rsid w:val="00940F93"/>
    <w:rsid w:val="00943CF0"/>
    <w:rsid w:val="0094467E"/>
    <w:rsid w:val="009448C3"/>
    <w:rsid w:val="00955913"/>
    <w:rsid w:val="00972FD7"/>
    <w:rsid w:val="009760F3"/>
    <w:rsid w:val="00976CFB"/>
    <w:rsid w:val="0098263F"/>
    <w:rsid w:val="0098446C"/>
    <w:rsid w:val="009873AF"/>
    <w:rsid w:val="009A0830"/>
    <w:rsid w:val="009A0E8D"/>
    <w:rsid w:val="009A3168"/>
    <w:rsid w:val="009B26E7"/>
    <w:rsid w:val="009B64BB"/>
    <w:rsid w:val="009C0521"/>
    <w:rsid w:val="009C300D"/>
    <w:rsid w:val="009D2100"/>
    <w:rsid w:val="009F1104"/>
    <w:rsid w:val="009F24C5"/>
    <w:rsid w:val="00A00697"/>
    <w:rsid w:val="00A00A3F"/>
    <w:rsid w:val="00A01489"/>
    <w:rsid w:val="00A062D2"/>
    <w:rsid w:val="00A16D61"/>
    <w:rsid w:val="00A2253E"/>
    <w:rsid w:val="00A271CD"/>
    <w:rsid w:val="00A3026E"/>
    <w:rsid w:val="00A30B5B"/>
    <w:rsid w:val="00A312EA"/>
    <w:rsid w:val="00A338F1"/>
    <w:rsid w:val="00A3452C"/>
    <w:rsid w:val="00A35BE0"/>
    <w:rsid w:val="00A4537E"/>
    <w:rsid w:val="00A45D77"/>
    <w:rsid w:val="00A521DD"/>
    <w:rsid w:val="00A540A1"/>
    <w:rsid w:val="00A553C8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4361"/>
    <w:rsid w:val="00AA060A"/>
    <w:rsid w:val="00AA293C"/>
    <w:rsid w:val="00AA4D44"/>
    <w:rsid w:val="00AA6657"/>
    <w:rsid w:val="00AA6A36"/>
    <w:rsid w:val="00AC4A1B"/>
    <w:rsid w:val="00AC7D2D"/>
    <w:rsid w:val="00AD4029"/>
    <w:rsid w:val="00AE5CD0"/>
    <w:rsid w:val="00AF4E3A"/>
    <w:rsid w:val="00B104CC"/>
    <w:rsid w:val="00B275BE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557D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C5B"/>
    <w:rsid w:val="00CB3E03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432A"/>
    <w:rsid w:val="00D24702"/>
    <w:rsid w:val="00D248B6"/>
    <w:rsid w:val="00D25FE2"/>
    <w:rsid w:val="00D26E07"/>
    <w:rsid w:val="00D3126E"/>
    <w:rsid w:val="00D33EA1"/>
    <w:rsid w:val="00D4197B"/>
    <w:rsid w:val="00D43252"/>
    <w:rsid w:val="00D47EEA"/>
    <w:rsid w:val="00D51093"/>
    <w:rsid w:val="00D6145A"/>
    <w:rsid w:val="00D63CF2"/>
    <w:rsid w:val="00D6640C"/>
    <w:rsid w:val="00D70056"/>
    <w:rsid w:val="00D74B66"/>
    <w:rsid w:val="00D74E1F"/>
    <w:rsid w:val="00D773DF"/>
    <w:rsid w:val="00D816DF"/>
    <w:rsid w:val="00D82EB7"/>
    <w:rsid w:val="00D8522B"/>
    <w:rsid w:val="00D90635"/>
    <w:rsid w:val="00D92E89"/>
    <w:rsid w:val="00D95303"/>
    <w:rsid w:val="00D978C6"/>
    <w:rsid w:val="00DA0476"/>
    <w:rsid w:val="00DA3C1C"/>
    <w:rsid w:val="00DA6132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6801"/>
    <w:rsid w:val="00E27346"/>
    <w:rsid w:val="00E40A45"/>
    <w:rsid w:val="00E40C7D"/>
    <w:rsid w:val="00E43A07"/>
    <w:rsid w:val="00E450F5"/>
    <w:rsid w:val="00E470CA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38BD"/>
    <w:rsid w:val="00E87FBF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07589"/>
    <w:rsid w:val="00F16022"/>
    <w:rsid w:val="00F22FCC"/>
    <w:rsid w:val="00F240A1"/>
    <w:rsid w:val="00F2555C"/>
    <w:rsid w:val="00F256C2"/>
    <w:rsid w:val="00F31E5F"/>
    <w:rsid w:val="00F40B22"/>
    <w:rsid w:val="00F5399E"/>
    <w:rsid w:val="00F6100A"/>
    <w:rsid w:val="00F765CA"/>
    <w:rsid w:val="00F860B8"/>
    <w:rsid w:val="00F92CAD"/>
    <w:rsid w:val="00F93781"/>
    <w:rsid w:val="00F977DF"/>
    <w:rsid w:val="00FA4F63"/>
    <w:rsid w:val="00FB415B"/>
    <w:rsid w:val="00FB613B"/>
    <w:rsid w:val="00FC234D"/>
    <w:rsid w:val="00FC6329"/>
    <w:rsid w:val="00FC68B7"/>
    <w:rsid w:val="00FD3F98"/>
    <w:rsid w:val="00FD4F8D"/>
    <w:rsid w:val="00FD6EA8"/>
    <w:rsid w:val="00FE106A"/>
    <w:rsid w:val="00FE1696"/>
    <w:rsid w:val="00FE5476"/>
    <w:rsid w:val="00FE7450"/>
    <w:rsid w:val="00FF145D"/>
    <w:rsid w:val="00FF7D02"/>
    <w:rsid w:val="02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annotation text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Hyperlink" w:semiHidden="1" w:qFormat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annotation text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Hyperlink" w:semiHidden="1" w:qFormat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40</TotalTime>
  <Pages>1</Pages>
  <Words>319</Words>
  <Characters>1574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Peter.BROERTJES@ec.europa.eu</dc:creator>
  <cp:lastModifiedBy>WN</cp:lastModifiedBy>
  <cp:revision>8</cp:revision>
  <cp:lastPrinted>2015-11-10T07:34:00Z</cp:lastPrinted>
  <dcterms:created xsi:type="dcterms:W3CDTF">2018-01-11T14:16:00Z</dcterms:created>
  <dcterms:modified xsi:type="dcterms:W3CDTF">2018-01-23T15:53:00Z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1033-10.2.0.5978</vt:lpwstr>
  </property>
</Properties>
</file>