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0F08F2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0F08F2" w:rsidP="000F08F2">
            <w:pPr>
              <w:jc w:val="right"/>
            </w:pPr>
            <w:r w:rsidRPr="000F08F2">
              <w:rPr>
                <w:sz w:val="40"/>
              </w:rPr>
              <w:t>ECE</w:t>
            </w:r>
            <w:r>
              <w:t>/TRANS/WP.29/GRRF/2018/5</w:t>
            </w:r>
          </w:p>
        </w:tc>
      </w:tr>
      <w:tr w:rsidR="00F35BAF" w:rsidRPr="00DB58B5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5DD7C114" wp14:editId="39170DA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0F08F2" w:rsidP="00C97039">
            <w:pPr>
              <w:spacing w:before="240"/>
            </w:pPr>
            <w:r>
              <w:t>Distr. générale</w:t>
            </w:r>
          </w:p>
          <w:p w:rsidR="000F08F2" w:rsidRDefault="000F08F2" w:rsidP="000F08F2">
            <w:pPr>
              <w:spacing w:line="240" w:lineRule="exact"/>
            </w:pPr>
            <w:r>
              <w:t>1</w:t>
            </w:r>
            <w:r w:rsidRPr="000F08F2">
              <w:rPr>
                <w:vertAlign w:val="superscript"/>
              </w:rPr>
              <w:t>er</w:t>
            </w:r>
            <w:r>
              <w:t xml:space="preserve"> décembre 2017</w:t>
            </w:r>
          </w:p>
          <w:p w:rsidR="000F08F2" w:rsidRDefault="000F08F2" w:rsidP="000F08F2">
            <w:pPr>
              <w:spacing w:line="240" w:lineRule="exact"/>
            </w:pPr>
            <w:r>
              <w:t>Français</w:t>
            </w:r>
          </w:p>
          <w:p w:rsidR="000F08F2" w:rsidRPr="00DB58B5" w:rsidRDefault="000F08F2" w:rsidP="000F08F2">
            <w:pPr>
              <w:spacing w:line="240" w:lineRule="exact"/>
            </w:pPr>
            <w:r>
              <w:t>Original :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0F08F2" w:rsidRDefault="000F08F2" w:rsidP="00AF0CB5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l’harmonisation</w:t>
      </w:r>
      <w:r w:rsidR="001D7DC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:rsidR="000F08F2" w:rsidRDefault="000F08F2" w:rsidP="00257168">
      <w:pPr>
        <w:spacing w:before="120" w:after="120" w:line="240" w:lineRule="exact"/>
        <w:rPr>
          <w:b/>
        </w:rPr>
      </w:pPr>
      <w:r>
        <w:rPr>
          <w:b/>
        </w:rPr>
        <w:t>Groupe de travail en matière de roulement et de freinage</w:t>
      </w:r>
    </w:p>
    <w:p w:rsidR="000F08F2" w:rsidRDefault="000F08F2" w:rsidP="00257168">
      <w:pPr>
        <w:spacing w:before="120" w:line="240" w:lineRule="exact"/>
        <w:rPr>
          <w:b/>
        </w:rPr>
      </w:pPr>
      <w:r>
        <w:rPr>
          <w:b/>
        </w:rPr>
        <w:t>Quatre-vingt-sixième session</w:t>
      </w:r>
    </w:p>
    <w:p w:rsidR="000F08F2" w:rsidRDefault="000F08F2" w:rsidP="00257168">
      <w:pPr>
        <w:spacing w:line="240" w:lineRule="exact"/>
      </w:pPr>
      <w:r>
        <w:t>Genève, 12-16 février 2018</w:t>
      </w:r>
    </w:p>
    <w:p w:rsidR="000F08F2" w:rsidRDefault="000F08F2" w:rsidP="00257168">
      <w:pPr>
        <w:spacing w:line="240" w:lineRule="exact"/>
      </w:pPr>
      <w:r>
        <w:t>Point 7 c) de l’ordre du jour provisoire</w:t>
      </w:r>
    </w:p>
    <w:p w:rsidR="00A57F59" w:rsidRPr="00B451C4" w:rsidRDefault="00A57F59" w:rsidP="00A57F59">
      <w:pPr>
        <w:rPr>
          <w:b/>
          <w:lang w:val="fr-FR"/>
        </w:rPr>
      </w:pPr>
      <w:r w:rsidRPr="00B451C4">
        <w:rPr>
          <w:b/>
          <w:lang w:val="fr-FR"/>
        </w:rPr>
        <w:t>Pneumatiques</w:t>
      </w:r>
      <w:r w:rsidR="00333DE7">
        <w:rPr>
          <w:b/>
          <w:lang w:val="fr-FR"/>
        </w:rPr>
        <w:t> </w:t>
      </w:r>
      <w:r w:rsidRPr="00B451C4">
        <w:rPr>
          <w:b/>
          <w:lang w:val="fr-FR"/>
        </w:rPr>
        <w:t xml:space="preserve">: Règlement </w:t>
      </w:r>
      <w:r w:rsidRPr="00B451C4">
        <w:rPr>
          <w:rFonts w:eastAsia="MS Mincho"/>
          <w:b/>
          <w:szCs w:val="22"/>
          <w:lang w:val="fr-FR"/>
        </w:rPr>
        <w:t>n</w:t>
      </w:r>
      <w:r w:rsidRPr="00B451C4">
        <w:rPr>
          <w:rFonts w:eastAsia="MS Mincho"/>
          <w:b/>
          <w:szCs w:val="22"/>
          <w:vertAlign w:val="superscript"/>
          <w:lang w:val="fr-FR"/>
        </w:rPr>
        <w:t>o</w:t>
      </w:r>
      <w:r w:rsidRPr="00B451C4">
        <w:rPr>
          <w:b/>
          <w:lang w:val="fr-FR"/>
        </w:rPr>
        <w:t> 54</w:t>
      </w:r>
    </w:p>
    <w:p w:rsidR="00A57F59" w:rsidRPr="0042683C" w:rsidRDefault="00A57F59" w:rsidP="00A57F59">
      <w:pPr>
        <w:pStyle w:val="HChG"/>
      </w:pPr>
      <w:r>
        <w:rPr>
          <w:lang w:val="fr-FR"/>
        </w:rPr>
        <w:tab/>
      </w:r>
      <w:r>
        <w:rPr>
          <w:lang w:val="fr-FR"/>
        </w:rPr>
        <w:tab/>
        <w:t xml:space="preserve">Proposition d’amendements au Règlement </w:t>
      </w:r>
      <w:r w:rsidRPr="00471E89">
        <w:rPr>
          <w:rFonts w:eastAsia="MS Mincho"/>
          <w:szCs w:val="22"/>
          <w:lang w:val="fr-FR"/>
        </w:rPr>
        <w:t>n</w:t>
      </w:r>
      <w:r w:rsidRPr="00471E89">
        <w:rPr>
          <w:rFonts w:eastAsia="MS Mincho"/>
          <w:szCs w:val="22"/>
          <w:vertAlign w:val="superscript"/>
          <w:lang w:val="fr-FR"/>
        </w:rPr>
        <w:t>o</w:t>
      </w:r>
      <w:r>
        <w:rPr>
          <w:lang w:val="fr-FR"/>
        </w:rPr>
        <w:t xml:space="preserve"> 54 (Pneumatiques pour véhicules utilitaires </w:t>
      </w:r>
      <w:r>
        <w:rPr>
          <w:lang w:val="fr-FR"/>
        </w:rPr>
        <w:br/>
        <w:t>et leurs remorques)</w:t>
      </w:r>
    </w:p>
    <w:p w:rsidR="00A57F59" w:rsidRPr="0042683C" w:rsidRDefault="00A57F59" w:rsidP="00A57F59">
      <w:pPr>
        <w:pStyle w:val="H1G"/>
        <w:rPr>
          <w:szCs w:val="24"/>
        </w:rPr>
      </w:pPr>
      <w:r>
        <w:rPr>
          <w:lang w:val="fr-FR"/>
        </w:rPr>
        <w:tab/>
      </w:r>
      <w:r>
        <w:rPr>
          <w:lang w:val="fr-FR"/>
        </w:rPr>
        <w:tab/>
        <w:t xml:space="preserve">Communication des experts de l’Organisation technique européenne </w:t>
      </w:r>
      <w:r>
        <w:rPr>
          <w:lang w:val="fr-FR"/>
        </w:rPr>
        <w:br/>
        <w:t>du pneumatique et de la jante</w:t>
      </w:r>
      <w:r w:rsidRPr="00A57F59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:rsidR="00A57F59" w:rsidRDefault="00A57F59" w:rsidP="00A57F59">
      <w:pPr>
        <w:pStyle w:val="SingleTxtG"/>
        <w:rPr>
          <w:lang w:val="fr-FR"/>
        </w:rPr>
      </w:pPr>
      <w:r>
        <w:rPr>
          <w:lang w:val="fr-FR"/>
        </w:rPr>
        <w:tab/>
        <w:t xml:space="preserve">Le texte ci-après, établi par les experts de l’Organisation technique européenne du pneumatique et de la jante (ETRTO), vise à modifier le Règlement </w:t>
      </w:r>
      <w:r w:rsidRPr="00471E89">
        <w:rPr>
          <w:rFonts w:eastAsia="MS Mincho"/>
          <w:szCs w:val="22"/>
          <w:lang w:val="fr-FR"/>
        </w:rPr>
        <w:t>n</w:t>
      </w:r>
      <w:r w:rsidRPr="00471E89">
        <w:rPr>
          <w:rFonts w:eastAsia="MS Mincho"/>
          <w:szCs w:val="22"/>
          <w:vertAlign w:val="superscript"/>
          <w:lang w:val="fr-FR"/>
        </w:rPr>
        <w:t>o</w:t>
      </w:r>
      <w:r>
        <w:rPr>
          <w:lang w:val="fr-FR"/>
        </w:rPr>
        <w:t> 54 de l’ONU. Les modifications qu’il est proposé d’apporter au texte actuel du Règlement figurent en caractères gras pour les ajouts et biffés pour les suppressions.</w:t>
      </w:r>
      <w:r w:rsidR="00FA6EC7">
        <w:rPr>
          <w:lang w:val="fr-FR"/>
        </w:rPr>
        <w:t xml:space="preserve"> </w:t>
      </w:r>
    </w:p>
    <w:p w:rsidR="00A57F59" w:rsidRPr="0042683C" w:rsidRDefault="00A57F59" w:rsidP="00FC46EC">
      <w:pPr>
        <w:pStyle w:val="HChG"/>
      </w:pPr>
      <w:r>
        <w:rPr>
          <w:lang w:val="fr-FR"/>
        </w:rPr>
        <w:br w:type="page"/>
      </w:r>
      <w:r>
        <w:rPr>
          <w:lang w:val="fr-FR"/>
        </w:rPr>
        <w:lastRenderedPageBreak/>
        <w:tab/>
        <w:t>I.</w:t>
      </w:r>
      <w:r>
        <w:rPr>
          <w:lang w:val="fr-FR"/>
        </w:rPr>
        <w:tab/>
        <w:t>Proposition</w:t>
      </w:r>
    </w:p>
    <w:p w:rsidR="00A57F59" w:rsidRPr="00D92988" w:rsidRDefault="00A57F59" w:rsidP="00D22611">
      <w:pPr>
        <w:pStyle w:val="SingleTxtG"/>
        <w:spacing w:line="220" w:lineRule="atLeast"/>
      </w:pPr>
      <w:r w:rsidRPr="00D92988">
        <w:rPr>
          <w:i/>
          <w:lang w:val="fr-FR"/>
        </w:rPr>
        <w:t>Paragraphe 3.1.12</w:t>
      </w:r>
      <w:r w:rsidRPr="00D92988">
        <w:rPr>
          <w:lang w:val="fr-FR"/>
        </w:rPr>
        <w:t>, modifier comme suit</w:t>
      </w:r>
      <w:r>
        <w:rPr>
          <w:lang w:val="fr-FR"/>
        </w:rPr>
        <w:t> </w:t>
      </w:r>
      <w:r w:rsidRPr="00D92988">
        <w:rPr>
          <w:lang w:val="fr-FR"/>
        </w:rPr>
        <w:t>:</w:t>
      </w:r>
    </w:p>
    <w:p w:rsidR="00A57F59" w:rsidRPr="00D92988" w:rsidRDefault="00A57F59" w:rsidP="00D22611">
      <w:pPr>
        <w:pStyle w:val="SingleTxtG"/>
        <w:spacing w:line="220" w:lineRule="atLeast"/>
        <w:ind w:left="2268" w:hanging="1134"/>
      </w:pPr>
      <w:r w:rsidRPr="00D92988">
        <w:rPr>
          <w:lang w:val="fr-FR"/>
        </w:rPr>
        <w:t>« 3.1.12</w:t>
      </w:r>
      <w:r w:rsidRPr="00D92988">
        <w:rPr>
          <w:lang w:val="fr-FR"/>
        </w:rPr>
        <w:tab/>
        <w:t>Les pneumatiques homologués pou</w:t>
      </w:r>
      <w:r>
        <w:rPr>
          <w:lang w:val="fr-FR"/>
        </w:rPr>
        <w:t>r la première fois après le 1</w:t>
      </w:r>
      <w:r w:rsidRPr="00B451C4">
        <w:rPr>
          <w:vertAlign w:val="superscript"/>
          <w:lang w:val="fr-FR"/>
        </w:rPr>
        <w:t>er</w:t>
      </w:r>
      <w:r>
        <w:rPr>
          <w:lang w:val="fr-FR"/>
        </w:rPr>
        <w:t> </w:t>
      </w:r>
      <w:r w:rsidRPr="00D92988">
        <w:rPr>
          <w:lang w:val="fr-FR"/>
        </w:rPr>
        <w:t>mars 2004 doivent porter le symbole d</w:t>
      </w:r>
      <w:r>
        <w:rPr>
          <w:lang w:val="fr-FR"/>
        </w:rPr>
        <w:t>’</w:t>
      </w:r>
      <w:r w:rsidRPr="00D92988">
        <w:rPr>
          <w:lang w:val="fr-FR"/>
        </w:rPr>
        <w:t>identification visé au paragraphe 2.</w:t>
      </w:r>
      <w:r w:rsidRPr="00D92988">
        <w:rPr>
          <w:strike/>
          <w:lang w:val="fr-FR"/>
        </w:rPr>
        <w:t>17</w:t>
      </w:r>
      <w:r w:rsidRPr="00D92988">
        <w:rPr>
          <w:b/>
          <w:lang w:val="fr-FR"/>
        </w:rPr>
        <w:t>20</w:t>
      </w:r>
      <w:r w:rsidRPr="00D92988">
        <w:rPr>
          <w:lang w:val="fr-FR"/>
        </w:rPr>
        <w:t>.1.4, placé immédiatement après l</w:t>
      </w:r>
      <w:r>
        <w:rPr>
          <w:lang w:val="fr-FR"/>
        </w:rPr>
        <w:t>’</w:t>
      </w:r>
      <w:r w:rsidRPr="00D92988">
        <w:rPr>
          <w:lang w:val="fr-FR"/>
        </w:rPr>
        <w:t>indication du diamètre de la jante tel</w:t>
      </w:r>
      <w:r w:rsidR="00971A63">
        <w:rPr>
          <w:lang w:val="fr-FR"/>
        </w:rPr>
        <w:t>le que définie au paragraphe 2.</w:t>
      </w:r>
      <w:r w:rsidRPr="00D92988">
        <w:rPr>
          <w:strike/>
          <w:lang w:val="fr-FR"/>
        </w:rPr>
        <w:t>17</w:t>
      </w:r>
      <w:r w:rsidRPr="00D92988">
        <w:rPr>
          <w:b/>
          <w:lang w:val="fr-FR"/>
        </w:rPr>
        <w:t>20</w:t>
      </w:r>
      <w:r w:rsidRPr="00D92988">
        <w:rPr>
          <w:lang w:val="fr-FR"/>
        </w:rPr>
        <w:t>.1.3</w:t>
      </w:r>
      <w:r>
        <w:rPr>
          <w:lang w:val="fr-FR"/>
        </w:rPr>
        <w:t> </w:t>
      </w:r>
      <w:r w:rsidRPr="00D92988">
        <w:rPr>
          <w:lang w:val="fr-FR"/>
        </w:rPr>
        <w:t>; »</w:t>
      </w:r>
      <w:r>
        <w:rPr>
          <w:lang w:val="fr-FR"/>
        </w:rPr>
        <w:t>.</w:t>
      </w:r>
    </w:p>
    <w:p w:rsidR="00A57F59" w:rsidRPr="00D92988" w:rsidRDefault="00A57F59" w:rsidP="00D22611">
      <w:pPr>
        <w:pStyle w:val="SingleTxtG"/>
        <w:spacing w:line="220" w:lineRule="atLeast"/>
      </w:pPr>
      <w:r w:rsidRPr="00D92988">
        <w:rPr>
          <w:i/>
          <w:lang w:val="fr-FR"/>
        </w:rPr>
        <w:t>Paragraphe 3.4</w:t>
      </w:r>
      <w:r w:rsidRPr="00D92988">
        <w:rPr>
          <w:lang w:val="fr-FR"/>
        </w:rPr>
        <w:t>, modifier comme suit</w:t>
      </w:r>
      <w:r>
        <w:rPr>
          <w:lang w:val="fr-FR"/>
        </w:rPr>
        <w:t> </w:t>
      </w:r>
      <w:r w:rsidRPr="00D92988">
        <w:rPr>
          <w:lang w:val="fr-FR"/>
        </w:rPr>
        <w:t>:</w:t>
      </w:r>
    </w:p>
    <w:p w:rsidR="00A57F59" w:rsidRPr="00D92988" w:rsidRDefault="00A57F59" w:rsidP="00D22611">
      <w:pPr>
        <w:pStyle w:val="SingleTxtG"/>
        <w:spacing w:line="220" w:lineRule="atLeast"/>
        <w:ind w:left="2268" w:hanging="1134"/>
      </w:pPr>
      <w:r w:rsidRPr="00D92988">
        <w:rPr>
          <w:lang w:val="fr-FR"/>
        </w:rPr>
        <w:t>« 3.4</w:t>
      </w:r>
      <w:r w:rsidRPr="00D92988">
        <w:rPr>
          <w:lang w:val="fr-FR"/>
        </w:rPr>
        <w:tab/>
      </w:r>
      <w:r w:rsidRPr="00D92988">
        <w:rPr>
          <w:lang w:val="fr-FR"/>
        </w:rPr>
        <w:tab/>
        <w:t>Les inscrip</w:t>
      </w:r>
      <w:r w:rsidR="00333DE7">
        <w:rPr>
          <w:lang w:val="fr-FR"/>
        </w:rPr>
        <w:t>tions mentionnées au paragraphe </w:t>
      </w:r>
      <w:r w:rsidRPr="00D92988">
        <w:rPr>
          <w:lang w:val="fr-FR"/>
        </w:rPr>
        <w:t>3.1 et la marque d</w:t>
      </w:r>
      <w:r>
        <w:rPr>
          <w:lang w:val="fr-FR"/>
        </w:rPr>
        <w:t>’</w:t>
      </w:r>
      <w:r w:rsidRPr="00D92988">
        <w:rPr>
          <w:lang w:val="fr-FR"/>
        </w:rPr>
        <w:t>homolo</w:t>
      </w:r>
      <w:r w:rsidR="00333DE7">
        <w:rPr>
          <w:lang w:val="fr-FR"/>
        </w:rPr>
        <w:t>gation prévue par le paragraphe </w:t>
      </w:r>
      <w:r w:rsidRPr="00D92988">
        <w:rPr>
          <w:lang w:val="fr-FR"/>
        </w:rPr>
        <w:t xml:space="preserve">5.4 du présent Règlement doivent être moulées en relief ou en creux sur les pneumatiques. Elles doivent être nettement lisibles et situées dans la zone basse du </w:t>
      </w:r>
      <w:r>
        <w:rPr>
          <w:lang w:val="fr-FR"/>
        </w:rPr>
        <w:t>flanc</w:t>
      </w:r>
      <w:r w:rsidRPr="00D92988">
        <w:rPr>
          <w:lang w:val="fr-FR"/>
        </w:rPr>
        <w:t xml:space="preserve"> sur au moins un des flancs, à l</w:t>
      </w:r>
      <w:r>
        <w:rPr>
          <w:lang w:val="fr-FR"/>
        </w:rPr>
        <w:t>’</w:t>
      </w:r>
      <w:r w:rsidRPr="00D92988">
        <w:rPr>
          <w:lang w:val="fr-FR"/>
        </w:rPr>
        <w:t>exception de l</w:t>
      </w:r>
      <w:r>
        <w:rPr>
          <w:lang w:val="fr-FR"/>
        </w:rPr>
        <w:t>’</w:t>
      </w:r>
      <w:r w:rsidRPr="00D92988">
        <w:rPr>
          <w:lang w:val="fr-FR"/>
        </w:rPr>
        <w:t>inscription mentionnée au</w:t>
      </w:r>
      <w:r w:rsidRPr="00ED6DAD">
        <w:rPr>
          <w:b/>
          <w:lang w:val="fr-FR"/>
        </w:rPr>
        <w:t>x</w:t>
      </w:r>
      <w:r w:rsidRPr="00D92988">
        <w:rPr>
          <w:lang w:val="fr-FR"/>
        </w:rPr>
        <w:t xml:space="preserve"> paragraphe</w:t>
      </w:r>
      <w:r w:rsidRPr="00ED6DAD">
        <w:rPr>
          <w:b/>
          <w:lang w:val="fr-FR"/>
        </w:rPr>
        <w:t>s</w:t>
      </w:r>
      <w:r w:rsidR="00333DE7">
        <w:rPr>
          <w:lang w:val="fr-FR"/>
        </w:rPr>
        <w:t> </w:t>
      </w:r>
      <w:r w:rsidRPr="00D92988">
        <w:rPr>
          <w:lang w:val="fr-FR"/>
        </w:rPr>
        <w:t>3.1.1</w:t>
      </w:r>
      <w:r w:rsidRPr="00D92988">
        <w:rPr>
          <w:b/>
          <w:lang w:val="fr-FR"/>
        </w:rPr>
        <w:t>,</w:t>
      </w:r>
      <w:r w:rsidRPr="00D92988">
        <w:rPr>
          <w:lang w:val="fr-FR"/>
        </w:rPr>
        <w:t xml:space="preserve"> </w:t>
      </w:r>
      <w:r w:rsidRPr="00D92988">
        <w:rPr>
          <w:b/>
          <w:lang w:val="fr-FR"/>
        </w:rPr>
        <w:t>3.1.2 et 3.1.12</w:t>
      </w:r>
      <w:r w:rsidRPr="00D92988">
        <w:rPr>
          <w:lang w:val="fr-FR"/>
        </w:rPr>
        <w:t xml:space="preserve"> ci-dessus.</w:t>
      </w:r>
      <w:r>
        <w:rPr>
          <w:lang w:val="fr-FR"/>
        </w:rPr>
        <w:t> ».</w:t>
      </w:r>
    </w:p>
    <w:p w:rsidR="00A57F59" w:rsidRPr="00D92988" w:rsidRDefault="00A57F59" w:rsidP="00D22611">
      <w:pPr>
        <w:pStyle w:val="SingleTxtG"/>
        <w:spacing w:line="220" w:lineRule="atLeast"/>
      </w:pPr>
      <w:r w:rsidRPr="00D92988">
        <w:rPr>
          <w:i/>
          <w:lang w:val="fr-FR"/>
        </w:rPr>
        <w:t>Paragraphe 4.1.1</w:t>
      </w:r>
      <w:r w:rsidRPr="00D92988">
        <w:rPr>
          <w:lang w:val="fr-FR"/>
        </w:rPr>
        <w:t>, modifier comme suit</w:t>
      </w:r>
      <w:r>
        <w:rPr>
          <w:lang w:val="fr-FR"/>
        </w:rPr>
        <w:t> </w:t>
      </w:r>
      <w:r w:rsidRPr="00D92988">
        <w:rPr>
          <w:lang w:val="fr-FR"/>
        </w:rPr>
        <w:t>:</w:t>
      </w:r>
    </w:p>
    <w:p w:rsidR="00A57F59" w:rsidRPr="00D92988" w:rsidRDefault="00A57F59" w:rsidP="00D22611">
      <w:pPr>
        <w:pStyle w:val="SingleTxtG"/>
        <w:spacing w:line="220" w:lineRule="atLeast"/>
        <w:ind w:left="2268" w:hanging="1134"/>
      </w:pPr>
      <w:r w:rsidRPr="00D92988">
        <w:rPr>
          <w:lang w:val="fr-FR"/>
        </w:rPr>
        <w:t>« 4.1.1</w:t>
      </w:r>
      <w:r w:rsidRPr="00D92988">
        <w:rPr>
          <w:lang w:val="fr-FR"/>
        </w:rPr>
        <w:tab/>
      </w:r>
      <w:r w:rsidRPr="00D92988">
        <w:rPr>
          <w:lang w:val="fr-FR"/>
        </w:rPr>
        <w:tab/>
      </w:r>
      <w:r>
        <w:rPr>
          <w:lang w:val="fr-FR"/>
        </w:rPr>
        <w:t>L</w:t>
      </w:r>
      <w:r w:rsidRPr="00D92988">
        <w:rPr>
          <w:lang w:val="fr-FR"/>
        </w:rPr>
        <w:t>a désignation de la dimension du pneumatique</w:t>
      </w:r>
      <w:r w:rsidRPr="00333DE7">
        <w:rPr>
          <w:strike/>
          <w:lang w:val="fr-FR"/>
        </w:rPr>
        <w:t xml:space="preserve"> </w:t>
      </w:r>
      <w:r w:rsidRPr="00B451C4">
        <w:rPr>
          <w:strike/>
          <w:lang w:val="fr-FR"/>
        </w:rPr>
        <w:t>telle qu</w:t>
      </w:r>
      <w:r>
        <w:rPr>
          <w:strike/>
          <w:lang w:val="fr-FR"/>
        </w:rPr>
        <w:t>’</w:t>
      </w:r>
      <w:r w:rsidRPr="00B451C4">
        <w:rPr>
          <w:strike/>
          <w:lang w:val="fr-FR"/>
        </w:rPr>
        <w:t>elle est définie au paragraphe 2.19 du présent Règlement</w:t>
      </w:r>
      <w:r w:rsidRPr="00333DE7">
        <w:rPr>
          <w:lang w:val="fr-FR"/>
        </w:rPr>
        <w:t> </w:t>
      </w:r>
      <w:r w:rsidRPr="00D92988">
        <w:rPr>
          <w:lang w:val="fr-FR"/>
        </w:rPr>
        <w:t>; »</w:t>
      </w:r>
      <w:r>
        <w:rPr>
          <w:lang w:val="fr-FR"/>
        </w:rPr>
        <w:t>.</w:t>
      </w:r>
    </w:p>
    <w:p w:rsidR="00A57F59" w:rsidRPr="00D92988" w:rsidRDefault="00A57F59" w:rsidP="00D22611">
      <w:pPr>
        <w:pStyle w:val="SingleTxtG"/>
        <w:spacing w:line="220" w:lineRule="atLeast"/>
      </w:pPr>
      <w:r w:rsidRPr="00D92988">
        <w:rPr>
          <w:i/>
          <w:lang w:val="fr-FR"/>
        </w:rPr>
        <w:t>Paragraphe 6.1.1.2</w:t>
      </w:r>
      <w:r w:rsidRPr="00663F79">
        <w:rPr>
          <w:lang w:val="fr-FR"/>
        </w:rPr>
        <w:t>,</w:t>
      </w:r>
      <w:r w:rsidRPr="00D92988">
        <w:rPr>
          <w:lang w:val="fr-FR"/>
        </w:rPr>
        <w:t xml:space="preserve"> modifier comme suit</w:t>
      </w:r>
      <w:r>
        <w:rPr>
          <w:lang w:val="fr-FR"/>
        </w:rPr>
        <w:t> </w:t>
      </w:r>
      <w:r w:rsidRPr="00D92988">
        <w:rPr>
          <w:lang w:val="fr-FR"/>
        </w:rPr>
        <w:t>:</w:t>
      </w:r>
    </w:p>
    <w:p w:rsidR="00A57F59" w:rsidRPr="00D92988" w:rsidRDefault="00A57F59" w:rsidP="00D22611">
      <w:pPr>
        <w:pStyle w:val="SingleTxtG"/>
        <w:spacing w:line="220" w:lineRule="atLeast"/>
        <w:ind w:left="2268" w:hanging="1134"/>
      </w:pPr>
      <w:r w:rsidRPr="00D92988">
        <w:rPr>
          <w:lang w:val="fr-FR"/>
        </w:rPr>
        <w:t>« 6.1.1.2</w:t>
      </w:r>
      <w:r w:rsidRPr="00D92988">
        <w:rPr>
          <w:lang w:val="fr-FR"/>
        </w:rPr>
        <w:tab/>
        <w:t xml:space="preserve">Toutefois, pour les types de pneumatiques </w:t>
      </w:r>
      <w:r w:rsidRPr="00D92988">
        <w:rPr>
          <w:strike/>
          <w:lang w:val="fr-FR"/>
        </w:rPr>
        <w:t>existants</w:t>
      </w:r>
      <w:r w:rsidRPr="00333DE7">
        <w:rPr>
          <w:strike/>
          <w:lang w:val="fr-FR"/>
        </w:rPr>
        <w:t xml:space="preserve"> </w:t>
      </w:r>
      <w:r w:rsidRPr="00D92988">
        <w:rPr>
          <w:lang w:val="fr-FR"/>
        </w:rPr>
        <w:t>dont la désignation figure dans la première colonne des tableaux de l</w:t>
      </w:r>
      <w:r>
        <w:rPr>
          <w:lang w:val="fr-FR"/>
        </w:rPr>
        <w:t>’</w:t>
      </w:r>
      <w:r w:rsidRPr="00D92988">
        <w:rPr>
          <w:lang w:val="fr-FR"/>
        </w:rPr>
        <w:t xml:space="preserve">annexe 5 du présent Règlement, il est admis que la </w:t>
      </w:r>
      <w:r w:rsidRPr="00D4400A">
        <w:t>grosseur du boudin</w:t>
      </w:r>
      <w:r>
        <w:t xml:space="preserve"> </w:t>
      </w:r>
      <w:r w:rsidRPr="00D92988">
        <w:rPr>
          <w:lang w:val="fr-FR"/>
        </w:rPr>
        <w:t>soit égale à celle qui figure dans ces tableaux en face de la désignation du pneumatique. »</w:t>
      </w:r>
      <w:r>
        <w:rPr>
          <w:lang w:val="fr-FR"/>
        </w:rPr>
        <w:t>.</w:t>
      </w:r>
    </w:p>
    <w:p w:rsidR="00A57F59" w:rsidRPr="00D92988" w:rsidRDefault="00A57F59" w:rsidP="00D22611">
      <w:pPr>
        <w:pStyle w:val="SingleTxtG"/>
        <w:spacing w:line="220" w:lineRule="atLeast"/>
      </w:pPr>
      <w:r w:rsidRPr="00D92988">
        <w:rPr>
          <w:i/>
          <w:lang w:val="fr-FR"/>
        </w:rPr>
        <w:t>Paragraphe 6.1.2.2</w:t>
      </w:r>
      <w:r w:rsidRPr="00D92988">
        <w:rPr>
          <w:lang w:val="fr-FR"/>
        </w:rPr>
        <w:t>, modifier comme suit</w:t>
      </w:r>
      <w:r>
        <w:rPr>
          <w:lang w:val="fr-FR"/>
        </w:rPr>
        <w:t> </w:t>
      </w:r>
      <w:r w:rsidRPr="00D92988">
        <w:rPr>
          <w:lang w:val="fr-FR"/>
        </w:rPr>
        <w:t>:</w:t>
      </w:r>
    </w:p>
    <w:p w:rsidR="00A57F59" w:rsidRPr="00D92988" w:rsidRDefault="00A57F59" w:rsidP="00D22611">
      <w:pPr>
        <w:pStyle w:val="SingleTxtG"/>
        <w:spacing w:line="220" w:lineRule="atLeast"/>
        <w:ind w:left="2268" w:hanging="1134"/>
      </w:pPr>
      <w:r w:rsidRPr="00D92988">
        <w:rPr>
          <w:lang w:val="fr-FR"/>
        </w:rPr>
        <w:t>« 6.1.2.2</w:t>
      </w:r>
      <w:r w:rsidRPr="00D92988">
        <w:rPr>
          <w:lang w:val="fr-FR"/>
        </w:rPr>
        <w:tab/>
        <w:t xml:space="preserve">Toutefois, pour les types de pneumatiques </w:t>
      </w:r>
      <w:r w:rsidRPr="00D92988">
        <w:rPr>
          <w:strike/>
          <w:lang w:val="fr-FR"/>
        </w:rPr>
        <w:t>existants</w:t>
      </w:r>
      <w:r w:rsidRPr="00333DE7">
        <w:rPr>
          <w:strike/>
          <w:lang w:val="fr-FR"/>
        </w:rPr>
        <w:t xml:space="preserve"> </w:t>
      </w:r>
      <w:r w:rsidRPr="00D92988">
        <w:rPr>
          <w:lang w:val="fr-FR"/>
        </w:rPr>
        <w:t>dont la désignation figure dans la première colonne des tableaux de l</w:t>
      </w:r>
      <w:r>
        <w:rPr>
          <w:lang w:val="fr-FR"/>
        </w:rPr>
        <w:t>’</w:t>
      </w:r>
      <w:r w:rsidR="00333DE7">
        <w:rPr>
          <w:lang w:val="fr-FR"/>
        </w:rPr>
        <w:t>annexe </w:t>
      </w:r>
      <w:r w:rsidRPr="00D92988">
        <w:rPr>
          <w:lang w:val="fr-FR"/>
        </w:rPr>
        <w:t>5 du présent Règlement, il est admis que le diamètre extérieur soit celui qui figure dans ces tableaux en face de la désignation du pneumatique. »</w:t>
      </w:r>
      <w:r>
        <w:rPr>
          <w:lang w:val="fr-FR"/>
        </w:rPr>
        <w:t>.</w:t>
      </w:r>
    </w:p>
    <w:p w:rsidR="00A57F59" w:rsidRPr="00D92988" w:rsidRDefault="00A57F59" w:rsidP="00D22611">
      <w:pPr>
        <w:pStyle w:val="SingleTxtG"/>
        <w:spacing w:line="220" w:lineRule="atLeast"/>
      </w:pPr>
      <w:r w:rsidRPr="00D92988">
        <w:rPr>
          <w:i/>
          <w:lang w:val="fr-FR"/>
        </w:rPr>
        <w:t>Paragraphe 6.1.4.2</w:t>
      </w:r>
      <w:r w:rsidRPr="00D92988">
        <w:rPr>
          <w:lang w:val="fr-FR"/>
        </w:rPr>
        <w:t>, modifier comme suit</w:t>
      </w:r>
      <w:r>
        <w:rPr>
          <w:lang w:val="fr-FR"/>
        </w:rPr>
        <w:t> </w:t>
      </w:r>
      <w:r w:rsidRPr="00D92988">
        <w:rPr>
          <w:lang w:val="fr-FR"/>
        </w:rPr>
        <w:t>:</w:t>
      </w:r>
    </w:p>
    <w:p w:rsidR="00A57F59" w:rsidRPr="00D92988" w:rsidRDefault="00A57F59" w:rsidP="00D22611">
      <w:pPr>
        <w:pStyle w:val="SingleTxtG"/>
        <w:spacing w:line="220" w:lineRule="atLeast"/>
        <w:ind w:left="2268" w:hanging="1134"/>
        <w:rPr>
          <w:strike/>
        </w:rPr>
      </w:pPr>
      <w:r w:rsidRPr="00D92988">
        <w:rPr>
          <w:lang w:val="fr-FR"/>
        </w:rPr>
        <w:t>« 6.1.4.2</w:t>
      </w:r>
      <w:r w:rsidRPr="00D92988">
        <w:rPr>
          <w:lang w:val="fr-FR"/>
        </w:rPr>
        <w:tab/>
        <w:t xml:space="preserve">Elle peut dépasser cette valeur de 4 % pour les pneumatiques à structure radiale et de 8 % pour les pneumatiques à structure diagonale. Toutefois, </w:t>
      </w:r>
      <w:r w:rsidRPr="00B451C4">
        <w:rPr>
          <w:spacing w:val="-2"/>
          <w:lang w:val="fr-FR"/>
        </w:rPr>
        <w:t xml:space="preserve">pour les pneumatiques </w:t>
      </w:r>
      <w:r w:rsidRPr="00B451C4">
        <w:rPr>
          <w:strike/>
          <w:spacing w:val="-2"/>
          <w:lang w:val="fr-FR"/>
        </w:rPr>
        <w:t>d</w:t>
      </w:r>
      <w:r>
        <w:rPr>
          <w:strike/>
          <w:spacing w:val="-2"/>
          <w:lang w:val="fr-FR"/>
        </w:rPr>
        <w:t>’</w:t>
      </w:r>
      <w:r w:rsidRPr="00B451C4">
        <w:rPr>
          <w:strike/>
          <w:spacing w:val="-2"/>
          <w:lang w:val="fr-FR"/>
        </w:rPr>
        <w:t>une grosseur de boudin nominale supérieure à 305</w:t>
      </w:r>
      <w:r>
        <w:rPr>
          <w:strike/>
          <w:spacing w:val="-2"/>
          <w:lang w:val="fr-FR"/>
        </w:rPr>
        <w:t> </w:t>
      </w:r>
      <w:r w:rsidRPr="00B451C4">
        <w:rPr>
          <w:strike/>
          <w:spacing w:val="-2"/>
          <w:lang w:val="fr-FR"/>
        </w:rPr>
        <w:t>mm</w:t>
      </w:r>
      <w:r w:rsidRPr="00D92988">
        <w:rPr>
          <w:strike/>
          <w:lang w:val="fr-FR"/>
        </w:rPr>
        <w:t xml:space="preserve"> </w:t>
      </w:r>
      <w:r w:rsidRPr="00D92988">
        <w:rPr>
          <w:lang w:val="fr-FR"/>
        </w:rPr>
        <w:t xml:space="preserve">conçus pour le montage en jumelé, </w:t>
      </w:r>
      <w:r w:rsidRPr="00D92988">
        <w:rPr>
          <w:b/>
          <w:lang w:val="fr-FR"/>
        </w:rPr>
        <w:t>énumérés dans la colonne A du tableau ci-après, la grosseur hors tout du pneumatique peut être supérieure à</w:t>
      </w:r>
      <w:r w:rsidRPr="00D92988">
        <w:rPr>
          <w:lang w:val="fr-FR"/>
        </w:rPr>
        <w:t xml:space="preserve"> la valeur déterminée conformément au paragraphe 6.1.1 ci-dessus </w:t>
      </w:r>
      <w:r w:rsidRPr="00D92988">
        <w:rPr>
          <w:b/>
          <w:lang w:val="fr-FR"/>
        </w:rPr>
        <w:t xml:space="preserve">compte </w:t>
      </w:r>
      <w:r>
        <w:rPr>
          <w:b/>
          <w:lang w:val="fr-FR"/>
        </w:rPr>
        <w:t xml:space="preserve">tenu </w:t>
      </w:r>
      <w:r w:rsidRPr="00D92988">
        <w:rPr>
          <w:b/>
          <w:lang w:val="fr-FR"/>
        </w:rPr>
        <w:t>des tolérances figurant dans la colonne B</w:t>
      </w:r>
      <w:r>
        <w:rPr>
          <w:b/>
          <w:lang w:val="fr-FR"/>
        </w:rPr>
        <w:t xml:space="preserve"> ; diverses tolérances sont énumérées dans la partie II de l’annexe 5, dans les notes de bas de page des tableaux pertinents. </w:t>
      </w:r>
      <w:r w:rsidRPr="00D92988">
        <w:rPr>
          <w:strike/>
          <w:lang w:val="fr-FR"/>
        </w:rPr>
        <w:t>ne doit pas être dépassée de plus de 2</w:t>
      </w:r>
      <w:r>
        <w:rPr>
          <w:strike/>
          <w:lang w:val="fr-FR"/>
        </w:rPr>
        <w:t> </w:t>
      </w:r>
      <w:r w:rsidRPr="00D92988">
        <w:rPr>
          <w:strike/>
          <w:lang w:val="fr-FR"/>
        </w:rPr>
        <w:t>% pour les pneumatiques à structure radiale ayant un rapport nominal hauteur/grosseur du boudin supérieur à 60, ou de plus de 4</w:t>
      </w:r>
      <w:r>
        <w:rPr>
          <w:strike/>
          <w:lang w:val="fr-FR"/>
        </w:rPr>
        <w:t> </w:t>
      </w:r>
      <w:r w:rsidRPr="00D92988">
        <w:rPr>
          <w:strike/>
          <w:lang w:val="fr-FR"/>
        </w:rPr>
        <w:t>% pour les pneumatiques à structure diagonale</w:t>
      </w:r>
      <w:r w:rsidRPr="00D92988">
        <w:rPr>
          <w:lang w:val="fr-FR"/>
        </w:rPr>
        <w:t xml:space="preserve">. Les valeurs limites respectives doivent être arrondies au millimètre le plus proche </w:t>
      </w:r>
      <w:r w:rsidRPr="00D92988">
        <w:rPr>
          <w:b/>
        </w:rPr>
        <w:t>(mm)</w:t>
      </w:r>
      <w:r w:rsidRPr="00D92988">
        <w:t>.</w:t>
      </w:r>
    </w:p>
    <w:tbl>
      <w:tblPr>
        <w:tblW w:w="8504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1"/>
        <w:gridCol w:w="1303"/>
      </w:tblGrid>
      <w:tr w:rsidR="00A57F59" w:rsidRPr="00501011" w:rsidTr="00ED6DAD">
        <w:trPr>
          <w:tblHeader/>
        </w:trPr>
        <w:tc>
          <w:tcPr>
            <w:tcW w:w="6242" w:type="dxa"/>
            <w:shd w:val="clear" w:color="auto" w:fill="auto"/>
            <w:vAlign w:val="bottom"/>
          </w:tcPr>
          <w:p w:rsidR="00A57F59" w:rsidRPr="00AC7678" w:rsidRDefault="00A57F59" w:rsidP="00FC46EC">
            <w:pPr>
              <w:spacing w:before="60" w:after="60" w:line="220" w:lineRule="atLeast"/>
              <w:ind w:left="57" w:right="57"/>
              <w:rPr>
                <w:b/>
                <w:i/>
              </w:rPr>
            </w:pPr>
            <w:r w:rsidRPr="00AC7678">
              <w:rPr>
                <w:b/>
                <w:i/>
                <w:lang w:val="fr-FR"/>
              </w:rPr>
              <w:t>A</w:t>
            </w:r>
          </w:p>
        </w:tc>
        <w:tc>
          <w:tcPr>
            <w:tcW w:w="1129" w:type="dxa"/>
            <w:shd w:val="clear" w:color="auto" w:fill="auto"/>
            <w:vAlign w:val="bottom"/>
          </w:tcPr>
          <w:p w:rsidR="00A57F59" w:rsidRPr="00AC7678" w:rsidRDefault="00A57F59" w:rsidP="00ED6DAD">
            <w:pPr>
              <w:spacing w:before="60" w:after="60" w:line="220" w:lineRule="atLeast"/>
              <w:ind w:left="57" w:right="57"/>
              <w:jc w:val="right"/>
              <w:rPr>
                <w:b/>
                <w:i/>
              </w:rPr>
            </w:pPr>
            <w:r w:rsidRPr="00AC7678">
              <w:rPr>
                <w:b/>
                <w:i/>
                <w:lang w:val="fr-FR"/>
              </w:rPr>
              <w:t>B</w:t>
            </w:r>
          </w:p>
        </w:tc>
      </w:tr>
      <w:tr w:rsidR="00A57F59" w:rsidRPr="00751ED9" w:rsidTr="00ED6DAD">
        <w:tc>
          <w:tcPr>
            <w:tcW w:w="6242" w:type="dxa"/>
            <w:shd w:val="clear" w:color="auto" w:fill="auto"/>
          </w:tcPr>
          <w:p w:rsidR="00A57F59" w:rsidRPr="00ED07CC" w:rsidRDefault="00A57F59" w:rsidP="00333DE7">
            <w:pPr>
              <w:spacing w:before="40" w:after="40" w:line="200" w:lineRule="atLeast"/>
              <w:ind w:left="57" w:right="57"/>
              <w:rPr>
                <w:b/>
              </w:rPr>
            </w:pPr>
            <w:r w:rsidRPr="00ED07CC">
              <w:rPr>
                <w:b/>
                <w:lang w:val="fr-FR"/>
              </w:rPr>
              <w:t>Pneumatiques à structure radiale d</w:t>
            </w:r>
            <w:r>
              <w:rPr>
                <w:b/>
                <w:lang w:val="fr-FR"/>
              </w:rPr>
              <w:t>’</w:t>
            </w:r>
            <w:r w:rsidRPr="00ED07CC">
              <w:rPr>
                <w:b/>
                <w:lang w:val="fr-FR"/>
              </w:rPr>
              <w:t>une largeur de section nominale supérieure à 305 mm et ayant un rapport nominal hauteur/grosseur du boudin supérieur à</w:t>
            </w:r>
            <w:r>
              <w:rPr>
                <w:b/>
                <w:lang w:val="fr-FR"/>
              </w:rPr>
              <w:t> </w:t>
            </w:r>
            <w:r w:rsidRPr="00ED07CC">
              <w:rPr>
                <w:b/>
                <w:lang w:val="fr-FR"/>
              </w:rPr>
              <w:t>60</w:t>
            </w:r>
          </w:p>
        </w:tc>
        <w:tc>
          <w:tcPr>
            <w:tcW w:w="1129" w:type="dxa"/>
            <w:shd w:val="clear" w:color="auto" w:fill="auto"/>
            <w:vAlign w:val="bottom"/>
          </w:tcPr>
          <w:p w:rsidR="00A57F59" w:rsidRPr="00ED07CC" w:rsidRDefault="00A57F59" w:rsidP="00ED6DAD">
            <w:pPr>
              <w:spacing w:before="40" w:after="40" w:line="200" w:lineRule="atLeast"/>
              <w:ind w:left="57" w:right="57"/>
              <w:jc w:val="right"/>
              <w:rPr>
                <w:b/>
              </w:rPr>
            </w:pPr>
            <w:r w:rsidRPr="00ED07CC">
              <w:rPr>
                <w:b/>
                <w:lang w:val="fr-FR"/>
              </w:rPr>
              <w:t>2 %</w:t>
            </w:r>
          </w:p>
        </w:tc>
      </w:tr>
      <w:tr w:rsidR="00A57F59" w:rsidRPr="00751ED9" w:rsidTr="00ED6DAD">
        <w:tc>
          <w:tcPr>
            <w:tcW w:w="6242" w:type="dxa"/>
            <w:shd w:val="clear" w:color="auto" w:fill="auto"/>
          </w:tcPr>
          <w:p w:rsidR="00A57F59" w:rsidRPr="00ED07CC" w:rsidRDefault="00A57F59" w:rsidP="00333DE7">
            <w:pPr>
              <w:spacing w:before="40" w:after="40" w:line="200" w:lineRule="atLeast"/>
              <w:ind w:left="57" w:right="57"/>
              <w:rPr>
                <w:b/>
              </w:rPr>
            </w:pPr>
            <w:r w:rsidRPr="00ED07CC">
              <w:rPr>
                <w:b/>
                <w:lang w:val="fr-FR"/>
              </w:rPr>
              <w:t>Pneumatiques à structure radiale énumérés à la partie 1 de l</w:t>
            </w:r>
            <w:r>
              <w:rPr>
                <w:b/>
                <w:lang w:val="fr-FR"/>
              </w:rPr>
              <w:t>’</w:t>
            </w:r>
            <w:r w:rsidRPr="00ED07CC">
              <w:rPr>
                <w:b/>
                <w:lang w:val="fr-FR"/>
              </w:rPr>
              <w:t>annexe</w:t>
            </w:r>
            <w:r>
              <w:rPr>
                <w:b/>
                <w:lang w:val="fr-FR"/>
              </w:rPr>
              <w:t> </w:t>
            </w:r>
            <w:r w:rsidRPr="00ED07CC">
              <w:rPr>
                <w:b/>
                <w:lang w:val="fr-FR"/>
              </w:rPr>
              <w:t>5, d</w:t>
            </w:r>
            <w:r>
              <w:rPr>
                <w:b/>
                <w:lang w:val="fr-FR"/>
              </w:rPr>
              <w:t>’</w:t>
            </w:r>
            <w:r w:rsidRPr="00ED07CC">
              <w:rPr>
                <w:b/>
                <w:lang w:val="fr-FR"/>
              </w:rPr>
              <w:t>une grosseur de boudin nominale supérieure à 305 mm</w:t>
            </w:r>
          </w:p>
        </w:tc>
        <w:tc>
          <w:tcPr>
            <w:tcW w:w="1129" w:type="dxa"/>
            <w:shd w:val="clear" w:color="auto" w:fill="auto"/>
            <w:vAlign w:val="bottom"/>
          </w:tcPr>
          <w:p w:rsidR="00A57F59" w:rsidRPr="00ED07CC" w:rsidRDefault="00A57F59" w:rsidP="00ED6DAD">
            <w:pPr>
              <w:spacing w:before="40" w:after="40" w:line="200" w:lineRule="atLeast"/>
              <w:ind w:left="57" w:right="57"/>
              <w:jc w:val="right"/>
              <w:rPr>
                <w:b/>
              </w:rPr>
            </w:pPr>
            <w:r w:rsidRPr="00ED07CC">
              <w:rPr>
                <w:b/>
                <w:lang w:val="fr-FR"/>
              </w:rPr>
              <w:t>2 %</w:t>
            </w:r>
          </w:p>
        </w:tc>
      </w:tr>
      <w:tr w:rsidR="00A57F59" w:rsidRPr="00751ED9" w:rsidTr="00ED6DAD">
        <w:tc>
          <w:tcPr>
            <w:tcW w:w="6242" w:type="dxa"/>
            <w:shd w:val="clear" w:color="auto" w:fill="auto"/>
          </w:tcPr>
          <w:p w:rsidR="00A57F59" w:rsidRPr="00ED07CC" w:rsidRDefault="00A57F59" w:rsidP="00333DE7">
            <w:pPr>
              <w:spacing w:before="40" w:after="40" w:line="200" w:lineRule="atLeast"/>
              <w:ind w:left="57" w:right="57"/>
              <w:rPr>
                <w:b/>
              </w:rPr>
            </w:pPr>
            <w:r w:rsidRPr="00ED07CC">
              <w:rPr>
                <w:b/>
                <w:lang w:val="fr-FR"/>
              </w:rPr>
              <w:t>Pneumatiques à structure diagonale d</w:t>
            </w:r>
            <w:r>
              <w:rPr>
                <w:b/>
                <w:lang w:val="fr-FR"/>
              </w:rPr>
              <w:t>’</w:t>
            </w:r>
            <w:r w:rsidRPr="00ED07CC">
              <w:rPr>
                <w:b/>
                <w:lang w:val="fr-FR"/>
              </w:rPr>
              <w:t>une grosseur de boudin nominale supérieure à 305 mm</w:t>
            </w:r>
          </w:p>
        </w:tc>
        <w:tc>
          <w:tcPr>
            <w:tcW w:w="1129" w:type="dxa"/>
            <w:shd w:val="clear" w:color="auto" w:fill="auto"/>
            <w:vAlign w:val="bottom"/>
          </w:tcPr>
          <w:p w:rsidR="00A57F59" w:rsidRPr="00ED07CC" w:rsidRDefault="00A57F59" w:rsidP="00ED6DAD">
            <w:pPr>
              <w:spacing w:before="40" w:after="40" w:line="200" w:lineRule="atLeast"/>
              <w:ind w:left="57" w:right="57"/>
              <w:jc w:val="right"/>
              <w:rPr>
                <w:b/>
              </w:rPr>
            </w:pPr>
            <w:r w:rsidRPr="00ED07CC">
              <w:rPr>
                <w:b/>
                <w:lang w:val="fr-FR"/>
              </w:rPr>
              <w:t>4 %</w:t>
            </w:r>
          </w:p>
        </w:tc>
      </w:tr>
      <w:tr w:rsidR="00A57F59" w:rsidRPr="00751ED9" w:rsidTr="00ED6DAD">
        <w:tc>
          <w:tcPr>
            <w:tcW w:w="6242" w:type="dxa"/>
            <w:shd w:val="clear" w:color="auto" w:fill="auto"/>
          </w:tcPr>
          <w:p w:rsidR="00A57F59" w:rsidRPr="00ED07CC" w:rsidRDefault="00A57F59" w:rsidP="00333DE7">
            <w:pPr>
              <w:spacing w:before="40" w:after="40" w:line="200" w:lineRule="atLeast"/>
              <w:ind w:left="57" w:right="57"/>
              <w:rPr>
                <w:b/>
              </w:rPr>
            </w:pPr>
            <w:r w:rsidRPr="00ED07CC">
              <w:rPr>
                <w:b/>
                <w:lang w:val="fr-FR"/>
              </w:rPr>
              <w:t>Pneumatiques à structure diagonale énumérés à la partie 1 de l</w:t>
            </w:r>
            <w:r>
              <w:rPr>
                <w:b/>
                <w:lang w:val="fr-FR"/>
              </w:rPr>
              <w:t>’</w:t>
            </w:r>
            <w:r w:rsidRPr="00ED07CC">
              <w:rPr>
                <w:b/>
                <w:lang w:val="fr-FR"/>
              </w:rPr>
              <w:t>annexe 5, d</w:t>
            </w:r>
            <w:r>
              <w:rPr>
                <w:b/>
                <w:lang w:val="fr-FR"/>
              </w:rPr>
              <w:t>’</w:t>
            </w:r>
            <w:r w:rsidRPr="00ED07CC">
              <w:rPr>
                <w:b/>
                <w:lang w:val="fr-FR"/>
              </w:rPr>
              <w:t>une grosseur de boudin nominale supérieure à 305 mm</w:t>
            </w:r>
          </w:p>
        </w:tc>
        <w:tc>
          <w:tcPr>
            <w:tcW w:w="1129" w:type="dxa"/>
            <w:shd w:val="clear" w:color="auto" w:fill="auto"/>
            <w:vAlign w:val="bottom"/>
          </w:tcPr>
          <w:p w:rsidR="00A57F59" w:rsidRPr="00ED07CC" w:rsidRDefault="00A57F59" w:rsidP="00ED6DAD">
            <w:pPr>
              <w:spacing w:before="40" w:after="40" w:line="200" w:lineRule="atLeast"/>
              <w:ind w:left="57" w:right="57"/>
              <w:jc w:val="right"/>
              <w:rPr>
                <w:b/>
              </w:rPr>
            </w:pPr>
            <w:r w:rsidRPr="00ED07CC">
              <w:rPr>
                <w:b/>
                <w:lang w:val="fr-FR"/>
              </w:rPr>
              <w:t>4 %</w:t>
            </w:r>
          </w:p>
        </w:tc>
      </w:tr>
    </w:tbl>
    <w:p w:rsidR="00A57F59" w:rsidRPr="00D92988" w:rsidRDefault="00A57F59" w:rsidP="00FC46EC">
      <w:pPr>
        <w:pStyle w:val="SingleTxtG"/>
        <w:jc w:val="right"/>
      </w:pPr>
      <w:r>
        <w:t> ».</w:t>
      </w:r>
    </w:p>
    <w:p w:rsidR="00A57F59" w:rsidRDefault="00A57F59" w:rsidP="00FC46EC">
      <w:pPr>
        <w:pStyle w:val="SingleTxtG"/>
        <w:rPr>
          <w:lang w:val="fr-FR"/>
        </w:rPr>
      </w:pPr>
      <w:r w:rsidRPr="00471E89">
        <w:rPr>
          <w:i/>
          <w:lang w:val="fr-FR"/>
        </w:rPr>
        <w:lastRenderedPageBreak/>
        <w:t>Tableau B de la deuxième partie de l</w:t>
      </w:r>
      <w:r>
        <w:rPr>
          <w:i/>
          <w:lang w:val="fr-FR"/>
        </w:rPr>
        <w:t>’a</w:t>
      </w:r>
      <w:r w:rsidRPr="00471E89">
        <w:rPr>
          <w:i/>
          <w:lang w:val="fr-FR"/>
        </w:rPr>
        <w:t>nnexe 5</w:t>
      </w:r>
      <w:r w:rsidRPr="00D92988">
        <w:rPr>
          <w:lang w:val="fr-FR"/>
        </w:rPr>
        <w:t>, modifier comme suit</w:t>
      </w:r>
      <w:r>
        <w:rPr>
          <w:lang w:val="fr-FR"/>
        </w:rPr>
        <w:t> </w:t>
      </w:r>
      <w:r w:rsidRPr="00D92988">
        <w:rPr>
          <w:lang w:val="fr-FR"/>
        </w:rPr>
        <w:t>:</w:t>
      </w:r>
    </w:p>
    <w:p w:rsidR="00A57F59" w:rsidRPr="00D92988" w:rsidRDefault="00A57F59" w:rsidP="00FC46EC">
      <w:pPr>
        <w:pStyle w:val="SingleTxtG"/>
      </w:pPr>
      <w:r>
        <w:rPr>
          <w:lang w:val="fr-FR"/>
        </w:rPr>
        <w:t>« </w:t>
      </w:r>
    </w:p>
    <w:tbl>
      <w:tblPr>
        <w:tblW w:w="8504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7"/>
        <w:gridCol w:w="1288"/>
        <w:gridCol w:w="1847"/>
        <w:gridCol w:w="1265"/>
        <w:gridCol w:w="1395"/>
        <w:gridCol w:w="1152"/>
      </w:tblGrid>
      <w:tr w:rsidR="00FC46EC" w:rsidRPr="00971A63" w:rsidTr="00452235">
        <w:trPr>
          <w:trHeight w:val="492"/>
          <w:tblHeader/>
        </w:trPr>
        <w:tc>
          <w:tcPr>
            <w:tcW w:w="1557" w:type="dxa"/>
            <w:vMerge w:val="restart"/>
            <w:vAlign w:val="bottom"/>
          </w:tcPr>
          <w:p w:rsidR="00A57F59" w:rsidRPr="00971A63" w:rsidRDefault="00A57F59" w:rsidP="00FC46EC">
            <w:pPr>
              <w:spacing w:before="60" w:after="60" w:line="220" w:lineRule="atLeast"/>
              <w:ind w:left="57" w:right="57"/>
              <w:rPr>
                <w:i/>
                <w:sz w:val="16"/>
                <w:szCs w:val="16"/>
              </w:rPr>
            </w:pPr>
            <w:r w:rsidRPr="00971A63">
              <w:rPr>
                <w:i/>
                <w:sz w:val="16"/>
                <w:szCs w:val="16"/>
              </w:rPr>
              <w:t>Désignation</w:t>
            </w:r>
            <w:r w:rsidRPr="00971A63">
              <w:rPr>
                <w:i/>
                <w:sz w:val="16"/>
                <w:szCs w:val="16"/>
                <w:lang w:val="fr-FR"/>
              </w:rPr>
              <w:t xml:space="preserve"> du pneumatique</w:t>
            </w:r>
            <w:r w:rsidRPr="00971A63">
              <w:rPr>
                <w:sz w:val="16"/>
                <w:szCs w:val="16"/>
                <w:vertAlign w:val="superscript"/>
                <w:lang w:val="fr-FR"/>
              </w:rPr>
              <w:t>1, 4</w:t>
            </w:r>
          </w:p>
        </w:tc>
        <w:tc>
          <w:tcPr>
            <w:tcW w:w="1288" w:type="dxa"/>
            <w:vMerge w:val="restart"/>
            <w:vAlign w:val="bottom"/>
            <w:hideMark/>
          </w:tcPr>
          <w:p w:rsidR="00A57F59" w:rsidRPr="00971A63" w:rsidRDefault="00A57F59" w:rsidP="00FC46EC">
            <w:pPr>
              <w:spacing w:before="60" w:after="60" w:line="220" w:lineRule="atLeast"/>
              <w:ind w:left="57" w:right="57"/>
              <w:jc w:val="right"/>
              <w:rPr>
                <w:i/>
                <w:sz w:val="16"/>
                <w:szCs w:val="16"/>
              </w:rPr>
            </w:pPr>
            <w:r w:rsidRPr="00971A63">
              <w:rPr>
                <w:i/>
                <w:sz w:val="16"/>
                <w:szCs w:val="16"/>
                <w:lang w:val="fr-FR"/>
              </w:rPr>
              <w:t xml:space="preserve">Code pour </w:t>
            </w:r>
            <w:r w:rsidRPr="00971A63">
              <w:rPr>
                <w:i/>
                <w:sz w:val="16"/>
                <w:szCs w:val="16"/>
                <w:lang w:val="fr-FR"/>
              </w:rPr>
              <w:br/>
              <w:t>la largeur de la jante de mesure</w:t>
            </w:r>
          </w:p>
        </w:tc>
        <w:tc>
          <w:tcPr>
            <w:tcW w:w="1847" w:type="dxa"/>
            <w:vMerge w:val="restart"/>
            <w:vAlign w:val="bottom"/>
            <w:hideMark/>
          </w:tcPr>
          <w:p w:rsidR="00A57F59" w:rsidRPr="00971A63" w:rsidRDefault="00A57F59" w:rsidP="00FC46EC">
            <w:pPr>
              <w:spacing w:before="60" w:after="60" w:line="220" w:lineRule="atLeast"/>
              <w:ind w:left="57" w:right="57"/>
              <w:jc w:val="right"/>
              <w:rPr>
                <w:i/>
                <w:sz w:val="16"/>
                <w:szCs w:val="16"/>
              </w:rPr>
            </w:pPr>
            <w:r w:rsidRPr="00971A63">
              <w:rPr>
                <w:i/>
                <w:sz w:val="16"/>
                <w:szCs w:val="16"/>
                <w:lang w:val="fr-FR"/>
              </w:rPr>
              <w:t xml:space="preserve">Diamètre nominal d </w:t>
            </w:r>
            <w:r w:rsidRPr="00971A63">
              <w:rPr>
                <w:i/>
                <w:sz w:val="16"/>
                <w:szCs w:val="16"/>
                <w:lang w:val="fr-FR"/>
              </w:rPr>
              <w:br/>
              <w:t>de la jante(mm)</w:t>
            </w:r>
          </w:p>
        </w:tc>
        <w:tc>
          <w:tcPr>
            <w:tcW w:w="2660" w:type="dxa"/>
            <w:gridSpan w:val="2"/>
            <w:vAlign w:val="bottom"/>
            <w:hideMark/>
          </w:tcPr>
          <w:p w:rsidR="00A57F59" w:rsidRPr="00971A63" w:rsidRDefault="00A57F59" w:rsidP="00FC46EC">
            <w:pPr>
              <w:spacing w:before="60" w:after="60" w:line="220" w:lineRule="atLeast"/>
              <w:ind w:left="57" w:right="57"/>
              <w:jc w:val="center"/>
              <w:rPr>
                <w:i/>
                <w:sz w:val="16"/>
                <w:szCs w:val="16"/>
              </w:rPr>
            </w:pPr>
            <w:r w:rsidRPr="00971A63">
              <w:rPr>
                <w:i/>
                <w:sz w:val="16"/>
                <w:szCs w:val="16"/>
                <w:lang w:val="fr-FR"/>
              </w:rPr>
              <w:t>Diamètre extérieur D (mm)</w:t>
            </w:r>
            <w:r w:rsidRPr="00971A63">
              <w:rPr>
                <w:sz w:val="16"/>
                <w:szCs w:val="16"/>
                <w:vertAlign w:val="superscript"/>
                <w:lang w:val="fr-FR"/>
              </w:rPr>
              <w:t>2</w:t>
            </w:r>
          </w:p>
        </w:tc>
        <w:tc>
          <w:tcPr>
            <w:tcW w:w="1152" w:type="dxa"/>
            <w:vMerge w:val="restart"/>
            <w:vAlign w:val="bottom"/>
          </w:tcPr>
          <w:p w:rsidR="00A57F59" w:rsidRPr="00971A63" w:rsidRDefault="00A57F59" w:rsidP="00FC46EC">
            <w:pPr>
              <w:spacing w:before="60" w:after="60" w:line="220" w:lineRule="atLeast"/>
              <w:ind w:left="57" w:right="57"/>
              <w:jc w:val="right"/>
              <w:rPr>
                <w:i/>
                <w:sz w:val="16"/>
                <w:szCs w:val="16"/>
              </w:rPr>
            </w:pPr>
            <w:r w:rsidRPr="00971A63">
              <w:rPr>
                <w:i/>
                <w:sz w:val="16"/>
                <w:szCs w:val="16"/>
                <w:lang w:val="fr-FR"/>
              </w:rPr>
              <w:t xml:space="preserve">Grosseur </w:t>
            </w:r>
            <w:r w:rsidR="00FC46EC" w:rsidRPr="00971A63">
              <w:rPr>
                <w:i/>
                <w:sz w:val="16"/>
                <w:szCs w:val="16"/>
                <w:lang w:val="fr-FR"/>
              </w:rPr>
              <w:br/>
            </w:r>
            <w:r w:rsidRPr="00971A63">
              <w:rPr>
                <w:i/>
                <w:sz w:val="16"/>
                <w:szCs w:val="16"/>
                <w:lang w:val="fr-FR"/>
              </w:rPr>
              <w:t>du boudin S (mm)</w:t>
            </w:r>
            <w:r w:rsidRPr="00971A63">
              <w:rPr>
                <w:sz w:val="16"/>
                <w:szCs w:val="16"/>
                <w:vertAlign w:val="superscript"/>
                <w:lang w:val="fr-FR"/>
              </w:rPr>
              <w:t>3</w:t>
            </w:r>
          </w:p>
        </w:tc>
      </w:tr>
      <w:tr w:rsidR="00FC46EC" w:rsidRPr="00971A63" w:rsidTr="00452235">
        <w:trPr>
          <w:trHeight w:val="305"/>
          <w:tblHeader/>
        </w:trPr>
        <w:tc>
          <w:tcPr>
            <w:tcW w:w="1557" w:type="dxa"/>
            <w:vMerge/>
            <w:vAlign w:val="center"/>
            <w:hideMark/>
          </w:tcPr>
          <w:p w:rsidR="00A57F59" w:rsidRPr="00971A63" w:rsidRDefault="00A57F59" w:rsidP="00FC46EC">
            <w:pPr>
              <w:spacing w:before="60" w:after="60" w:line="220" w:lineRule="atLeast"/>
              <w:ind w:left="57" w:right="57"/>
              <w:rPr>
                <w:i/>
                <w:sz w:val="16"/>
                <w:szCs w:val="16"/>
              </w:rPr>
            </w:pPr>
          </w:p>
        </w:tc>
        <w:tc>
          <w:tcPr>
            <w:tcW w:w="1288" w:type="dxa"/>
            <w:vMerge/>
            <w:vAlign w:val="bottom"/>
            <w:hideMark/>
          </w:tcPr>
          <w:p w:rsidR="00A57F59" w:rsidRPr="00971A63" w:rsidRDefault="00A57F59" w:rsidP="00FC46EC">
            <w:pPr>
              <w:spacing w:before="60" w:after="60" w:line="220" w:lineRule="atLeast"/>
              <w:ind w:left="57" w:right="57"/>
              <w:jc w:val="right"/>
              <w:rPr>
                <w:i/>
                <w:sz w:val="16"/>
                <w:szCs w:val="16"/>
              </w:rPr>
            </w:pPr>
          </w:p>
        </w:tc>
        <w:tc>
          <w:tcPr>
            <w:tcW w:w="1847" w:type="dxa"/>
            <w:vMerge/>
            <w:vAlign w:val="bottom"/>
            <w:hideMark/>
          </w:tcPr>
          <w:p w:rsidR="00A57F59" w:rsidRPr="00971A63" w:rsidRDefault="00A57F59" w:rsidP="00FC46EC">
            <w:pPr>
              <w:spacing w:before="60" w:after="60" w:line="220" w:lineRule="atLeast"/>
              <w:ind w:left="57" w:right="57"/>
              <w:jc w:val="right"/>
              <w:rPr>
                <w:i/>
                <w:sz w:val="16"/>
                <w:szCs w:val="16"/>
              </w:rPr>
            </w:pPr>
          </w:p>
        </w:tc>
        <w:tc>
          <w:tcPr>
            <w:tcW w:w="1265" w:type="dxa"/>
            <w:vAlign w:val="bottom"/>
            <w:hideMark/>
          </w:tcPr>
          <w:p w:rsidR="00A57F59" w:rsidRPr="00971A63" w:rsidRDefault="00A57F59" w:rsidP="00FC46EC">
            <w:pPr>
              <w:spacing w:before="60" w:after="60" w:line="220" w:lineRule="atLeast"/>
              <w:ind w:left="57" w:right="57"/>
              <w:jc w:val="right"/>
              <w:rPr>
                <w:b/>
                <w:i/>
                <w:sz w:val="16"/>
                <w:szCs w:val="16"/>
              </w:rPr>
            </w:pPr>
            <w:r w:rsidRPr="00971A63">
              <w:rPr>
                <w:b/>
                <w:i/>
                <w:sz w:val="16"/>
                <w:szCs w:val="16"/>
                <w:lang w:val="fr-FR"/>
              </w:rPr>
              <w:t>Sculpture routière</w:t>
            </w:r>
            <w:r w:rsidRPr="00971A63">
              <w:rPr>
                <w:b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395" w:type="dxa"/>
            <w:vAlign w:val="bottom"/>
            <w:hideMark/>
          </w:tcPr>
          <w:p w:rsidR="00A57F59" w:rsidRPr="00971A63" w:rsidRDefault="00A57F59" w:rsidP="00FC46EC">
            <w:pPr>
              <w:spacing w:before="60" w:after="60" w:line="220" w:lineRule="atLeast"/>
              <w:ind w:left="57" w:right="57"/>
              <w:jc w:val="right"/>
              <w:rPr>
                <w:b/>
                <w:i/>
                <w:sz w:val="16"/>
                <w:szCs w:val="16"/>
              </w:rPr>
            </w:pPr>
            <w:r w:rsidRPr="00971A63">
              <w:rPr>
                <w:b/>
                <w:i/>
                <w:sz w:val="16"/>
                <w:szCs w:val="16"/>
                <w:lang w:val="fr-FR"/>
              </w:rPr>
              <w:t xml:space="preserve">Sculpture </w:t>
            </w:r>
            <w:r w:rsidR="00FC46EC" w:rsidRPr="00971A63">
              <w:rPr>
                <w:b/>
                <w:i/>
                <w:sz w:val="16"/>
                <w:szCs w:val="16"/>
                <w:lang w:val="fr-FR"/>
              </w:rPr>
              <w:br/>
            </w:r>
            <w:r w:rsidRPr="00971A63">
              <w:rPr>
                <w:b/>
                <w:i/>
                <w:sz w:val="16"/>
                <w:szCs w:val="16"/>
                <w:lang w:val="fr-FR"/>
              </w:rPr>
              <w:t>pour traction</w:t>
            </w:r>
            <w:r w:rsidRPr="00971A63">
              <w:rPr>
                <w:b/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52" w:type="dxa"/>
            <w:vMerge/>
            <w:vAlign w:val="bottom"/>
            <w:hideMark/>
          </w:tcPr>
          <w:p w:rsidR="00A57F59" w:rsidRPr="00971A63" w:rsidRDefault="00A57F59" w:rsidP="00FC46EC">
            <w:pPr>
              <w:spacing w:before="60" w:after="60" w:line="220" w:lineRule="atLeast"/>
              <w:ind w:left="57" w:right="57"/>
              <w:jc w:val="right"/>
              <w:rPr>
                <w:i/>
                <w:sz w:val="16"/>
                <w:szCs w:val="16"/>
              </w:rPr>
            </w:pPr>
          </w:p>
        </w:tc>
      </w:tr>
      <w:tr w:rsidR="00FC46EC" w:rsidRPr="00D92988" w:rsidTr="00452235">
        <w:trPr>
          <w:trHeight w:hRule="exact" w:val="322"/>
        </w:trPr>
        <w:tc>
          <w:tcPr>
            <w:tcW w:w="1557" w:type="dxa"/>
            <w:hideMark/>
          </w:tcPr>
          <w:p w:rsidR="00A57F59" w:rsidRPr="00D92988" w:rsidRDefault="00A57F59" w:rsidP="00FC46EC">
            <w:pPr>
              <w:spacing w:before="60" w:after="60" w:line="220" w:lineRule="atLeast"/>
              <w:ind w:left="57" w:right="57"/>
              <w:rPr>
                <w:szCs w:val="24"/>
              </w:rPr>
            </w:pPr>
            <w:r w:rsidRPr="00D92988">
              <w:rPr>
                <w:szCs w:val="24"/>
                <w:lang w:val="fr-FR"/>
              </w:rPr>
              <w:t>…</w:t>
            </w:r>
          </w:p>
        </w:tc>
        <w:tc>
          <w:tcPr>
            <w:tcW w:w="1288" w:type="dxa"/>
            <w:vAlign w:val="bottom"/>
            <w:hideMark/>
          </w:tcPr>
          <w:p w:rsidR="00A57F59" w:rsidRPr="00D92988" w:rsidRDefault="00A57F59" w:rsidP="00FC46EC">
            <w:pPr>
              <w:spacing w:before="60" w:after="60" w:line="220" w:lineRule="atLeast"/>
              <w:ind w:left="57" w:right="57"/>
              <w:jc w:val="right"/>
              <w:rPr>
                <w:szCs w:val="24"/>
              </w:rPr>
            </w:pPr>
            <w:r w:rsidRPr="00D92988">
              <w:rPr>
                <w:szCs w:val="24"/>
                <w:lang w:val="fr-FR"/>
              </w:rPr>
              <w:t>…</w:t>
            </w:r>
          </w:p>
        </w:tc>
        <w:tc>
          <w:tcPr>
            <w:tcW w:w="1847" w:type="dxa"/>
            <w:vAlign w:val="bottom"/>
            <w:hideMark/>
          </w:tcPr>
          <w:p w:rsidR="00A57F59" w:rsidRPr="00D92988" w:rsidRDefault="00A57F59" w:rsidP="00FC46EC">
            <w:pPr>
              <w:spacing w:before="60" w:after="60" w:line="220" w:lineRule="atLeast"/>
              <w:ind w:left="57" w:right="57"/>
              <w:jc w:val="right"/>
              <w:rPr>
                <w:szCs w:val="24"/>
              </w:rPr>
            </w:pPr>
            <w:r w:rsidRPr="00D92988">
              <w:rPr>
                <w:szCs w:val="24"/>
                <w:lang w:val="fr-FR"/>
              </w:rPr>
              <w:t>…</w:t>
            </w:r>
          </w:p>
        </w:tc>
        <w:tc>
          <w:tcPr>
            <w:tcW w:w="1265" w:type="dxa"/>
            <w:vAlign w:val="bottom"/>
            <w:hideMark/>
          </w:tcPr>
          <w:p w:rsidR="00A57F59" w:rsidRPr="00D92988" w:rsidRDefault="00A57F59" w:rsidP="00FC46EC">
            <w:pPr>
              <w:spacing w:before="60" w:after="60" w:line="220" w:lineRule="atLeast"/>
              <w:ind w:left="57" w:right="57"/>
              <w:jc w:val="right"/>
              <w:rPr>
                <w:szCs w:val="24"/>
              </w:rPr>
            </w:pPr>
            <w:r w:rsidRPr="00D92988">
              <w:rPr>
                <w:szCs w:val="24"/>
                <w:lang w:val="fr-FR"/>
              </w:rPr>
              <w:t>…</w:t>
            </w:r>
          </w:p>
        </w:tc>
        <w:tc>
          <w:tcPr>
            <w:tcW w:w="1395" w:type="dxa"/>
            <w:vAlign w:val="bottom"/>
            <w:hideMark/>
          </w:tcPr>
          <w:p w:rsidR="00A57F59" w:rsidRPr="00D92988" w:rsidRDefault="00A57F59" w:rsidP="00FC46EC">
            <w:pPr>
              <w:spacing w:before="60" w:after="60" w:line="220" w:lineRule="atLeast"/>
              <w:ind w:left="57" w:right="57"/>
              <w:jc w:val="right"/>
              <w:rPr>
                <w:szCs w:val="24"/>
              </w:rPr>
            </w:pPr>
            <w:r w:rsidRPr="00D92988">
              <w:rPr>
                <w:szCs w:val="24"/>
                <w:lang w:val="fr-FR"/>
              </w:rPr>
              <w:t>…</w:t>
            </w:r>
          </w:p>
        </w:tc>
        <w:tc>
          <w:tcPr>
            <w:tcW w:w="1152" w:type="dxa"/>
            <w:vAlign w:val="bottom"/>
            <w:hideMark/>
          </w:tcPr>
          <w:p w:rsidR="00A57F59" w:rsidRPr="00D92988" w:rsidRDefault="00A57F59" w:rsidP="00FC46EC">
            <w:pPr>
              <w:spacing w:before="60" w:after="60" w:line="220" w:lineRule="atLeast"/>
              <w:ind w:left="57" w:right="57"/>
              <w:jc w:val="right"/>
              <w:rPr>
                <w:szCs w:val="24"/>
              </w:rPr>
            </w:pPr>
            <w:r w:rsidRPr="00D92988">
              <w:rPr>
                <w:szCs w:val="24"/>
                <w:lang w:val="fr-FR"/>
              </w:rPr>
              <w:t>…</w:t>
            </w:r>
          </w:p>
        </w:tc>
      </w:tr>
    </w:tbl>
    <w:p w:rsidR="00A57F59" w:rsidRPr="00FC46EC" w:rsidRDefault="00A57F59" w:rsidP="00FC46EC">
      <w:pPr>
        <w:spacing w:before="120"/>
        <w:ind w:left="1134" w:firstLine="170"/>
        <w:rPr>
          <w:sz w:val="18"/>
          <w:szCs w:val="18"/>
        </w:rPr>
      </w:pPr>
      <w:r w:rsidRPr="00FC46EC">
        <w:rPr>
          <w:i/>
          <w:sz w:val="18"/>
          <w:szCs w:val="18"/>
          <w:vertAlign w:val="superscript"/>
          <w:lang w:val="fr-FR"/>
        </w:rPr>
        <w:t>1</w:t>
      </w:r>
      <w:r w:rsidR="00FC46EC">
        <w:rPr>
          <w:sz w:val="18"/>
          <w:szCs w:val="18"/>
          <w:lang w:val="fr-FR"/>
        </w:rPr>
        <w:t xml:space="preserve">  </w:t>
      </w:r>
      <w:r w:rsidRPr="00FC46EC">
        <w:rPr>
          <w:sz w:val="18"/>
          <w:szCs w:val="18"/>
        </w:rPr>
        <w:t>Les pneumatiques radi</w:t>
      </w:r>
      <w:r w:rsidR="00271F46">
        <w:rPr>
          <w:sz w:val="18"/>
          <w:szCs w:val="18"/>
        </w:rPr>
        <w:t xml:space="preserve">aux sont désignés par la lettre </w:t>
      </w:r>
      <w:r w:rsidR="00271F46" w:rsidRPr="00271F46">
        <w:rPr>
          <w:sz w:val="18"/>
          <w:szCs w:val="18"/>
        </w:rPr>
        <w:t>“</w:t>
      </w:r>
      <w:r w:rsidRPr="00FC46EC">
        <w:rPr>
          <w:sz w:val="18"/>
          <w:szCs w:val="18"/>
        </w:rPr>
        <w:t>R</w:t>
      </w:r>
      <w:r w:rsidR="00271F46" w:rsidRPr="00271F46">
        <w:rPr>
          <w:sz w:val="18"/>
          <w:szCs w:val="18"/>
        </w:rPr>
        <w:t>”</w:t>
      </w:r>
      <w:r w:rsidR="00271F46">
        <w:rPr>
          <w:sz w:val="18"/>
          <w:szCs w:val="18"/>
        </w:rPr>
        <w:t xml:space="preserve"> </w:t>
      </w:r>
      <w:r w:rsidRPr="00FC46EC">
        <w:rPr>
          <w:sz w:val="18"/>
          <w:szCs w:val="18"/>
        </w:rPr>
        <w:t xml:space="preserve">au lieu de </w:t>
      </w:r>
      <w:r w:rsidR="00271F46" w:rsidRPr="00271F46">
        <w:rPr>
          <w:sz w:val="18"/>
          <w:szCs w:val="18"/>
        </w:rPr>
        <w:t>“</w:t>
      </w:r>
      <w:r w:rsidRPr="00FC46EC">
        <w:rPr>
          <w:sz w:val="18"/>
          <w:szCs w:val="18"/>
        </w:rPr>
        <w:t>-</w:t>
      </w:r>
      <w:r w:rsidR="00271F46" w:rsidRPr="00271F46">
        <w:rPr>
          <w:sz w:val="18"/>
          <w:szCs w:val="18"/>
        </w:rPr>
        <w:t>”</w:t>
      </w:r>
      <w:r w:rsidRPr="00FC46EC">
        <w:rPr>
          <w:sz w:val="18"/>
          <w:szCs w:val="18"/>
        </w:rPr>
        <w:t xml:space="preserve"> (par exemple 24 x 7.50R13LT).</w:t>
      </w:r>
    </w:p>
    <w:p w:rsidR="00A57F59" w:rsidRPr="00FC46EC" w:rsidRDefault="00A57F59" w:rsidP="00FC46EC">
      <w:pPr>
        <w:ind w:left="1134" w:firstLine="170"/>
        <w:rPr>
          <w:sz w:val="18"/>
          <w:szCs w:val="18"/>
        </w:rPr>
      </w:pPr>
      <w:r w:rsidRPr="00FC46EC">
        <w:rPr>
          <w:i/>
          <w:sz w:val="18"/>
          <w:szCs w:val="18"/>
          <w:vertAlign w:val="superscript"/>
          <w:lang w:val="fr-FR"/>
        </w:rPr>
        <w:t>2</w:t>
      </w:r>
      <w:r w:rsidR="00FC46EC">
        <w:rPr>
          <w:sz w:val="18"/>
          <w:szCs w:val="18"/>
          <w:lang w:val="fr-FR"/>
        </w:rPr>
        <w:t xml:space="preserve">  </w:t>
      </w:r>
      <w:r w:rsidR="00971A63">
        <w:rPr>
          <w:sz w:val="18"/>
          <w:szCs w:val="18"/>
          <w:lang w:val="fr-FR"/>
        </w:rPr>
        <w:t xml:space="preserve">Coefficient </w:t>
      </w:r>
      <w:r w:rsidR="00971A63" w:rsidRPr="00271F46">
        <w:rPr>
          <w:sz w:val="18"/>
          <w:szCs w:val="18"/>
        </w:rPr>
        <w:t>“</w:t>
      </w:r>
      <w:r w:rsidR="00971A63">
        <w:rPr>
          <w:sz w:val="18"/>
          <w:szCs w:val="18"/>
          <w:lang w:val="fr-FR"/>
        </w:rPr>
        <w:t>b</w:t>
      </w:r>
      <w:r w:rsidR="00971A63" w:rsidRPr="00271F46">
        <w:rPr>
          <w:sz w:val="18"/>
          <w:szCs w:val="18"/>
        </w:rPr>
        <w:t>”</w:t>
      </w:r>
      <w:r w:rsidRPr="00FC46EC">
        <w:rPr>
          <w:sz w:val="18"/>
          <w:szCs w:val="18"/>
          <w:lang w:val="fr-FR"/>
        </w:rPr>
        <w:t xml:space="preserve"> pour le calcul de Dmax:1,07.</w:t>
      </w:r>
    </w:p>
    <w:p w:rsidR="00A57F59" w:rsidRPr="00FC46EC" w:rsidRDefault="00A57F59" w:rsidP="00FC46EC">
      <w:pPr>
        <w:ind w:left="1134" w:firstLine="170"/>
        <w:rPr>
          <w:sz w:val="18"/>
          <w:szCs w:val="18"/>
        </w:rPr>
      </w:pPr>
      <w:r w:rsidRPr="00FC46EC">
        <w:rPr>
          <w:i/>
          <w:sz w:val="18"/>
          <w:szCs w:val="18"/>
          <w:vertAlign w:val="superscript"/>
          <w:lang w:val="fr-FR"/>
        </w:rPr>
        <w:t>3</w:t>
      </w:r>
      <w:r w:rsidR="00FC46EC">
        <w:rPr>
          <w:sz w:val="18"/>
          <w:szCs w:val="18"/>
          <w:lang w:val="fr-FR"/>
        </w:rPr>
        <w:t xml:space="preserve">  </w:t>
      </w:r>
      <w:r w:rsidRPr="00FC46EC">
        <w:rPr>
          <w:sz w:val="18"/>
          <w:szCs w:val="18"/>
        </w:rPr>
        <w:t>La largeur hors tout peut dépasser les chiffres indiqués de 7 % au maximum.</w:t>
      </w:r>
    </w:p>
    <w:p w:rsidR="00A57F59" w:rsidRPr="00FC46EC" w:rsidRDefault="00A57F59" w:rsidP="00FC46EC">
      <w:pPr>
        <w:ind w:left="1134" w:firstLine="170"/>
        <w:rPr>
          <w:b/>
          <w:sz w:val="18"/>
          <w:szCs w:val="18"/>
        </w:rPr>
      </w:pPr>
      <w:r w:rsidRPr="00FC46EC">
        <w:rPr>
          <w:b/>
          <w:i/>
          <w:sz w:val="18"/>
          <w:szCs w:val="18"/>
          <w:vertAlign w:val="superscript"/>
        </w:rPr>
        <w:t>4</w:t>
      </w:r>
      <w:r w:rsidR="00FC46EC">
        <w:rPr>
          <w:i/>
          <w:sz w:val="18"/>
          <w:szCs w:val="18"/>
        </w:rPr>
        <w:t xml:space="preserve">  </w:t>
      </w:r>
      <w:r w:rsidRPr="00FC46EC">
        <w:rPr>
          <w:b/>
          <w:sz w:val="18"/>
          <w:szCs w:val="18"/>
        </w:rPr>
        <w:t>Dans le cas des désignations de pneumatique ne figurant pa</w:t>
      </w:r>
      <w:r w:rsidR="00271F46">
        <w:rPr>
          <w:b/>
          <w:sz w:val="18"/>
          <w:szCs w:val="18"/>
        </w:rPr>
        <w:t xml:space="preserve">s dans le présent tableau (par </w:t>
      </w:r>
      <w:r w:rsidRPr="00FC46EC">
        <w:rPr>
          <w:b/>
          <w:sz w:val="18"/>
          <w:szCs w:val="18"/>
        </w:rPr>
        <w:t>exemple : 37 x 14.50R17LT) :</w:t>
      </w:r>
    </w:p>
    <w:p w:rsidR="00A57F59" w:rsidRPr="00FC46EC" w:rsidRDefault="00A57F59" w:rsidP="00FC46EC">
      <w:pPr>
        <w:ind w:left="1247" w:firstLine="170"/>
        <w:rPr>
          <w:b/>
          <w:bCs/>
          <w:sz w:val="18"/>
          <w:szCs w:val="18"/>
        </w:rPr>
      </w:pPr>
      <w:r w:rsidRPr="00FC46EC">
        <w:rPr>
          <w:b/>
          <w:sz w:val="18"/>
          <w:szCs w:val="18"/>
        </w:rPr>
        <w:t>a)</w:t>
      </w:r>
      <w:r w:rsidRPr="00FC46EC">
        <w:rPr>
          <w:b/>
          <w:sz w:val="18"/>
          <w:szCs w:val="18"/>
        </w:rPr>
        <w:tab/>
        <w:t>Le premier chiffre (par exemple 37) représente le diamètre nominal hors tout exprimé par un code ;</w:t>
      </w:r>
    </w:p>
    <w:p w:rsidR="00A57F59" w:rsidRPr="00FC46EC" w:rsidRDefault="00A57F59" w:rsidP="00FC46EC">
      <w:pPr>
        <w:ind w:left="1418"/>
        <w:rPr>
          <w:b/>
          <w:bCs/>
          <w:sz w:val="18"/>
          <w:szCs w:val="18"/>
        </w:rPr>
      </w:pPr>
      <w:r w:rsidRPr="00FC46EC">
        <w:rPr>
          <w:b/>
          <w:sz w:val="18"/>
          <w:szCs w:val="18"/>
        </w:rPr>
        <w:t>b)</w:t>
      </w:r>
      <w:r w:rsidRPr="00FC46EC">
        <w:rPr>
          <w:b/>
          <w:sz w:val="18"/>
          <w:szCs w:val="18"/>
        </w:rPr>
        <w:tab/>
        <w:t>Le deuxième chiffre (par exemple 14.50) représente la grosseur nominale du boudin (S</w:t>
      </w:r>
      <w:r w:rsidRPr="00FC46EC">
        <w:rPr>
          <w:b/>
          <w:sz w:val="18"/>
          <w:szCs w:val="18"/>
          <w:vertAlign w:val="subscript"/>
        </w:rPr>
        <w:t>1</w:t>
      </w:r>
      <w:r w:rsidRPr="00FC46EC">
        <w:rPr>
          <w:b/>
          <w:sz w:val="18"/>
          <w:szCs w:val="18"/>
        </w:rPr>
        <w:t>) exprimée par un code (qui doit se terminer par 50) ;</w:t>
      </w:r>
    </w:p>
    <w:p w:rsidR="00A57F59" w:rsidRPr="00FC46EC" w:rsidRDefault="00A57F59" w:rsidP="00FC46EC">
      <w:pPr>
        <w:ind w:left="1418"/>
        <w:rPr>
          <w:b/>
          <w:bCs/>
          <w:sz w:val="18"/>
          <w:szCs w:val="18"/>
        </w:rPr>
      </w:pPr>
      <w:r w:rsidRPr="00FC46EC">
        <w:rPr>
          <w:b/>
          <w:sz w:val="18"/>
          <w:szCs w:val="18"/>
        </w:rPr>
        <w:t>c)</w:t>
      </w:r>
      <w:r w:rsidRPr="00FC46EC">
        <w:rPr>
          <w:b/>
          <w:sz w:val="18"/>
          <w:szCs w:val="18"/>
        </w:rPr>
        <w:tab/>
        <w:t>Le troisième chiffre (par exemple 17) représente le diamètre nominal de la jante (d) exprimé par un code.</w:t>
      </w:r>
    </w:p>
    <w:p w:rsidR="00A57F59" w:rsidRPr="00FC46EC" w:rsidRDefault="00A57F59" w:rsidP="00FC46EC">
      <w:pPr>
        <w:ind w:left="1418"/>
        <w:rPr>
          <w:b/>
          <w:bCs/>
          <w:sz w:val="18"/>
          <w:szCs w:val="18"/>
        </w:rPr>
      </w:pPr>
      <w:r w:rsidRPr="00FC46EC">
        <w:rPr>
          <w:b/>
          <w:sz w:val="18"/>
          <w:szCs w:val="18"/>
        </w:rPr>
        <w:t>Pour convertir en millimètres les dimensions exprimées en code, multiplier par 25,4 et arrondir au millimètre le plus proche.</w:t>
      </w:r>
    </w:p>
    <w:p w:rsidR="00A57F59" w:rsidRPr="00FC46EC" w:rsidRDefault="00A57F59" w:rsidP="00FC46EC">
      <w:pPr>
        <w:ind w:left="1418"/>
        <w:rPr>
          <w:b/>
          <w:bCs/>
          <w:sz w:val="18"/>
          <w:szCs w:val="18"/>
        </w:rPr>
      </w:pPr>
      <w:r w:rsidRPr="00FC46EC">
        <w:rPr>
          <w:b/>
          <w:sz w:val="18"/>
          <w:szCs w:val="18"/>
        </w:rPr>
        <w:t>Le code de la largeur théorique de la jante (A</w:t>
      </w:r>
      <w:r w:rsidRPr="00FC46EC">
        <w:rPr>
          <w:b/>
          <w:sz w:val="18"/>
          <w:szCs w:val="18"/>
          <w:vertAlign w:val="subscript"/>
        </w:rPr>
        <w:t>1</w:t>
      </w:r>
      <w:r w:rsidRPr="00FC46EC">
        <w:rPr>
          <w:b/>
          <w:sz w:val="18"/>
          <w:szCs w:val="18"/>
        </w:rPr>
        <w:t>) est égal à la grosseur nominale du boudin (S</w:t>
      </w:r>
      <w:r w:rsidRPr="0016724B">
        <w:rPr>
          <w:b/>
          <w:sz w:val="18"/>
          <w:szCs w:val="18"/>
          <w:vertAlign w:val="subscript"/>
        </w:rPr>
        <w:t>1</w:t>
      </w:r>
      <w:r w:rsidRPr="00FC46EC">
        <w:rPr>
          <w:b/>
          <w:sz w:val="18"/>
          <w:szCs w:val="18"/>
        </w:rPr>
        <w:t>) exprimée par un code multiplié par un facteur de 0,8 et arrondie à la demi-unité la plus proche.</w:t>
      </w:r>
    </w:p>
    <w:p w:rsidR="00A57F59" w:rsidRPr="00FC46EC" w:rsidRDefault="00A57F59" w:rsidP="00FC46EC">
      <w:pPr>
        <w:ind w:left="1418"/>
        <w:rPr>
          <w:b/>
          <w:bCs/>
          <w:sz w:val="18"/>
          <w:szCs w:val="18"/>
        </w:rPr>
      </w:pPr>
      <w:r w:rsidRPr="00FC46EC">
        <w:rPr>
          <w:b/>
          <w:sz w:val="18"/>
          <w:szCs w:val="18"/>
        </w:rPr>
        <w:t>Le diamètre extérieur (D) est calculé comme suit :</w:t>
      </w:r>
    </w:p>
    <w:p w:rsidR="00A57F59" w:rsidRPr="00FC46EC" w:rsidRDefault="00A57F59" w:rsidP="00FC46EC">
      <w:pPr>
        <w:ind w:left="1418"/>
        <w:rPr>
          <w:b/>
          <w:bCs/>
          <w:sz w:val="18"/>
          <w:szCs w:val="18"/>
        </w:rPr>
      </w:pPr>
      <w:r w:rsidRPr="00FC46EC">
        <w:rPr>
          <w:b/>
          <w:sz w:val="18"/>
          <w:szCs w:val="18"/>
        </w:rPr>
        <w:t>a)</w:t>
      </w:r>
      <w:r w:rsidRPr="00FC46EC">
        <w:rPr>
          <w:b/>
          <w:sz w:val="18"/>
          <w:szCs w:val="18"/>
        </w:rPr>
        <w:tab/>
        <w:t>D normal (mm) = (diamètre hors tout (exprimé par un code) − 0,48) x 25,4 arrondi au millimètre le plus proche.</w:t>
      </w:r>
    </w:p>
    <w:p w:rsidR="00A57F59" w:rsidRPr="00FC46EC" w:rsidRDefault="00A57F59" w:rsidP="00FC46EC">
      <w:pPr>
        <w:ind w:left="1418"/>
        <w:rPr>
          <w:sz w:val="18"/>
          <w:szCs w:val="18"/>
        </w:rPr>
      </w:pPr>
      <w:r w:rsidRPr="00FC46EC">
        <w:rPr>
          <w:b/>
          <w:sz w:val="18"/>
          <w:szCs w:val="18"/>
        </w:rPr>
        <w:t>b)</w:t>
      </w:r>
      <w:r w:rsidRPr="00FC46EC">
        <w:rPr>
          <w:b/>
          <w:sz w:val="18"/>
          <w:szCs w:val="18"/>
        </w:rPr>
        <w:tab/>
        <w:t>D neige (mm) = (diamètre hors tout (exprimé par un code) − 0,24) x 25,4 arrondi au millimètre le plus proche.</w:t>
      </w:r>
    </w:p>
    <w:p w:rsidR="00A57F59" w:rsidRPr="00FC46EC" w:rsidRDefault="00A57F59" w:rsidP="00FC46EC">
      <w:pPr>
        <w:ind w:left="1134" w:firstLine="170"/>
        <w:rPr>
          <w:b/>
          <w:sz w:val="18"/>
          <w:szCs w:val="18"/>
        </w:rPr>
      </w:pPr>
      <w:r w:rsidRPr="00FC46EC">
        <w:rPr>
          <w:b/>
          <w:i/>
          <w:sz w:val="18"/>
          <w:szCs w:val="18"/>
          <w:vertAlign w:val="superscript"/>
        </w:rPr>
        <w:t>5</w:t>
      </w:r>
      <w:r w:rsidR="00FC46EC">
        <w:rPr>
          <w:b/>
          <w:i/>
          <w:sz w:val="18"/>
          <w:szCs w:val="18"/>
        </w:rPr>
        <w:t xml:space="preserve">  </w:t>
      </w:r>
      <w:r w:rsidRPr="00FC46EC">
        <w:rPr>
          <w:b/>
          <w:sz w:val="18"/>
          <w:szCs w:val="18"/>
        </w:rPr>
        <w:t>Catégorie d’utilisation</w:t>
      </w:r>
      <w:r w:rsidR="00271F46">
        <w:rPr>
          <w:b/>
          <w:sz w:val="18"/>
          <w:szCs w:val="18"/>
        </w:rPr>
        <w:t> </w:t>
      </w:r>
      <w:r w:rsidRPr="00FC46EC">
        <w:rPr>
          <w:b/>
          <w:sz w:val="18"/>
          <w:szCs w:val="18"/>
        </w:rPr>
        <w:t>: les pneus à sculpture routière comprennent les pneus normaux et les pneus portant l’</w:t>
      </w:r>
      <w:r w:rsidR="00271F46">
        <w:rPr>
          <w:b/>
          <w:sz w:val="18"/>
          <w:szCs w:val="18"/>
        </w:rPr>
        <w:t xml:space="preserve">inscription </w:t>
      </w:r>
      <w:r w:rsidR="00271F46" w:rsidRPr="00271F46">
        <w:rPr>
          <w:b/>
          <w:sz w:val="18"/>
          <w:szCs w:val="18"/>
        </w:rPr>
        <w:t>“</w:t>
      </w:r>
      <w:r w:rsidRPr="00FC46EC">
        <w:rPr>
          <w:b/>
          <w:sz w:val="18"/>
          <w:szCs w:val="18"/>
        </w:rPr>
        <w:t>M</w:t>
      </w:r>
      <w:r w:rsidR="00271F46">
        <w:rPr>
          <w:b/>
          <w:sz w:val="18"/>
          <w:szCs w:val="18"/>
        </w:rPr>
        <w:t> </w:t>
      </w:r>
      <w:r w:rsidRPr="00FC46EC">
        <w:rPr>
          <w:b/>
          <w:sz w:val="18"/>
          <w:szCs w:val="18"/>
        </w:rPr>
        <w:t>+</w:t>
      </w:r>
      <w:r w:rsidR="00271F46">
        <w:rPr>
          <w:b/>
          <w:sz w:val="18"/>
          <w:szCs w:val="18"/>
        </w:rPr>
        <w:t> </w:t>
      </w:r>
      <w:r w:rsidRPr="00FC46EC">
        <w:rPr>
          <w:b/>
          <w:sz w:val="18"/>
          <w:szCs w:val="18"/>
        </w:rPr>
        <w:t>S</w:t>
      </w:r>
      <w:r w:rsidR="00271F46" w:rsidRPr="00271F46">
        <w:rPr>
          <w:b/>
          <w:sz w:val="18"/>
          <w:szCs w:val="18"/>
        </w:rPr>
        <w:t>”</w:t>
      </w:r>
      <w:r w:rsidRPr="00FC46EC">
        <w:rPr>
          <w:b/>
          <w:sz w:val="18"/>
          <w:szCs w:val="18"/>
        </w:rPr>
        <w:t xml:space="preserve">. </w:t>
      </w:r>
    </w:p>
    <w:p w:rsidR="00A57F59" w:rsidRPr="00FC46EC" w:rsidRDefault="00A57F59" w:rsidP="00FC46EC">
      <w:pPr>
        <w:ind w:left="1134" w:firstLine="170"/>
        <w:rPr>
          <w:b/>
          <w:sz w:val="18"/>
          <w:szCs w:val="18"/>
        </w:rPr>
      </w:pPr>
      <w:r w:rsidRPr="00FC46EC">
        <w:rPr>
          <w:b/>
          <w:i/>
          <w:sz w:val="18"/>
          <w:szCs w:val="18"/>
          <w:vertAlign w:val="superscript"/>
        </w:rPr>
        <w:t>6</w:t>
      </w:r>
      <w:r w:rsidR="00FC46EC">
        <w:rPr>
          <w:b/>
          <w:i/>
          <w:sz w:val="18"/>
          <w:szCs w:val="18"/>
          <w:vertAlign w:val="superscript"/>
        </w:rPr>
        <w:t xml:space="preserve"> </w:t>
      </w:r>
      <w:r w:rsidR="00FC46EC" w:rsidRPr="00FC46EC">
        <w:rPr>
          <w:b/>
          <w:i/>
          <w:sz w:val="18"/>
          <w:szCs w:val="18"/>
        </w:rPr>
        <w:t xml:space="preserve"> </w:t>
      </w:r>
      <w:r w:rsidRPr="00FC46EC">
        <w:rPr>
          <w:b/>
          <w:sz w:val="18"/>
          <w:szCs w:val="18"/>
        </w:rPr>
        <w:t>Catégorie d’utilisation</w:t>
      </w:r>
      <w:r w:rsidR="00271F46">
        <w:rPr>
          <w:b/>
          <w:sz w:val="18"/>
          <w:szCs w:val="18"/>
        </w:rPr>
        <w:t> </w:t>
      </w:r>
      <w:r w:rsidRPr="00FC46EC">
        <w:rPr>
          <w:b/>
          <w:sz w:val="18"/>
          <w:szCs w:val="18"/>
        </w:rPr>
        <w:t>: les pneus de type traction portent au moins l’une des inscriptions suivantes</w:t>
      </w:r>
      <w:r w:rsidR="00271F46">
        <w:rPr>
          <w:b/>
          <w:sz w:val="18"/>
          <w:szCs w:val="18"/>
        </w:rPr>
        <w:t> </w:t>
      </w:r>
      <w:r w:rsidRPr="00FC46EC">
        <w:rPr>
          <w:b/>
          <w:sz w:val="18"/>
          <w:szCs w:val="18"/>
        </w:rPr>
        <w:t>:</w:t>
      </w:r>
    </w:p>
    <w:p w:rsidR="00A57F59" w:rsidRPr="00FC46EC" w:rsidRDefault="00A57F59" w:rsidP="00FC46EC">
      <w:pPr>
        <w:pStyle w:val="Bullet1G"/>
        <w:spacing w:after="0"/>
        <w:rPr>
          <w:b/>
          <w:sz w:val="18"/>
          <w:szCs w:val="18"/>
        </w:rPr>
      </w:pPr>
      <w:r w:rsidRPr="00FC46EC">
        <w:rPr>
          <w:b/>
          <w:sz w:val="18"/>
          <w:szCs w:val="18"/>
        </w:rPr>
        <w:t>Inscription(s) définie(s) au paragraphe 3.1.12 du présent Règlement ;</w:t>
      </w:r>
    </w:p>
    <w:p w:rsidR="00A57F59" w:rsidRPr="00FC46EC" w:rsidRDefault="00A57F59" w:rsidP="00FC46EC">
      <w:pPr>
        <w:pStyle w:val="Bullet1G"/>
        <w:spacing w:after="0"/>
        <w:rPr>
          <w:b/>
          <w:sz w:val="18"/>
          <w:szCs w:val="18"/>
        </w:rPr>
      </w:pPr>
      <w:r w:rsidRPr="00FC46EC">
        <w:rPr>
          <w:b/>
          <w:sz w:val="18"/>
          <w:szCs w:val="18"/>
        </w:rPr>
        <w:t>Symbole alpin (3PMSF) tel que</w:t>
      </w:r>
      <w:r w:rsidR="00FC46EC">
        <w:rPr>
          <w:b/>
          <w:sz w:val="18"/>
          <w:szCs w:val="18"/>
        </w:rPr>
        <w:t xml:space="preserve"> défini dans le Règlement ONU </w:t>
      </w:r>
      <w:r w:rsidR="00FC46EC" w:rsidRPr="00FC46EC">
        <w:rPr>
          <w:rFonts w:eastAsia="MS Mincho"/>
          <w:b/>
          <w:sz w:val="18"/>
          <w:szCs w:val="18"/>
        </w:rPr>
        <w:t>n</w:t>
      </w:r>
      <w:r w:rsidR="00FC46EC" w:rsidRPr="00FC46EC">
        <w:rPr>
          <w:rFonts w:eastAsia="MS Mincho"/>
          <w:b/>
          <w:sz w:val="18"/>
          <w:szCs w:val="18"/>
          <w:vertAlign w:val="superscript"/>
        </w:rPr>
        <w:t>o</w:t>
      </w:r>
      <w:r w:rsidR="00FC46EC">
        <w:rPr>
          <w:b/>
          <w:sz w:val="18"/>
          <w:szCs w:val="18"/>
        </w:rPr>
        <w:t> </w:t>
      </w:r>
      <w:r w:rsidRPr="00FC46EC">
        <w:rPr>
          <w:b/>
          <w:sz w:val="18"/>
          <w:szCs w:val="18"/>
        </w:rPr>
        <w:t>117 ;</w:t>
      </w:r>
    </w:p>
    <w:p w:rsidR="00A57F59" w:rsidRPr="00FC46EC" w:rsidRDefault="00A57F59" w:rsidP="00FC46EC">
      <w:pPr>
        <w:pStyle w:val="Bullet1G"/>
        <w:spacing w:after="240"/>
        <w:rPr>
          <w:b/>
          <w:bCs/>
          <w:sz w:val="18"/>
          <w:szCs w:val="18"/>
        </w:rPr>
      </w:pPr>
      <w:r w:rsidRPr="00FC46EC">
        <w:rPr>
          <w:b/>
          <w:sz w:val="18"/>
          <w:szCs w:val="18"/>
        </w:rPr>
        <w:t xml:space="preserve">Inscription </w:t>
      </w:r>
      <w:r w:rsidR="00271F46" w:rsidRPr="00271F46">
        <w:rPr>
          <w:b/>
          <w:sz w:val="18"/>
          <w:szCs w:val="18"/>
        </w:rPr>
        <w:t>“</w:t>
      </w:r>
      <w:r w:rsidRPr="00FC46EC">
        <w:rPr>
          <w:b/>
          <w:sz w:val="18"/>
          <w:szCs w:val="18"/>
        </w:rPr>
        <w:t>TRACTION</w:t>
      </w:r>
      <w:r w:rsidR="00271F46" w:rsidRPr="00271F46">
        <w:rPr>
          <w:b/>
          <w:sz w:val="18"/>
          <w:szCs w:val="18"/>
        </w:rPr>
        <w:t>”</w:t>
      </w:r>
      <w:r w:rsidRPr="00FC46EC">
        <w:rPr>
          <w:b/>
          <w:sz w:val="18"/>
          <w:szCs w:val="18"/>
        </w:rPr>
        <w:t xml:space="preserve"> telle que définie dans le Règlement ONU </w:t>
      </w:r>
      <w:r w:rsidR="00FC46EC" w:rsidRPr="00FC46EC">
        <w:rPr>
          <w:rFonts w:eastAsia="MS Mincho"/>
          <w:b/>
          <w:sz w:val="18"/>
          <w:szCs w:val="18"/>
        </w:rPr>
        <w:t>n</w:t>
      </w:r>
      <w:r w:rsidR="00FC46EC" w:rsidRPr="00FC46EC">
        <w:rPr>
          <w:rFonts w:eastAsia="MS Mincho"/>
          <w:b/>
          <w:sz w:val="18"/>
          <w:szCs w:val="18"/>
          <w:vertAlign w:val="superscript"/>
        </w:rPr>
        <w:t>o</w:t>
      </w:r>
      <w:r w:rsidR="00FC46EC">
        <w:rPr>
          <w:b/>
          <w:sz w:val="18"/>
          <w:szCs w:val="18"/>
        </w:rPr>
        <w:t> </w:t>
      </w:r>
      <w:r w:rsidRPr="00FC46EC">
        <w:rPr>
          <w:b/>
          <w:sz w:val="18"/>
          <w:szCs w:val="18"/>
        </w:rPr>
        <w:t>117.</w:t>
      </w:r>
      <w:r w:rsidRPr="00271F46">
        <w:rPr>
          <w:sz w:val="18"/>
          <w:szCs w:val="18"/>
        </w:rPr>
        <w:t> ».</w:t>
      </w:r>
    </w:p>
    <w:p w:rsidR="00A57F59" w:rsidRPr="00D92988" w:rsidRDefault="00A57F59" w:rsidP="00FC46EC">
      <w:pPr>
        <w:pStyle w:val="SingleTxtG"/>
      </w:pPr>
      <w:bookmarkStart w:id="1" w:name="_Toc340666243"/>
      <w:bookmarkStart w:id="2" w:name="_Toc340745105"/>
      <w:r w:rsidRPr="002743ED">
        <w:rPr>
          <w:i/>
          <w:lang w:val="fr-FR"/>
        </w:rPr>
        <w:t>Tableau C de la deuxième partie de l</w:t>
      </w:r>
      <w:r>
        <w:rPr>
          <w:i/>
          <w:lang w:val="fr-FR"/>
        </w:rPr>
        <w:t>’a</w:t>
      </w:r>
      <w:r w:rsidRPr="002743ED">
        <w:rPr>
          <w:i/>
          <w:lang w:val="fr-FR"/>
        </w:rPr>
        <w:t>nnexe 5</w:t>
      </w:r>
      <w:r w:rsidRPr="00D92988">
        <w:rPr>
          <w:lang w:val="fr-FR"/>
        </w:rPr>
        <w:t>, ajouter les rubriques suivantes</w:t>
      </w:r>
      <w:r>
        <w:rPr>
          <w:lang w:val="fr-FR"/>
        </w:rPr>
        <w:t> </w:t>
      </w:r>
      <w:r w:rsidRPr="00D92988">
        <w:rPr>
          <w:lang w:val="fr-FR"/>
        </w:rPr>
        <w:t xml:space="preserve">: </w:t>
      </w:r>
    </w:p>
    <w:p w:rsidR="00A57F59" w:rsidRDefault="00A57F59" w:rsidP="00FC46EC">
      <w:pPr>
        <w:pStyle w:val="Heading1"/>
        <w:spacing w:after="120"/>
        <w:rPr>
          <w:b/>
          <w:szCs w:val="24"/>
          <w:lang w:val="fr-FR"/>
        </w:rPr>
      </w:pPr>
      <w:r w:rsidRPr="00D92988">
        <w:rPr>
          <w:lang w:val="fr-FR"/>
        </w:rPr>
        <w:t>« Tableau C</w:t>
      </w:r>
      <w:bookmarkEnd w:id="1"/>
      <w:bookmarkEnd w:id="2"/>
      <w:r>
        <w:rPr>
          <w:lang w:val="fr-FR"/>
        </w:rPr>
        <w:br/>
      </w:r>
      <w:bookmarkStart w:id="3" w:name="_Toc340666244"/>
      <w:bookmarkStart w:id="4" w:name="_Toc340745106"/>
      <w:r w:rsidRPr="00FC46EC">
        <w:rPr>
          <w:b/>
          <w:lang w:val="fr-FR"/>
        </w:rPr>
        <w:t>Pneumatiques désignés par un code montés sur jantes inclinées de 5° ou jantes à base plate</w:t>
      </w:r>
      <w:bookmarkEnd w:id="3"/>
      <w:bookmarkEnd w:id="4"/>
      <w:r w:rsidR="00FC46EC" w:rsidRPr="00FC46EC">
        <w:rPr>
          <w:b/>
          <w:lang w:val="fr-FR"/>
        </w:rPr>
        <w:t xml:space="preserve"> </w:t>
      </w:r>
      <w:bookmarkStart w:id="5" w:name="_Toc340666245"/>
      <w:bookmarkStart w:id="6" w:name="_Toc340745107"/>
      <w:r w:rsidR="00FC46EC" w:rsidRPr="00FC46EC">
        <w:rPr>
          <w:b/>
          <w:lang w:val="fr-FR"/>
        </w:rPr>
        <w:br/>
      </w:r>
      <w:r w:rsidRPr="00D92988">
        <w:rPr>
          <w:b/>
          <w:szCs w:val="24"/>
          <w:lang w:val="fr-FR"/>
        </w:rPr>
        <w:t>Diagonaux et radiaux</w:t>
      </w:r>
      <w:bookmarkEnd w:id="5"/>
      <w:bookmarkEnd w:id="6"/>
    </w:p>
    <w:tbl>
      <w:tblPr>
        <w:tblW w:w="8504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3"/>
        <w:gridCol w:w="1277"/>
        <w:gridCol w:w="1850"/>
        <w:gridCol w:w="984"/>
        <w:gridCol w:w="840"/>
        <w:gridCol w:w="840"/>
        <w:gridCol w:w="1150"/>
      </w:tblGrid>
      <w:tr w:rsidR="0016724B" w:rsidRPr="000D19B0" w:rsidTr="00FC46EC">
        <w:trPr>
          <w:trHeight w:val="480"/>
          <w:tblHeader/>
        </w:trPr>
        <w:tc>
          <w:tcPr>
            <w:tcW w:w="1563" w:type="dxa"/>
            <w:vMerge w:val="restart"/>
            <w:shd w:val="clear" w:color="auto" w:fill="auto"/>
            <w:vAlign w:val="bottom"/>
          </w:tcPr>
          <w:p w:rsidR="0016724B" w:rsidRPr="00ED6DAD" w:rsidRDefault="0016724B" w:rsidP="00FC46EC">
            <w:pPr>
              <w:spacing w:before="60" w:after="60" w:line="220" w:lineRule="atLeast"/>
              <w:ind w:left="57" w:right="57"/>
              <w:rPr>
                <w:i/>
                <w:sz w:val="16"/>
                <w:szCs w:val="16"/>
              </w:rPr>
            </w:pPr>
            <w:r w:rsidRPr="00ED6DAD">
              <w:rPr>
                <w:i/>
                <w:sz w:val="16"/>
                <w:szCs w:val="16"/>
              </w:rPr>
              <w:t>Désignation</w:t>
            </w:r>
            <w:r w:rsidRPr="00ED6DAD">
              <w:rPr>
                <w:i/>
                <w:sz w:val="16"/>
                <w:szCs w:val="16"/>
                <w:lang w:val="fr-FR"/>
              </w:rPr>
              <w:t xml:space="preserve"> du pneumatique</w:t>
            </w:r>
            <w:r w:rsidRPr="00ED6DAD">
              <w:rPr>
                <w:sz w:val="16"/>
                <w:szCs w:val="16"/>
                <w:vertAlign w:val="superscript"/>
                <w:lang w:val="fr-FR"/>
              </w:rPr>
              <w:t>1</w:t>
            </w:r>
          </w:p>
        </w:tc>
        <w:tc>
          <w:tcPr>
            <w:tcW w:w="1277" w:type="dxa"/>
            <w:vMerge w:val="restart"/>
            <w:shd w:val="clear" w:color="auto" w:fill="auto"/>
            <w:vAlign w:val="bottom"/>
          </w:tcPr>
          <w:p w:rsidR="0016724B" w:rsidRPr="00ED6DAD" w:rsidRDefault="0016724B" w:rsidP="00FC46EC">
            <w:pPr>
              <w:spacing w:before="60" w:after="60" w:line="220" w:lineRule="atLeast"/>
              <w:ind w:left="57" w:right="57"/>
              <w:jc w:val="right"/>
              <w:rPr>
                <w:i/>
                <w:sz w:val="16"/>
                <w:szCs w:val="16"/>
              </w:rPr>
            </w:pPr>
            <w:r w:rsidRPr="00ED6DAD">
              <w:rPr>
                <w:i/>
                <w:sz w:val="16"/>
                <w:szCs w:val="16"/>
                <w:lang w:val="fr-FR"/>
              </w:rPr>
              <w:t>Code pour la largeur de la jante de mesure</w:t>
            </w:r>
          </w:p>
        </w:tc>
        <w:tc>
          <w:tcPr>
            <w:tcW w:w="1850" w:type="dxa"/>
            <w:vMerge w:val="restart"/>
            <w:shd w:val="clear" w:color="auto" w:fill="auto"/>
            <w:vAlign w:val="bottom"/>
          </w:tcPr>
          <w:p w:rsidR="0016724B" w:rsidRPr="00ED6DAD" w:rsidRDefault="0016724B" w:rsidP="00FC46EC">
            <w:pPr>
              <w:spacing w:before="60" w:after="60" w:line="220" w:lineRule="atLeast"/>
              <w:ind w:left="57" w:right="57"/>
              <w:jc w:val="right"/>
              <w:rPr>
                <w:i/>
                <w:sz w:val="16"/>
                <w:szCs w:val="16"/>
              </w:rPr>
            </w:pPr>
            <w:r w:rsidRPr="00ED6DAD">
              <w:rPr>
                <w:i/>
                <w:sz w:val="16"/>
                <w:szCs w:val="16"/>
                <w:lang w:val="fr-FR"/>
              </w:rPr>
              <w:t xml:space="preserve">Diamètre nominal d </w:t>
            </w:r>
            <w:r w:rsidRPr="00ED6DAD">
              <w:rPr>
                <w:i/>
                <w:sz w:val="16"/>
                <w:szCs w:val="16"/>
                <w:lang w:val="fr-FR"/>
              </w:rPr>
              <w:br/>
              <w:t>de la jante (mm)</w:t>
            </w:r>
          </w:p>
        </w:tc>
        <w:tc>
          <w:tcPr>
            <w:tcW w:w="2664" w:type="dxa"/>
            <w:gridSpan w:val="3"/>
            <w:shd w:val="clear" w:color="auto" w:fill="auto"/>
            <w:vAlign w:val="bottom"/>
          </w:tcPr>
          <w:p w:rsidR="0016724B" w:rsidRPr="00ED6DAD" w:rsidRDefault="0016724B" w:rsidP="0016724B">
            <w:pPr>
              <w:spacing w:before="60" w:after="60" w:line="220" w:lineRule="atLeast"/>
              <w:ind w:left="57" w:right="57"/>
              <w:jc w:val="center"/>
              <w:rPr>
                <w:i/>
                <w:sz w:val="16"/>
                <w:szCs w:val="16"/>
              </w:rPr>
            </w:pPr>
            <w:r w:rsidRPr="00ED6DAD">
              <w:rPr>
                <w:i/>
                <w:sz w:val="16"/>
                <w:szCs w:val="16"/>
                <w:lang w:val="fr-FR"/>
              </w:rPr>
              <w:t>Diamètre extérieur D (mm)</w:t>
            </w:r>
            <w:r w:rsidRPr="00ED6DAD">
              <w:rPr>
                <w:sz w:val="16"/>
                <w:szCs w:val="16"/>
                <w:vertAlign w:val="superscript"/>
                <w:lang w:val="fr-FR"/>
              </w:rPr>
              <w:t>2</w:t>
            </w:r>
          </w:p>
        </w:tc>
        <w:tc>
          <w:tcPr>
            <w:tcW w:w="1150" w:type="dxa"/>
            <w:vMerge w:val="restart"/>
            <w:shd w:val="clear" w:color="auto" w:fill="auto"/>
            <w:vAlign w:val="bottom"/>
          </w:tcPr>
          <w:p w:rsidR="0016724B" w:rsidRPr="00ED6DAD" w:rsidRDefault="0016724B" w:rsidP="00FC46EC">
            <w:pPr>
              <w:spacing w:before="60" w:after="60" w:line="220" w:lineRule="atLeast"/>
              <w:ind w:left="57" w:right="57"/>
              <w:jc w:val="right"/>
              <w:rPr>
                <w:i/>
                <w:sz w:val="16"/>
                <w:szCs w:val="16"/>
              </w:rPr>
            </w:pPr>
            <w:r w:rsidRPr="00ED6DAD">
              <w:rPr>
                <w:i/>
                <w:sz w:val="16"/>
                <w:szCs w:val="16"/>
                <w:lang w:val="fr-FR"/>
              </w:rPr>
              <w:t xml:space="preserve">Grosseur </w:t>
            </w:r>
            <w:r w:rsidRPr="00ED6DAD">
              <w:rPr>
                <w:i/>
                <w:sz w:val="16"/>
                <w:szCs w:val="16"/>
                <w:lang w:val="fr-FR"/>
              </w:rPr>
              <w:br/>
              <w:t>du boudin S (mm)</w:t>
            </w:r>
            <w:r w:rsidRPr="00ED6DAD">
              <w:rPr>
                <w:sz w:val="16"/>
                <w:szCs w:val="16"/>
                <w:vertAlign w:val="superscript"/>
                <w:lang w:val="fr-FR"/>
              </w:rPr>
              <w:t>3</w:t>
            </w:r>
          </w:p>
        </w:tc>
      </w:tr>
      <w:tr w:rsidR="0016724B" w:rsidRPr="000D19B0" w:rsidTr="00FC46EC">
        <w:tc>
          <w:tcPr>
            <w:tcW w:w="1563" w:type="dxa"/>
            <w:vMerge/>
            <w:shd w:val="clear" w:color="auto" w:fill="auto"/>
          </w:tcPr>
          <w:p w:rsidR="0016724B" w:rsidRPr="00ED6DAD" w:rsidRDefault="0016724B" w:rsidP="00FC46EC">
            <w:pPr>
              <w:spacing w:before="60" w:after="60" w:line="220" w:lineRule="atLeast"/>
              <w:ind w:left="57" w:right="57"/>
              <w:rPr>
                <w:i/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  <w:vAlign w:val="bottom"/>
          </w:tcPr>
          <w:p w:rsidR="0016724B" w:rsidRPr="00ED6DAD" w:rsidRDefault="0016724B" w:rsidP="00FC46EC">
            <w:pPr>
              <w:spacing w:before="60" w:after="60" w:line="220" w:lineRule="atLeast"/>
              <w:ind w:left="57" w:right="57"/>
              <w:jc w:val="right"/>
              <w:rPr>
                <w:i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bottom"/>
          </w:tcPr>
          <w:p w:rsidR="0016724B" w:rsidRPr="00ED6DAD" w:rsidRDefault="0016724B" w:rsidP="00FC46EC">
            <w:pPr>
              <w:spacing w:before="60" w:after="60" w:line="220" w:lineRule="atLeast"/>
              <w:ind w:left="57" w:right="57"/>
              <w:jc w:val="right"/>
              <w:rPr>
                <w:i/>
                <w:sz w:val="16"/>
                <w:szCs w:val="16"/>
              </w:rPr>
            </w:pPr>
          </w:p>
        </w:tc>
        <w:tc>
          <w:tcPr>
            <w:tcW w:w="1824" w:type="dxa"/>
            <w:gridSpan w:val="2"/>
            <w:shd w:val="clear" w:color="auto" w:fill="auto"/>
            <w:vAlign w:val="bottom"/>
          </w:tcPr>
          <w:p w:rsidR="0016724B" w:rsidRPr="00ED6DAD" w:rsidRDefault="0016724B" w:rsidP="0016724B">
            <w:pPr>
              <w:spacing w:before="60" w:after="60" w:line="220" w:lineRule="atLeast"/>
              <w:ind w:left="57" w:right="57"/>
              <w:jc w:val="center"/>
              <w:rPr>
                <w:i/>
                <w:sz w:val="16"/>
                <w:szCs w:val="16"/>
              </w:rPr>
            </w:pPr>
            <w:r w:rsidRPr="00ED6DAD">
              <w:rPr>
                <w:i/>
                <w:sz w:val="16"/>
                <w:szCs w:val="16"/>
                <w:lang w:val="fr-FR"/>
              </w:rPr>
              <w:t>Normal</w:t>
            </w:r>
          </w:p>
        </w:tc>
        <w:tc>
          <w:tcPr>
            <w:tcW w:w="840" w:type="dxa"/>
            <w:vMerge w:val="restart"/>
            <w:shd w:val="clear" w:color="auto" w:fill="auto"/>
            <w:vAlign w:val="bottom"/>
          </w:tcPr>
          <w:p w:rsidR="0016724B" w:rsidRPr="00ED6DAD" w:rsidRDefault="0016724B" w:rsidP="00FC46EC">
            <w:pPr>
              <w:spacing w:before="60" w:after="60" w:line="220" w:lineRule="atLeast"/>
              <w:ind w:left="57" w:right="57"/>
              <w:jc w:val="right"/>
              <w:rPr>
                <w:i/>
                <w:sz w:val="16"/>
                <w:szCs w:val="16"/>
              </w:rPr>
            </w:pPr>
            <w:r w:rsidRPr="00ED6DAD">
              <w:rPr>
                <w:i/>
                <w:sz w:val="16"/>
                <w:szCs w:val="16"/>
                <w:lang w:val="fr-FR"/>
              </w:rPr>
              <w:t>Neige</w:t>
            </w:r>
          </w:p>
        </w:tc>
        <w:tc>
          <w:tcPr>
            <w:tcW w:w="1150" w:type="dxa"/>
            <w:vMerge/>
            <w:shd w:val="clear" w:color="auto" w:fill="auto"/>
            <w:vAlign w:val="bottom"/>
          </w:tcPr>
          <w:p w:rsidR="0016724B" w:rsidRPr="00ED6DAD" w:rsidRDefault="0016724B" w:rsidP="00FC46EC">
            <w:pPr>
              <w:spacing w:before="60" w:after="60" w:line="220" w:lineRule="atLeast"/>
              <w:ind w:left="57" w:right="57"/>
              <w:jc w:val="right"/>
              <w:rPr>
                <w:i/>
                <w:sz w:val="16"/>
                <w:szCs w:val="16"/>
              </w:rPr>
            </w:pPr>
          </w:p>
        </w:tc>
      </w:tr>
      <w:tr w:rsidR="0016724B" w:rsidRPr="000D19B0" w:rsidTr="00FC46EC">
        <w:tc>
          <w:tcPr>
            <w:tcW w:w="1563" w:type="dxa"/>
            <w:vMerge/>
            <w:shd w:val="clear" w:color="auto" w:fill="auto"/>
          </w:tcPr>
          <w:p w:rsidR="0016724B" w:rsidRPr="000D19B0" w:rsidRDefault="0016724B" w:rsidP="00FC46EC">
            <w:pPr>
              <w:spacing w:before="60" w:after="60" w:line="220" w:lineRule="atLeast"/>
              <w:ind w:left="57" w:right="57"/>
              <w:rPr>
                <w:i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  <w:vAlign w:val="bottom"/>
          </w:tcPr>
          <w:p w:rsidR="0016724B" w:rsidRPr="000D19B0" w:rsidRDefault="0016724B" w:rsidP="00FC46EC">
            <w:pPr>
              <w:spacing w:before="60" w:after="60" w:line="220" w:lineRule="atLeast"/>
              <w:ind w:left="57" w:right="57"/>
              <w:jc w:val="right"/>
              <w:rPr>
                <w:i/>
                <w:sz w:val="18"/>
                <w:szCs w:val="18"/>
              </w:rPr>
            </w:pPr>
          </w:p>
        </w:tc>
        <w:tc>
          <w:tcPr>
            <w:tcW w:w="1850" w:type="dxa"/>
            <w:vMerge/>
            <w:shd w:val="clear" w:color="auto" w:fill="auto"/>
            <w:vAlign w:val="bottom"/>
          </w:tcPr>
          <w:p w:rsidR="0016724B" w:rsidRPr="000D19B0" w:rsidRDefault="0016724B" w:rsidP="00FC46EC">
            <w:pPr>
              <w:spacing w:before="60" w:after="60" w:line="220" w:lineRule="atLeast"/>
              <w:ind w:left="57" w:right="57"/>
              <w:jc w:val="right"/>
              <w:rPr>
                <w:i/>
                <w:sz w:val="18"/>
                <w:szCs w:val="18"/>
              </w:rPr>
            </w:pPr>
          </w:p>
        </w:tc>
        <w:tc>
          <w:tcPr>
            <w:tcW w:w="984" w:type="dxa"/>
            <w:shd w:val="clear" w:color="auto" w:fill="auto"/>
            <w:vAlign w:val="bottom"/>
          </w:tcPr>
          <w:p w:rsidR="0016724B" w:rsidRPr="00ED6DAD" w:rsidRDefault="0016724B" w:rsidP="00FC46EC">
            <w:pPr>
              <w:spacing w:before="60" w:after="60" w:line="220" w:lineRule="atLeast"/>
              <w:ind w:left="57" w:right="57"/>
              <w:jc w:val="right"/>
              <w:rPr>
                <w:i/>
                <w:sz w:val="16"/>
                <w:szCs w:val="16"/>
              </w:rPr>
            </w:pPr>
            <w:r w:rsidRPr="00ED6DAD">
              <w:rPr>
                <w:i/>
                <w:sz w:val="16"/>
                <w:szCs w:val="16"/>
                <w:lang w:val="fr-FR"/>
              </w:rPr>
              <w:t>a)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16724B" w:rsidRPr="00ED6DAD" w:rsidRDefault="0016724B" w:rsidP="00FC46EC">
            <w:pPr>
              <w:spacing w:before="60" w:after="60" w:line="220" w:lineRule="atLeast"/>
              <w:ind w:left="57" w:right="57"/>
              <w:jc w:val="right"/>
              <w:rPr>
                <w:i/>
                <w:sz w:val="16"/>
                <w:szCs w:val="16"/>
              </w:rPr>
            </w:pPr>
            <w:r w:rsidRPr="00ED6DAD">
              <w:rPr>
                <w:i/>
                <w:sz w:val="16"/>
                <w:szCs w:val="16"/>
                <w:lang w:val="fr-FR"/>
              </w:rPr>
              <w:t>b)</w:t>
            </w:r>
          </w:p>
        </w:tc>
        <w:tc>
          <w:tcPr>
            <w:tcW w:w="840" w:type="dxa"/>
            <w:vMerge/>
            <w:shd w:val="clear" w:color="auto" w:fill="auto"/>
            <w:vAlign w:val="bottom"/>
          </w:tcPr>
          <w:p w:rsidR="0016724B" w:rsidRPr="00ED6DAD" w:rsidRDefault="0016724B" w:rsidP="00FC46EC">
            <w:pPr>
              <w:spacing w:before="60" w:after="60" w:line="220" w:lineRule="atLeast"/>
              <w:ind w:left="57" w:right="57"/>
              <w:jc w:val="right"/>
              <w:rPr>
                <w:i/>
                <w:sz w:val="16"/>
                <w:szCs w:val="16"/>
              </w:rPr>
            </w:pPr>
          </w:p>
        </w:tc>
        <w:tc>
          <w:tcPr>
            <w:tcW w:w="1150" w:type="dxa"/>
            <w:vMerge/>
            <w:shd w:val="clear" w:color="auto" w:fill="auto"/>
            <w:vAlign w:val="bottom"/>
          </w:tcPr>
          <w:p w:rsidR="0016724B" w:rsidRPr="000D19B0" w:rsidRDefault="0016724B" w:rsidP="00FC46EC">
            <w:pPr>
              <w:spacing w:before="60" w:after="60" w:line="220" w:lineRule="atLeast"/>
              <w:ind w:left="57" w:right="57"/>
              <w:jc w:val="right"/>
              <w:rPr>
                <w:i/>
                <w:sz w:val="18"/>
                <w:szCs w:val="18"/>
                <w:lang w:val="fr-FR"/>
              </w:rPr>
            </w:pPr>
          </w:p>
        </w:tc>
      </w:tr>
      <w:tr w:rsidR="00A57F59" w:rsidRPr="0016724B" w:rsidTr="00FC46EC">
        <w:tc>
          <w:tcPr>
            <w:tcW w:w="1563" w:type="dxa"/>
            <w:shd w:val="clear" w:color="auto" w:fill="auto"/>
          </w:tcPr>
          <w:p w:rsidR="00A57F59" w:rsidRPr="0016724B" w:rsidRDefault="00A57F59" w:rsidP="00FC46EC">
            <w:pPr>
              <w:spacing w:before="60" w:after="60" w:line="220" w:lineRule="atLeast"/>
              <w:ind w:left="57" w:right="57"/>
              <w:rPr>
                <w:b/>
                <w:bCs/>
                <w:sz w:val="18"/>
                <w:szCs w:val="18"/>
              </w:rPr>
            </w:pPr>
            <w:r w:rsidRPr="0016724B">
              <w:rPr>
                <w:b/>
                <w:sz w:val="18"/>
                <w:szCs w:val="18"/>
                <w:lang w:val="fr-FR"/>
              </w:rPr>
              <w:t>...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A57F59" w:rsidRPr="0016724B" w:rsidRDefault="00A57F59" w:rsidP="00FC46EC">
            <w:pPr>
              <w:spacing w:before="60" w:after="60" w:line="220" w:lineRule="atLeast"/>
              <w:ind w:left="57" w:right="57"/>
              <w:jc w:val="right"/>
              <w:rPr>
                <w:b/>
                <w:sz w:val="18"/>
                <w:szCs w:val="18"/>
              </w:rPr>
            </w:pPr>
            <w:r w:rsidRPr="0016724B">
              <w:rPr>
                <w:b/>
                <w:sz w:val="18"/>
                <w:szCs w:val="18"/>
                <w:lang w:val="fr-FR"/>
              </w:rPr>
              <w:t>...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A57F59" w:rsidRPr="0016724B" w:rsidRDefault="00A57F59" w:rsidP="00FC46EC">
            <w:pPr>
              <w:spacing w:before="60" w:after="60" w:line="220" w:lineRule="atLeast"/>
              <w:ind w:left="57" w:right="57"/>
              <w:jc w:val="right"/>
              <w:rPr>
                <w:b/>
                <w:sz w:val="18"/>
                <w:szCs w:val="18"/>
              </w:rPr>
            </w:pPr>
            <w:r w:rsidRPr="0016724B">
              <w:rPr>
                <w:b/>
                <w:sz w:val="18"/>
                <w:szCs w:val="18"/>
                <w:lang w:val="fr-FR"/>
              </w:rPr>
              <w:t>...</w:t>
            </w:r>
          </w:p>
        </w:tc>
        <w:tc>
          <w:tcPr>
            <w:tcW w:w="984" w:type="dxa"/>
            <w:shd w:val="clear" w:color="auto" w:fill="auto"/>
            <w:vAlign w:val="bottom"/>
          </w:tcPr>
          <w:p w:rsidR="00A57F59" w:rsidRPr="0016724B" w:rsidRDefault="00A57F59" w:rsidP="00FC46EC">
            <w:pPr>
              <w:spacing w:before="60" w:after="60" w:line="220" w:lineRule="atLeast"/>
              <w:ind w:left="57" w:right="57"/>
              <w:jc w:val="right"/>
              <w:rPr>
                <w:b/>
                <w:sz w:val="18"/>
                <w:szCs w:val="18"/>
              </w:rPr>
            </w:pPr>
            <w:r w:rsidRPr="0016724B">
              <w:rPr>
                <w:b/>
                <w:sz w:val="18"/>
                <w:szCs w:val="18"/>
                <w:lang w:val="fr-FR"/>
              </w:rPr>
              <w:t>...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A57F59" w:rsidRPr="0016724B" w:rsidRDefault="00A57F59" w:rsidP="00FC46EC">
            <w:pPr>
              <w:spacing w:before="60" w:after="60" w:line="220" w:lineRule="atLeast"/>
              <w:ind w:left="57" w:right="57"/>
              <w:jc w:val="right"/>
              <w:rPr>
                <w:b/>
                <w:sz w:val="18"/>
                <w:szCs w:val="18"/>
              </w:rPr>
            </w:pPr>
            <w:r w:rsidRPr="0016724B">
              <w:rPr>
                <w:b/>
                <w:sz w:val="18"/>
                <w:szCs w:val="18"/>
                <w:lang w:val="fr-FR"/>
              </w:rPr>
              <w:t>...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A57F59" w:rsidRPr="0016724B" w:rsidRDefault="00A57F59" w:rsidP="00FC46EC">
            <w:pPr>
              <w:spacing w:before="60" w:after="60" w:line="220" w:lineRule="atLeast"/>
              <w:ind w:left="57" w:right="57"/>
              <w:jc w:val="right"/>
              <w:rPr>
                <w:b/>
                <w:sz w:val="18"/>
                <w:szCs w:val="18"/>
              </w:rPr>
            </w:pPr>
            <w:r w:rsidRPr="0016724B">
              <w:rPr>
                <w:b/>
                <w:sz w:val="18"/>
                <w:szCs w:val="18"/>
                <w:lang w:val="fr-FR"/>
              </w:rPr>
              <w:t>...</w:t>
            </w:r>
          </w:p>
        </w:tc>
        <w:tc>
          <w:tcPr>
            <w:tcW w:w="1150" w:type="dxa"/>
            <w:shd w:val="clear" w:color="auto" w:fill="auto"/>
            <w:vAlign w:val="bottom"/>
          </w:tcPr>
          <w:p w:rsidR="00A57F59" w:rsidRPr="0016724B" w:rsidRDefault="00A57F59" w:rsidP="00FC46EC">
            <w:pPr>
              <w:spacing w:before="60" w:after="60" w:line="220" w:lineRule="atLeast"/>
              <w:ind w:left="57" w:right="57"/>
              <w:jc w:val="right"/>
              <w:rPr>
                <w:b/>
                <w:sz w:val="18"/>
                <w:szCs w:val="18"/>
              </w:rPr>
            </w:pPr>
            <w:r w:rsidRPr="0016724B">
              <w:rPr>
                <w:b/>
                <w:sz w:val="18"/>
                <w:szCs w:val="18"/>
                <w:lang w:val="fr-FR"/>
              </w:rPr>
              <w:t>...</w:t>
            </w:r>
          </w:p>
        </w:tc>
      </w:tr>
      <w:tr w:rsidR="00A57F59" w:rsidRPr="000D19B0" w:rsidTr="00FC46EC">
        <w:tc>
          <w:tcPr>
            <w:tcW w:w="1563" w:type="dxa"/>
            <w:shd w:val="clear" w:color="auto" w:fill="auto"/>
          </w:tcPr>
          <w:p w:rsidR="00A57F59" w:rsidRPr="000D19B0" w:rsidRDefault="00A57F59" w:rsidP="00FC46EC">
            <w:pPr>
              <w:spacing w:before="60" w:after="60" w:line="220" w:lineRule="atLeast"/>
              <w:ind w:left="57" w:right="57"/>
              <w:rPr>
                <w:b/>
                <w:bCs/>
                <w:sz w:val="18"/>
                <w:szCs w:val="18"/>
              </w:rPr>
            </w:pPr>
            <w:r w:rsidRPr="000D19B0">
              <w:rPr>
                <w:b/>
                <w:sz w:val="18"/>
                <w:szCs w:val="18"/>
                <w:lang w:val="fr-FR"/>
              </w:rPr>
              <w:t>16.00-20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A57F59" w:rsidRPr="00AC7678" w:rsidRDefault="00A57F59" w:rsidP="00FC46EC">
            <w:pPr>
              <w:spacing w:before="60" w:after="60" w:line="220" w:lineRule="atLeast"/>
              <w:ind w:left="57" w:right="57"/>
              <w:jc w:val="right"/>
              <w:rPr>
                <w:b/>
                <w:sz w:val="18"/>
                <w:szCs w:val="18"/>
              </w:rPr>
            </w:pPr>
            <w:r w:rsidRPr="00AC7678">
              <w:rPr>
                <w:b/>
                <w:sz w:val="18"/>
                <w:szCs w:val="18"/>
                <w:lang w:val="fr-FR"/>
              </w:rPr>
              <w:t>11.25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A57F59" w:rsidRPr="00AC7678" w:rsidRDefault="00A57F59" w:rsidP="00FC46EC">
            <w:pPr>
              <w:spacing w:before="60" w:after="60" w:line="220" w:lineRule="atLeast"/>
              <w:ind w:left="57" w:right="57"/>
              <w:jc w:val="right"/>
              <w:rPr>
                <w:b/>
                <w:sz w:val="18"/>
                <w:szCs w:val="18"/>
              </w:rPr>
            </w:pPr>
            <w:r w:rsidRPr="00AC7678">
              <w:rPr>
                <w:b/>
                <w:sz w:val="18"/>
                <w:szCs w:val="18"/>
                <w:lang w:val="fr-FR"/>
              </w:rPr>
              <w:t>508</w:t>
            </w:r>
          </w:p>
        </w:tc>
        <w:tc>
          <w:tcPr>
            <w:tcW w:w="984" w:type="dxa"/>
            <w:shd w:val="clear" w:color="auto" w:fill="auto"/>
            <w:vAlign w:val="bottom"/>
          </w:tcPr>
          <w:p w:rsidR="00A57F59" w:rsidRPr="00AC7678" w:rsidRDefault="00A57F59" w:rsidP="00FC46EC">
            <w:pPr>
              <w:spacing w:before="60" w:after="60" w:line="220" w:lineRule="atLeast"/>
              <w:ind w:left="57" w:right="57"/>
              <w:jc w:val="right"/>
              <w:rPr>
                <w:b/>
                <w:sz w:val="18"/>
                <w:szCs w:val="18"/>
              </w:rPr>
            </w:pPr>
            <w:r w:rsidRPr="00AC7678">
              <w:rPr>
                <w:b/>
                <w:sz w:val="18"/>
                <w:szCs w:val="18"/>
                <w:lang w:val="fr-FR"/>
              </w:rPr>
              <w:t>1</w:t>
            </w:r>
            <w:r w:rsidR="00FC46EC">
              <w:rPr>
                <w:b/>
                <w:sz w:val="18"/>
                <w:szCs w:val="18"/>
                <w:lang w:val="fr-FR"/>
              </w:rPr>
              <w:t xml:space="preserve"> </w:t>
            </w:r>
            <w:r w:rsidRPr="00AC7678">
              <w:rPr>
                <w:b/>
                <w:sz w:val="18"/>
                <w:szCs w:val="18"/>
                <w:lang w:val="fr-FR"/>
              </w:rPr>
              <w:t>309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A57F59" w:rsidRPr="00AC7678" w:rsidRDefault="00A57F59" w:rsidP="00FC46EC">
            <w:pPr>
              <w:spacing w:before="60" w:after="60" w:line="220" w:lineRule="atLeast"/>
              <w:ind w:left="57" w:right="57"/>
              <w:jc w:val="right"/>
              <w:rPr>
                <w:b/>
                <w:sz w:val="18"/>
                <w:szCs w:val="18"/>
              </w:rPr>
            </w:pPr>
            <w:r w:rsidRPr="00AC7678">
              <w:rPr>
                <w:b/>
                <w:sz w:val="18"/>
                <w:szCs w:val="18"/>
                <w:lang w:val="fr-FR"/>
              </w:rPr>
              <w:t>1</w:t>
            </w:r>
            <w:r w:rsidR="00FC46EC">
              <w:rPr>
                <w:b/>
                <w:sz w:val="18"/>
                <w:szCs w:val="18"/>
                <w:lang w:val="fr-FR"/>
              </w:rPr>
              <w:t xml:space="preserve"> </w:t>
            </w:r>
            <w:r w:rsidRPr="00AC7678">
              <w:rPr>
                <w:b/>
                <w:sz w:val="18"/>
                <w:szCs w:val="18"/>
                <w:lang w:val="fr-FR"/>
              </w:rPr>
              <w:t>320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A57F59" w:rsidRPr="00AC7678" w:rsidRDefault="00A57F59" w:rsidP="00FC46EC">
            <w:pPr>
              <w:spacing w:before="60" w:after="60" w:line="220" w:lineRule="atLeast"/>
              <w:ind w:left="57" w:right="57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50" w:type="dxa"/>
            <w:shd w:val="clear" w:color="auto" w:fill="auto"/>
            <w:vAlign w:val="bottom"/>
          </w:tcPr>
          <w:p w:rsidR="00A57F59" w:rsidRPr="00AC7678" w:rsidRDefault="00A57F59" w:rsidP="00FC46EC">
            <w:pPr>
              <w:spacing w:before="60" w:after="60" w:line="220" w:lineRule="atLeast"/>
              <w:ind w:left="57" w:right="57"/>
              <w:jc w:val="right"/>
              <w:rPr>
                <w:b/>
                <w:sz w:val="18"/>
                <w:szCs w:val="18"/>
              </w:rPr>
            </w:pPr>
            <w:r w:rsidRPr="00AC7678">
              <w:rPr>
                <w:b/>
                <w:sz w:val="18"/>
                <w:szCs w:val="18"/>
                <w:lang w:val="fr-FR"/>
              </w:rPr>
              <w:t>438</w:t>
            </w:r>
          </w:p>
        </w:tc>
      </w:tr>
    </w:tbl>
    <w:p w:rsidR="00A57F59" w:rsidRDefault="00A57F59" w:rsidP="00FC46EC">
      <w:pPr>
        <w:pStyle w:val="SingleTxtG"/>
        <w:jc w:val="right"/>
      </w:pPr>
      <w:r w:rsidRPr="002743ED">
        <w:t>».</w:t>
      </w:r>
    </w:p>
    <w:p w:rsidR="00A57F59" w:rsidRPr="004850FC" w:rsidRDefault="00271F46" w:rsidP="00FC46EC">
      <w:pPr>
        <w:pStyle w:val="SingleTxtG"/>
        <w:rPr>
          <w:lang w:eastAsia="zh-CN"/>
        </w:rPr>
      </w:pPr>
      <w:r>
        <w:rPr>
          <w:i/>
          <w:lang w:val="fr-FR"/>
        </w:rPr>
        <w:br w:type="page"/>
      </w:r>
      <w:r w:rsidR="00A57F59" w:rsidRPr="002743ED">
        <w:rPr>
          <w:i/>
          <w:lang w:val="fr-FR"/>
        </w:rPr>
        <w:lastRenderedPageBreak/>
        <w:t xml:space="preserve">Tableau </w:t>
      </w:r>
      <w:r w:rsidR="00A57F59">
        <w:rPr>
          <w:i/>
          <w:lang w:val="fr-FR"/>
        </w:rPr>
        <w:t>E</w:t>
      </w:r>
      <w:r w:rsidR="00A57F59" w:rsidRPr="002743ED">
        <w:rPr>
          <w:i/>
          <w:lang w:val="fr-FR"/>
        </w:rPr>
        <w:t xml:space="preserve"> de la deuxième partie de l</w:t>
      </w:r>
      <w:r w:rsidR="00A57F59">
        <w:rPr>
          <w:i/>
          <w:lang w:val="fr-FR"/>
        </w:rPr>
        <w:t>’a</w:t>
      </w:r>
      <w:r w:rsidR="00A57F59" w:rsidRPr="002743ED">
        <w:rPr>
          <w:i/>
          <w:lang w:val="fr-FR"/>
        </w:rPr>
        <w:t>nnexe 5</w:t>
      </w:r>
      <w:r w:rsidR="00A57F59" w:rsidRPr="00D92988">
        <w:rPr>
          <w:lang w:val="fr-FR"/>
        </w:rPr>
        <w:t>, ajouter les rubriques suivantes</w:t>
      </w:r>
      <w:r>
        <w:rPr>
          <w:lang w:val="fr-FR"/>
        </w:rPr>
        <w:t> </w:t>
      </w:r>
      <w:r w:rsidR="00A57F59" w:rsidRPr="004850FC">
        <w:rPr>
          <w:lang w:eastAsia="zh-CN"/>
        </w:rPr>
        <w:t xml:space="preserve">: </w:t>
      </w:r>
    </w:p>
    <w:p w:rsidR="00A57F59" w:rsidRPr="0093536F" w:rsidRDefault="00A57F59" w:rsidP="00FC46EC">
      <w:pPr>
        <w:pStyle w:val="Heading1"/>
        <w:spacing w:after="120"/>
        <w:rPr>
          <w:b/>
        </w:rPr>
      </w:pPr>
      <w:bookmarkStart w:id="7" w:name="_Toc340666249"/>
      <w:bookmarkStart w:id="8" w:name="_Toc340745111"/>
      <w:r w:rsidRPr="004850FC">
        <w:t>«</w:t>
      </w:r>
      <w:r w:rsidR="00FC46EC">
        <w:t> </w:t>
      </w:r>
      <w:r w:rsidRPr="00FC46EC">
        <w:rPr>
          <w:lang w:val="fr-FR"/>
        </w:rPr>
        <w:t>Tableau</w:t>
      </w:r>
      <w:r w:rsidRPr="004850FC">
        <w:t xml:space="preserve"> E</w:t>
      </w:r>
      <w:bookmarkEnd w:id="7"/>
      <w:bookmarkEnd w:id="8"/>
      <w:r w:rsidR="00FC46EC">
        <w:t xml:space="preserve"> </w:t>
      </w:r>
      <w:bookmarkStart w:id="9" w:name="_Toc340666250"/>
      <w:bookmarkStart w:id="10" w:name="_Toc340745112"/>
      <w:r w:rsidR="00FC46EC">
        <w:br/>
      </w:r>
      <w:r w:rsidRPr="002743ED">
        <w:rPr>
          <w:b/>
          <w:lang w:val="fr-FR"/>
        </w:rPr>
        <w:t xml:space="preserve">Pneumatiques désignés par </w:t>
      </w:r>
      <w:r>
        <w:rPr>
          <w:b/>
          <w:lang w:val="fr-FR"/>
        </w:rPr>
        <w:t xml:space="preserve">un </w:t>
      </w:r>
      <w:r w:rsidRPr="002743ED">
        <w:rPr>
          <w:b/>
          <w:lang w:val="fr-FR"/>
        </w:rPr>
        <w:t xml:space="preserve">code montés sur jantes </w:t>
      </w:r>
      <w:r>
        <w:rPr>
          <w:b/>
          <w:lang w:val="fr-FR"/>
        </w:rPr>
        <w:t>inclinées de 1</w:t>
      </w:r>
      <w:r w:rsidRPr="002743ED">
        <w:rPr>
          <w:b/>
          <w:lang w:val="fr-FR"/>
        </w:rPr>
        <w:t xml:space="preserve">5° </w:t>
      </w:r>
      <w:bookmarkStart w:id="11" w:name="_Toc340666251"/>
      <w:bookmarkStart w:id="12" w:name="_Toc340745113"/>
      <w:bookmarkEnd w:id="9"/>
      <w:bookmarkEnd w:id="10"/>
      <w:r w:rsidR="00FC46EC">
        <w:rPr>
          <w:b/>
          <w:lang w:val="fr-FR"/>
        </w:rPr>
        <w:br/>
      </w:r>
      <w:r w:rsidRPr="00FC46EC">
        <w:rPr>
          <w:b/>
          <w:lang w:val="fr-FR"/>
        </w:rPr>
        <w:t>Diagonaux</w:t>
      </w:r>
      <w:r>
        <w:rPr>
          <w:b/>
        </w:rPr>
        <w:t xml:space="preserve"> et</w:t>
      </w:r>
      <w:r w:rsidRPr="0093536F">
        <w:rPr>
          <w:b/>
        </w:rPr>
        <w:t xml:space="preserve"> radia</w:t>
      </w:r>
      <w:bookmarkEnd w:id="11"/>
      <w:bookmarkEnd w:id="12"/>
      <w:r>
        <w:rPr>
          <w:b/>
        </w:rPr>
        <w:t>ux</w:t>
      </w:r>
    </w:p>
    <w:tbl>
      <w:tblPr>
        <w:tblW w:w="8507" w:type="dxa"/>
        <w:tblInd w:w="11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7"/>
        <w:gridCol w:w="1288"/>
        <w:gridCol w:w="1833"/>
        <w:gridCol w:w="980"/>
        <w:gridCol w:w="868"/>
        <w:gridCol w:w="848"/>
        <w:gridCol w:w="1133"/>
      </w:tblGrid>
      <w:tr w:rsidR="00FC46EC" w:rsidRPr="0093536F" w:rsidTr="00FC46EC">
        <w:trPr>
          <w:cantSplit/>
          <w:trHeight w:val="470"/>
          <w:tblHeader/>
        </w:trPr>
        <w:tc>
          <w:tcPr>
            <w:tcW w:w="1557" w:type="dxa"/>
            <w:vMerge w:val="restart"/>
            <w:vAlign w:val="bottom"/>
          </w:tcPr>
          <w:p w:rsidR="00A57F59" w:rsidRPr="0093536F" w:rsidRDefault="00A57F59" w:rsidP="00FC46EC">
            <w:pPr>
              <w:spacing w:before="60" w:after="60" w:line="220" w:lineRule="atLeast"/>
              <w:ind w:left="57" w:right="57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Désignation </w:t>
            </w:r>
            <w:r w:rsidR="00FC46EC">
              <w:rPr>
                <w:i/>
                <w:sz w:val="16"/>
                <w:szCs w:val="16"/>
              </w:rPr>
              <w:br/>
            </w:r>
            <w:r>
              <w:rPr>
                <w:i/>
                <w:sz w:val="16"/>
                <w:szCs w:val="16"/>
              </w:rPr>
              <w:t>du pneumatique</w:t>
            </w:r>
            <w:r w:rsidRPr="00FC46EC">
              <w:rPr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288" w:type="dxa"/>
            <w:vMerge w:val="restart"/>
            <w:vAlign w:val="bottom"/>
          </w:tcPr>
          <w:p w:rsidR="00A57F59" w:rsidRPr="0093536F" w:rsidRDefault="00A57F59" w:rsidP="00FC46EC">
            <w:pPr>
              <w:spacing w:before="60" w:after="60" w:line="220" w:lineRule="atLeast"/>
              <w:ind w:left="57" w:right="57"/>
              <w:jc w:val="right"/>
              <w:rPr>
                <w:i/>
                <w:sz w:val="16"/>
                <w:szCs w:val="16"/>
              </w:rPr>
            </w:pPr>
            <w:r w:rsidRPr="00737411">
              <w:rPr>
                <w:i/>
                <w:sz w:val="16"/>
                <w:lang w:val="fr-FR"/>
              </w:rPr>
              <w:t xml:space="preserve">Code </w:t>
            </w:r>
            <w:r>
              <w:rPr>
                <w:i/>
                <w:sz w:val="16"/>
                <w:lang w:val="fr-FR"/>
              </w:rPr>
              <w:t>pour</w:t>
            </w:r>
            <w:r w:rsidRPr="00737411">
              <w:rPr>
                <w:i/>
                <w:sz w:val="16"/>
                <w:lang w:val="fr-FR"/>
              </w:rPr>
              <w:t xml:space="preserve"> la largeur de</w:t>
            </w:r>
            <w:r>
              <w:rPr>
                <w:i/>
                <w:sz w:val="16"/>
                <w:lang w:val="fr-FR"/>
              </w:rPr>
              <w:t xml:space="preserve"> la</w:t>
            </w:r>
            <w:r w:rsidRPr="00737411">
              <w:rPr>
                <w:i/>
                <w:sz w:val="16"/>
                <w:lang w:val="fr-FR"/>
              </w:rPr>
              <w:t xml:space="preserve"> jante de mesure</w:t>
            </w:r>
          </w:p>
        </w:tc>
        <w:tc>
          <w:tcPr>
            <w:tcW w:w="1833" w:type="dxa"/>
            <w:vMerge w:val="restart"/>
            <w:vAlign w:val="bottom"/>
          </w:tcPr>
          <w:p w:rsidR="00A57F59" w:rsidRPr="0093536F" w:rsidRDefault="00A57F59" w:rsidP="00FC46EC">
            <w:pPr>
              <w:spacing w:before="60" w:after="60" w:line="220" w:lineRule="atLeast"/>
              <w:ind w:left="57" w:right="57"/>
              <w:jc w:val="right"/>
              <w:rPr>
                <w:i/>
                <w:sz w:val="16"/>
                <w:szCs w:val="16"/>
                <w:lang w:val="it-IT"/>
              </w:rPr>
            </w:pPr>
            <w:r w:rsidRPr="000D19B0">
              <w:rPr>
                <w:i/>
                <w:sz w:val="18"/>
                <w:szCs w:val="18"/>
                <w:lang w:val="fr-FR"/>
              </w:rPr>
              <w:t xml:space="preserve">Diamètre nominal d </w:t>
            </w:r>
            <w:r w:rsidR="0016724B">
              <w:rPr>
                <w:i/>
                <w:sz w:val="18"/>
                <w:szCs w:val="18"/>
                <w:lang w:val="fr-FR"/>
              </w:rPr>
              <w:br/>
            </w:r>
            <w:r w:rsidRPr="000D19B0">
              <w:rPr>
                <w:i/>
                <w:sz w:val="18"/>
                <w:szCs w:val="18"/>
                <w:lang w:val="fr-FR"/>
              </w:rPr>
              <w:t>de la jante (mm)</w:t>
            </w:r>
          </w:p>
        </w:tc>
        <w:tc>
          <w:tcPr>
            <w:tcW w:w="2696" w:type="dxa"/>
            <w:gridSpan w:val="3"/>
            <w:vAlign w:val="bottom"/>
          </w:tcPr>
          <w:p w:rsidR="00A57F59" w:rsidRPr="0093536F" w:rsidRDefault="00A57F59" w:rsidP="00ED6DAD">
            <w:pPr>
              <w:spacing w:before="60" w:after="60" w:line="220" w:lineRule="atLeast"/>
              <w:ind w:left="57" w:right="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Diamètre extérieur </w:t>
            </w:r>
            <w:r w:rsidRPr="0093536F">
              <w:rPr>
                <w:i/>
                <w:sz w:val="16"/>
                <w:szCs w:val="16"/>
              </w:rPr>
              <w:br/>
              <w:t>D (mm)</w:t>
            </w:r>
            <w:r w:rsidRPr="0093536F">
              <w:rPr>
                <w:i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133" w:type="dxa"/>
            <w:tcBorders>
              <w:bottom w:val="nil"/>
            </w:tcBorders>
            <w:vAlign w:val="bottom"/>
          </w:tcPr>
          <w:p w:rsidR="00A57F59" w:rsidRPr="0093536F" w:rsidRDefault="00A57F59" w:rsidP="00FC46EC">
            <w:pPr>
              <w:spacing w:before="60" w:after="60" w:line="220" w:lineRule="atLeast"/>
              <w:ind w:left="57" w:right="57"/>
              <w:jc w:val="right"/>
              <w:rPr>
                <w:i/>
                <w:sz w:val="16"/>
                <w:szCs w:val="16"/>
              </w:rPr>
            </w:pPr>
          </w:p>
        </w:tc>
      </w:tr>
      <w:tr w:rsidR="00FC46EC" w:rsidRPr="0093536F" w:rsidTr="00FC46EC">
        <w:tc>
          <w:tcPr>
            <w:tcW w:w="1557" w:type="dxa"/>
            <w:vMerge/>
          </w:tcPr>
          <w:p w:rsidR="00A57F59" w:rsidRPr="0093536F" w:rsidRDefault="00A57F59" w:rsidP="00FC46EC">
            <w:pPr>
              <w:spacing w:before="60" w:after="60" w:line="220" w:lineRule="atLeast"/>
              <w:ind w:left="57" w:right="57"/>
              <w:rPr>
                <w:i/>
                <w:sz w:val="16"/>
                <w:szCs w:val="16"/>
              </w:rPr>
            </w:pPr>
          </w:p>
        </w:tc>
        <w:tc>
          <w:tcPr>
            <w:tcW w:w="1288" w:type="dxa"/>
            <w:vMerge/>
            <w:vAlign w:val="bottom"/>
          </w:tcPr>
          <w:p w:rsidR="00A57F59" w:rsidRPr="0093536F" w:rsidRDefault="00A57F59" w:rsidP="00FC46EC">
            <w:pPr>
              <w:spacing w:before="60" w:after="60" w:line="220" w:lineRule="atLeast"/>
              <w:ind w:left="57" w:right="57"/>
              <w:jc w:val="right"/>
              <w:rPr>
                <w:i/>
                <w:sz w:val="16"/>
                <w:szCs w:val="16"/>
              </w:rPr>
            </w:pPr>
          </w:p>
        </w:tc>
        <w:tc>
          <w:tcPr>
            <w:tcW w:w="1833" w:type="dxa"/>
            <w:vMerge/>
            <w:vAlign w:val="bottom"/>
          </w:tcPr>
          <w:p w:rsidR="00A57F59" w:rsidRPr="0093536F" w:rsidRDefault="00A57F59" w:rsidP="00FC46EC">
            <w:pPr>
              <w:spacing w:before="60" w:after="60" w:line="220" w:lineRule="atLeast"/>
              <w:ind w:left="57" w:right="57"/>
              <w:jc w:val="right"/>
              <w:rPr>
                <w:i/>
                <w:sz w:val="16"/>
                <w:szCs w:val="16"/>
              </w:rPr>
            </w:pPr>
          </w:p>
        </w:tc>
        <w:tc>
          <w:tcPr>
            <w:tcW w:w="1848" w:type="dxa"/>
            <w:gridSpan w:val="2"/>
            <w:tcBorders>
              <w:right w:val="single" w:sz="4" w:space="0" w:color="auto"/>
            </w:tcBorders>
            <w:vAlign w:val="bottom"/>
          </w:tcPr>
          <w:p w:rsidR="00A57F59" w:rsidRPr="0093536F" w:rsidRDefault="00A57F59" w:rsidP="00ED6DAD">
            <w:pPr>
              <w:spacing w:before="60" w:after="60" w:line="220" w:lineRule="atLeast"/>
              <w:ind w:left="57" w:right="57"/>
              <w:jc w:val="center"/>
              <w:rPr>
                <w:i/>
                <w:sz w:val="16"/>
                <w:szCs w:val="16"/>
              </w:rPr>
            </w:pPr>
            <w:r w:rsidRPr="0093536F">
              <w:rPr>
                <w:i/>
                <w:sz w:val="16"/>
                <w:szCs w:val="16"/>
              </w:rPr>
              <w:t>Normal</w:t>
            </w:r>
          </w:p>
        </w:tc>
        <w:tc>
          <w:tcPr>
            <w:tcW w:w="848" w:type="dxa"/>
            <w:tcBorders>
              <w:left w:val="single" w:sz="4" w:space="0" w:color="auto"/>
              <w:bottom w:val="nil"/>
            </w:tcBorders>
            <w:vAlign w:val="bottom"/>
          </w:tcPr>
          <w:p w:rsidR="00A57F59" w:rsidRPr="0093536F" w:rsidRDefault="00A57F59" w:rsidP="00FC46EC">
            <w:pPr>
              <w:spacing w:before="60" w:after="60" w:line="220" w:lineRule="atLeast"/>
              <w:ind w:left="57" w:right="57"/>
              <w:jc w:val="right"/>
              <w:rPr>
                <w:i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  <w:vAlign w:val="bottom"/>
          </w:tcPr>
          <w:p w:rsidR="00A57F59" w:rsidRPr="0093536F" w:rsidRDefault="00A57F59" w:rsidP="00FC46EC">
            <w:pPr>
              <w:spacing w:before="60" w:after="60" w:line="220" w:lineRule="atLeast"/>
              <w:ind w:left="57" w:right="57"/>
              <w:jc w:val="right"/>
              <w:rPr>
                <w:i/>
                <w:sz w:val="16"/>
                <w:szCs w:val="16"/>
              </w:rPr>
            </w:pPr>
          </w:p>
        </w:tc>
      </w:tr>
      <w:tr w:rsidR="00FC46EC" w:rsidRPr="0093536F" w:rsidTr="00FC46EC">
        <w:trPr>
          <w:trHeight w:val="398"/>
        </w:trPr>
        <w:tc>
          <w:tcPr>
            <w:tcW w:w="1557" w:type="dxa"/>
            <w:vMerge/>
          </w:tcPr>
          <w:p w:rsidR="00A57F59" w:rsidRPr="0093536F" w:rsidRDefault="00A57F59" w:rsidP="00FC46EC">
            <w:pPr>
              <w:spacing w:before="60" w:after="60" w:line="220" w:lineRule="atLeast"/>
              <w:ind w:left="57" w:right="57"/>
              <w:rPr>
                <w:i/>
                <w:sz w:val="16"/>
                <w:szCs w:val="16"/>
              </w:rPr>
            </w:pPr>
          </w:p>
        </w:tc>
        <w:tc>
          <w:tcPr>
            <w:tcW w:w="1288" w:type="dxa"/>
            <w:vMerge/>
            <w:vAlign w:val="bottom"/>
          </w:tcPr>
          <w:p w:rsidR="00A57F59" w:rsidRPr="0093536F" w:rsidRDefault="00A57F59" w:rsidP="00FC46EC">
            <w:pPr>
              <w:spacing w:before="60" w:after="60" w:line="220" w:lineRule="atLeast"/>
              <w:ind w:left="57" w:right="57"/>
              <w:jc w:val="right"/>
              <w:rPr>
                <w:i/>
                <w:sz w:val="16"/>
                <w:szCs w:val="16"/>
              </w:rPr>
            </w:pPr>
          </w:p>
        </w:tc>
        <w:tc>
          <w:tcPr>
            <w:tcW w:w="1833" w:type="dxa"/>
            <w:vMerge/>
            <w:vAlign w:val="bottom"/>
          </w:tcPr>
          <w:p w:rsidR="00A57F59" w:rsidRPr="0093536F" w:rsidRDefault="00A57F59" w:rsidP="00FC46EC">
            <w:pPr>
              <w:spacing w:before="60" w:after="60" w:line="220" w:lineRule="atLeast"/>
              <w:ind w:left="57" w:right="57"/>
              <w:jc w:val="right"/>
              <w:rPr>
                <w:i/>
                <w:sz w:val="16"/>
                <w:szCs w:val="16"/>
              </w:rPr>
            </w:pPr>
          </w:p>
        </w:tc>
        <w:tc>
          <w:tcPr>
            <w:tcW w:w="980" w:type="dxa"/>
            <w:vAlign w:val="bottom"/>
          </w:tcPr>
          <w:p w:rsidR="00A57F59" w:rsidRPr="0093536F" w:rsidRDefault="00A57F59" w:rsidP="00FC46EC">
            <w:pPr>
              <w:spacing w:before="60" w:after="60" w:line="220" w:lineRule="atLeast"/>
              <w:ind w:left="57" w:right="57"/>
              <w:jc w:val="right"/>
              <w:rPr>
                <w:i/>
                <w:sz w:val="16"/>
                <w:szCs w:val="16"/>
              </w:rPr>
            </w:pPr>
            <w:r w:rsidRPr="0093536F">
              <w:rPr>
                <w:i/>
                <w:sz w:val="16"/>
                <w:szCs w:val="16"/>
              </w:rPr>
              <w:t>a)</w:t>
            </w:r>
          </w:p>
        </w:tc>
        <w:tc>
          <w:tcPr>
            <w:tcW w:w="868" w:type="dxa"/>
            <w:vAlign w:val="bottom"/>
          </w:tcPr>
          <w:p w:rsidR="00A57F59" w:rsidRPr="0093536F" w:rsidRDefault="00A57F59" w:rsidP="00FC46EC">
            <w:pPr>
              <w:spacing w:before="60" w:after="60" w:line="220" w:lineRule="atLeast"/>
              <w:ind w:left="57" w:right="57"/>
              <w:jc w:val="right"/>
              <w:rPr>
                <w:i/>
                <w:sz w:val="16"/>
                <w:szCs w:val="16"/>
              </w:rPr>
            </w:pPr>
            <w:r w:rsidRPr="0093536F">
              <w:rPr>
                <w:i/>
                <w:sz w:val="16"/>
                <w:szCs w:val="16"/>
              </w:rPr>
              <w:t>b)</w:t>
            </w:r>
          </w:p>
        </w:tc>
        <w:tc>
          <w:tcPr>
            <w:tcW w:w="848" w:type="dxa"/>
            <w:tcBorders>
              <w:top w:val="nil"/>
            </w:tcBorders>
            <w:vAlign w:val="bottom"/>
          </w:tcPr>
          <w:p w:rsidR="00A57F59" w:rsidRPr="0093536F" w:rsidRDefault="00A57F59" w:rsidP="00FC46EC">
            <w:pPr>
              <w:spacing w:before="60" w:after="60" w:line="220" w:lineRule="atLeast"/>
              <w:ind w:left="57" w:right="57"/>
              <w:jc w:val="righ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Neige</w:t>
            </w:r>
          </w:p>
        </w:tc>
        <w:tc>
          <w:tcPr>
            <w:tcW w:w="1133" w:type="dxa"/>
            <w:tcBorders>
              <w:top w:val="nil"/>
            </w:tcBorders>
            <w:vAlign w:val="bottom"/>
          </w:tcPr>
          <w:p w:rsidR="00A57F59" w:rsidRPr="0093536F" w:rsidRDefault="00A57F59" w:rsidP="00D84422">
            <w:pPr>
              <w:spacing w:before="60" w:after="60" w:line="220" w:lineRule="atLeast"/>
              <w:ind w:left="57" w:right="57"/>
              <w:jc w:val="righ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Grosseur </w:t>
            </w:r>
            <w:r w:rsidR="00FC46EC">
              <w:rPr>
                <w:i/>
                <w:sz w:val="16"/>
                <w:szCs w:val="16"/>
              </w:rPr>
              <w:br/>
            </w:r>
            <w:r>
              <w:rPr>
                <w:i/>
                <w:sz w:val="16"/>
                <w:szCs w:val="16"/>
              </w:rPr>
              <w:t>du boudin</w:t>
            </w:r>
            <w:r w:rsidRPr="0093536F">
              <w:rPr>
                <w:i/>
                <w:sz w:val="16"/>
                <w:szCs w:val="16"/>
              </w:rPr>
              <w:t xml:space="preserve"> </w:t>
            </w:r>
            <w:r w:rsidRPr="0093536F">
              <w:rPr>
                <w:i/>
                <w:sz w:val="16"/>
                <w:szCs w:val="16"/>
              </w:rPr>
              <w:br/>
              <w:t>S (mm)</w:t>
            </w:r>
            <w:r w:rsidRPr="0093536F">
              <w:rPr>
                <w:i/>
                <w:sz w:val="16"/>
                <w:szCs w:val="16"/>
                <w:vertAlign w:val="superscript"/>
              </w:rPr>
              <w:t>3</w:t>
            </w:r>
          </w:p>
        </w:tc>
      </w:tr>
      <w:tr w:rsidR="00FC46EC" w:rsidRPr="0093536F" w:rsidTr="00FC46EC">
        <w:tc>
          <w:tcPr>
            <w:tcW w:w="1557" w:type="dxa"/>
          </w:tcPr>
          <w:p w:rsidR="00A57F59" w:rsidRPr="0093536F" w:rsidRDefault="00A57F59" w:rsidP="00FC46EC">
            <w:pPr>
              <w:spacing w:before="60" w:after="60" w:line="220" w:lineRule="atLeast"/>
              <w:ind w:left="57" w:right="57"/>
              <w:rPr>
                <w:b/>
                <w:bCs/>
                <w:sz w:val="18"/>
              </w:rPr>
            </w:pPr>
            <w:r w:rsidRPr="00957B9A">
              <w:rPr>
                <w:b/>
                <w:bCs/>
                <w:sz w:val="18"/>
              </w:rPr>
              <w:t>...</w:t>
            </w:r>
          </w:p>
        </w:tc>
        <w:tc>
          <w:tcPr>
            <w:tcW w:w="1288" w:type="dxa"/>
            <w:vAlign w:val="bottom"/>
          </w:tcPr>
          <w:p w:rsidR="00A57F59" w:rsidRPr="0093536F" w:rsidRDefault="00A57F59" w:rsidP="00FC46EC">
            <w:pPr>
              <w:spacing w:before="60" w:after="60" w:line="220" w:lineRule="atLeast"/>
              <w:ind w:left="57" w:right="57"/>
              <w:jc w:val="right"/>
              <w:rPr>
                <w:sz w:val="18"/>
              </w:rPr>
            </w:pPr>
            <w:r w:rsidRPr="00957B9A">
              <w:rPr>
                <w:b/>
                <w:bCs/>
                <w:sz w:val="18"/>
              </w:rPr>
              <w:t>...</w:t>
            </w:r>
          </w:p>
        </w:tc>
        <w:tc>
          <w:tcPr>
            <w:tcW w:w="1833" w:type="dxa"/>
            <w:vAlign w:val="bottom"/>
          </w:tcPr>
          <w:p w:rsidR="00A57F59" w:rsidRPr="0093536F" w:rsidRDefault="00A57F59" w:rsidP="00FC46EC">
            <w:pPr>
              <w:spacing w:before="60" w:after="60" w:line="220" w:lineRule="atLeast"/>
              <w:ind w:left="57" w:right="57"/>
              <w:jc w:val="right"/>
              <w:rPr>
                <w:sz w:val="18"/>
              </w:rPr>
            </w:pPr>
            <w:r w:rsidRPr="00957B9A">
              <w:rPr>
                <w:b/>
                <w:bCs/>
                <w:sz w:val="18"/>
              </w:rPr>
              <w:t>...</w:t>
            </w:r>
          </w:p>
        </w:tc>
        <w:tc>
          <w:tcPr>
            <w:tcW w:w="980" w:type="dxa"/>
            <w:vAlign w:val="bottom"/>
          </w:tcPr>
          <w:p w:rsidR="00A57F59" w:rsidRPr="0093536F" w:rsidRDefault="00A57F59" w:rsidP="00FC46EC">
            <w:pPr>
              <w:spacing w:before="60" w:after="60" w:line="220" w:lineRule="atLeast"/>
              <w:ind w:left="57" w:right="57"/>
              <w:jc w:val="right"/>
              <w:rPr>
                <w:sz w:val="18"/>
              </w:rPr>
            </w:pPr>
            <w:r w:rsidRPr="00957B9A">
              <w:rPr>
                <w:b/>
                <w:bCs/>
                <w:sz w:val="18"/>
              </w:rPr>
              <w:t>...</w:t>
            </w:r>
          </w:p>
        </w:tc>
        <w:tc>
          <w:tcPr>
            <w:tcW w:w="868" w:type="dxa"/>
            <w:vAlign w:val="bottom"/>
          </w:tcPr>
          <w:p w:rsidR="00A57F59" w:rsidRPr="0093536F" w:rsidRDefault="00A57F59" w:rsidP="00FC46EC">
            <w:pPr>
              <w:spacing w:before="60" w:after="60" w:line="220" w:lineRule="atLeast"/>
              <w:ind w:left="57" w:right="57"/>
              <w:jc w:val="right"/>
              <w:rPr>
                <w:sz w:val="18"/>
              </w:rPr>
            </w:pPr>
            <w:r w:rsidRPr="00957B9A">
              <w:rPr>
                <w:b/>
                <w:bCs/>
                <w:sz w:val="18"/>
              </w:rPr>
              <w:t>...</w:t>
            </w:r>
          </w:p>
        </w:tc>
        <w:tc>
          <w:tcPr>
            <w:tcW w:w="848" w:type="dxa"/>
            <w:vAlign w:val="bottom"/>
          </w:tcPr>
          <w:p w:rsidR="00A57F59" w:rsidRPr="0093536F" w:rsidRDefault="00A57F59" w:rsidP="00FC46EC">
            <w:pPr>
              <w:spacing w:before="60" w:after="60" w:line="220" w:lineRule="atLeast"/>
              <w:ind w:left="57" w:right="57"/>
              <w:jc w:val="right"/>
              <w:rPr>
                <w:sz w:val="18"/>
              </w:rPr>
            </w:pPr>
            <w:r w:rsidRPr="00957B9A">
              <w:rPr>
                <w:b/>
                <w:bCs/>
                <w:sz w:val="18"/>
              </w:rPr>
              <w:t>...</w:t>
            </w:r>
          </w:p>
        </w:tc>
        <w:tc>
          <w:tcPr>
            <w:tcW w:w="1133" w:type="dxa"/>
            <w:vAlign w:val="bottom"/>
          </w:tcPr>
          <w:p w:rsidR="00A57F59" w:rsidRPr="0093536F" w:rsidRDefault="00A57F59" w:rsidP="00FC46EC">
            <w:pPr>
              <w:spacing w:before="60" w:after="60" w:line="220" w:lineRule="atLeast"/>
              <w:ind w:left="57" w:right="57"/>
              <w:jc w:val="right"/>
              <w:rPr>
                <w:sz w:val="18"/>
              </w:rPr>
            </w:pPr>
            <w:r w:rsidRPr="00957B9A">
              <w:rPr>
                <w:b/>
                <w:bCs/>
                <w:sz w:val="18"/>
              </w:rPr>
              <w:t>...</w:t>
            </w:r>
          </w:p>
        </w:tc>
      </w:tr>
      <w:tr w:rsidR="00FC46EC" w:rsidRPr="0093536F" w:rsidTr="00FC46EC">
        <w:tc>
          <w:tcPr>
            <w:tcW w:w="1557" w:type="dxa"/>
          </w:tcPr>
          <w:p w:rsidR="00A57F59" w:rsidRPr="0093536F" w:rsidRDefault="00A57F59" w:rsidP="00FC46EC">
            <w:pPr>
              <w:spacing w:before="60" w:after="60" w:line="220" w:lineRule="atLeast"/>
              <w:ind w:left="57" w:right="57"/>
              <w:rPr>
                <w:b/>
                <w:sz w:val="18"/>
              </w:rPr>
            </w:pPr>
            <w:r w:rsidRPr="0093536F">
              <w:rPr>
                <w:b/>
                <w:sz w:val="18"/>
              </w:rPr>
              <w:t>24R20.5</w:t>
            </w:r>
          </w:p>
        </w:tc>
        <w:tc>
          <w:tcPr>
            <w:tcW w:w="1288" w:type="dxa"/>
            <w:vAlign w:val="bottom"/>
          </w:tcPr>
          <w:p w:rsidR="00A57F59" w:rsidRPr="0093536F" w:rsidRDefault="00A57F59" w:rsidP="00FC46EC">
            <w:pPr>
              <w:spacing w:before="60" w:after="60" w:line="220" w:lineRule="atLeast"/>
              <w:ind w:left="57" w:right="57"/>
              <w:jc w:val="right"/>
              <w:rPr>
                <w:b/>
                <w:sz w:val="18"/>
              </w:rPr>
            </w:pPr>
            <w:r w:rsidRPr="0093536F">
              <w:rPr>
                <w:b/>
                <w:sz w:val="18"/>
              </w:rPr>
              <w:t>18.00</w:t>
            </w:r>
          </w:p>
        </w:tc>
        <w:tc>
          <w:tcPr>
            <w:tcW w:w="1833" w:type="dxa"/>
            <w:vAlign w:val="bottom"/>
          </w:tcPr>
          <w:p w:rsidR="00A57F59" w:rsidRPr="0093536F" w:rsidRDefault="00A57F59" w:rsidP="00FC46EC">
            <w:pPr>
              <w:spacing w:before="60" w:after="60" w:line="220" w:lineRule="atLeast"/>
              <w:ind w:left="57" w:right="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521</w:t>
            </w:r>
          </w:p>
        </w:tc>
        <w:tc>
          <w:tcPr>
            <w:tcW w:w="980" w:type="dxa"/>
            <w:vAlign w:val="bottom"/>
          </w:tcPr>
          <w:p w:rsidR="00A57F59" w:rsidRPr="0093536F" w:rsidRDefault="00A57F59" w:rsidP="00FC46EC">
            <w:pPr>
              <w:spacing w:before="60" w:after="60" w:line="220" w:lineRule="atLeast"/>
              <w:ind w:left="57" w:right="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  <w:r w:rsidR="00FC46EC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369</w:t>
            </w:r>
          </w:p>
        </w:tc>
        <w:tc>
          <w:tcPr>
            <w:tcW w:w="868" w:type="dxa"/>
            <w:vAlign w:val="bottom"/>
          </w:tcPr>
          <w:p w:rsidR="00A57F59" w:rsidRPr="0093536F" w:rsidRDefault="00A57F59" w:rsidP="00FC46EC">
            <w:pPr>
              <w:spacing w:before="60" w:after="60" w:line="220" w:lineRule="atLeast"/>
              <w:ind w:left="57" w:right="57"/>
              <w:jc w:val="right"/>
              <w:rPr>
                <w:b/>
                <w:sz w:val="18"/>
              </w:rPr>
            </w:pPr>
          </w:p>
        </w:tc>
        <w:tc>
          <w:tcPr>
            <w:tcW w:w="848" w:type="dxa"/>
            <w:vAlign w:val="bottom"/>
          </w:tcPr>
          <w:p w:rsidR="00A57F59" w:rsidRPr="0093536F" w:rsidRDefault="00A57F59" w:rsidP="00FC46EC">
            <w:pPr>
              <w:spacing w:before="60" w:after="60" w:line="220" w:lineRule="atLeast"/>
              <w:ind w:left="57" w:right="57"/>
              <w:jc w:val="right"/>
              <w:rPr>
                <w:b/>
                <w:sz w:val="18"/>
              </w:rPr>
            </w:pPr>
          </w:p>
        </w:tc>
        <w:tc>
          <w:tcPr>
            <w:tcW w:w="1133" w:type="dxa"/>
            <w:vAlign w:val="bottom"/>
          </w:tcPr>
          <w:p w:rsidR="00A57F59" w:rsidRPr="0093536F" w:rsidRDefault="00A57F59" w:rsidP="00FC46EC">
            <w:pPr>
              <w:spacing w:before="60" w:after="60" w:line="220" w:lineRule="atLeast"/>
              <w:ind w:left="57" w:right="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606</w:t>
            </w:r>
          </w:p>
        </w:tc>
      </w:tr>
    </w:tbl>
    <w:p w:rsidR="00A57F59" w:rsidRDefault="00A57F59" w:rsidP="00FC46EC">
      <w:pPr>
        <w:pStyle w:val="SingleTxtG"/>
        <w:jc w:val="right"/>
      </w:pPr>
      <w:r>
        <w:t> ».</w:t>
      </w:r>
    </w:p>
    <w:p w:rsidR="00A57F59" w:rsidRPr="00D92988" w:rsidRDefault="00A57F59" w:rsidP="00FC46EC">
      <w:pPr>
        <w:pStyle w:val="HChG"/>
      </w:pPr>
      <w:r>
        <w:rPr>
          <w:lang w:val="fr-FR"/>
        </w:rPr>
        <w:tab/>
      </w:r>
      <w:r w:rsidRPr="00D92988">
        <w:rPr>
          <w:lang w:val="fr-FR"/>
        </w:rPr>
        <w:t>II.</w:t>
      </w:r>
      <w:r w:rsidRPr="00D92988">
        <w:rPr>
          <w:lang w:val="fr-FR"/>
        </w:rPr>
        <w:tab/>
        <w:t>Justification</w:t>
      </w:r>
    </w:p>
    <w:p w:rsidR="00A57F59" w:rsidRPr="00D92988" w:rsidRDefault="00A57F59" w:rsidP="00FC46EC">
      <w:pPr>
        <w:pStyle w:val="SingleTxtG"/>
      </w:pPr>
      <w:r w:rsidRPr="00D92988">
        <w:rPr>
          <w:lang w:val="fr-FR"/>
        </w:rPr>
        <w:t>1.</w:t>
      </w:r>
      <w:r w:rsidRPr="00D92988">
        <w:rPr>
          <w:lang w:val="fr-FR"/>
        </w:rPr>
        <w:tab/>
        <w:t>Le texte actuel ne renvoie pas correctement au</w:t>
      </w:r>
      <w:r>
        <w:rPr>
          <w:lang w:val="fr-FR"/>
        </w:rPr>
        <w:t>x</w:t>
      </w:r>
      <w:r w:rsidRPr="00D92988">
        <w:rPr>
          <w:lang w:val="fr-FR"/>
        </w:rPr>
        <w:t xml:space="preserve"> bons paragraphes, suite à la renumérotation nécessaire en raison de l</w:t>
      </w:r>
      <w:r>
        <w:rPr>
          <w:lang w:val="fr-FR"/>
        </w:rPr>
        <w:t>’</w:t>
      </w:r>
      <w:r w:rsidRPr="00D92988">
        <w:rPr>
          <w:lang w:val="fr-FR"/>
        </w:rPr>
        <w:t xml:space="preserve">introduction des nouveaux paragraphes. </w:t>
      </w:r>
      <w:r>
        <w:rPr>
          <w:lang w:val="fr-FR"/>
        </w:rPr>
        <w:t>Après la séparation du</w:t>
      </w:r>
      <w:r w:rsidR="00271F46">
        <w:rPr>
          <w:lang w:val="fr-FR"/>
        </w:rPr>
        <w:t xml:space="preserve"> paragraphe 3.1 en paragraphes </w:t>
      </w:r>
      <w:r w:rsidRPr="00D92988">
        <w:rPr>
          <w:lang w:val="fr-FR"/>
        </w:rPr>
        <w:t>3.1.1 et 3.1.2, les paragraphes renvoyant au</w:t>
      </w:r>
      <w:r>
        <w:rPr>
          <w:lang w:val="fr-FR"/>
        </w:rPr>
        <w:t>x paragraphes</w:t>
      </w:r>
      <w:r w:rsidR="00271F46">
        <w:rPr>
          <w:lang w:val="fr-FR"/>
        </w:rPr>
        <w:t> </w:t>
      </w:r>
      <w:r w:rsidRPr="00D92988">
        <w:rPr>
          <w:lang w:val="fr-FR"/>
        </w:rPr>
        <w:t>3.1.1 et 3.1.2 n</w:t>
      </w:r>
      <w:r>
        <w:rPr>
          <w:lang w:val="fr-FR"/>
        </w:rPr>
        <w:t>’</w:t>
      </w:r>
      <w:r w:rsidRPr="00D92988">
        <w:rPr>
          <w:lang w:val="fr-FR"/>
        </w:rPr>
        <w:t xml:space="preserve">ont pas </w:t>
      </w:r>
      <w:r>
        <w:rPr>
          <w:lang w:val="fr-FR"/>
        </w:rPr>
        <w:t xml:space="preserve">tous été </w:t>
      </w:r>
      <w:r w:rsidRPr="00D92988">
        <w:rPr>
          <w:lang w:val="fr-FR"/>
        </w:rPr>
        <w:t>modifiés</w:t>
      </w:r>
      <w:r>
        <w:rPr>
          <w:lang w:val="fr-FR"/>
        </w:rPr>
        <w:t xml:space="preserve"> en conséquence.</w:t>
      </w:r>
    </w:p>
    <w:p w:rsidR="00A57F59" w:rsidRPr="00D92988" w:rsidRDefault="00A57F59" w:rsidP="00FC46EC">
      <w:pPr>
        <w:pStyle w:val="SingleTxtG"/>
      </w:pPr>
      <w:r w:rsidRPr="00D92988">
        <w:rPr>
          <w:lang w:val="fr-FR"/>
        </w:rPr>
        <w:t>2.</w:t>
      </w:r>
      <w:r w:rsidRPr="00D92988">
        <w:rPr>
          <w:lang w:val="fr-FR"/>
        </w:rPr>
        <w:tab/>
      </w:r>
      <w:r>
        <w:rPr>
          <w:lang w:val="fr-FR"/>
        </w:rPr>
        <w:t>Un</w:t>
      </w:r>
      <w:r w:rsidR="00271F46">
        <w:rPr>
          <w:lang w:val="fr-FR"/>
        </w:rPr>
        <w:t xml:space="preserve"> renvoi au paragraphe </w:t>
      </w:r>
      <w:r w:rsidRPr="00D92988">
        <w:rPr>
          <w:lang w:val="fr-FR"/>
        </w:rPr>
        <w:t xml:space="preserve">3.1.12 est ajouté </w:t>
      </w:r>
      <w:r>
        <w:rPr>
          <w:lang w:val="fr-FR"/>
        </w:rPr>
        <w:t>a</w:t>
      </w:r>
      <w:r w:rsidR="00271F46">
        <w:rPr>
          <w:lang w:val="fr-FR"/>
        </w:rPr>
        <w:t>u paragraphe </w:t>
      </w:r>
      <w:r w:rsidRPr="00D92988">
        <w:rPr>
          <w:lang w:val="fr-FR"/>
        </w:rPr>
        <w:t xml:space="preserve">3.4 pour assurer la cohérence avec le Règlement </w:t>
      </w:r>
      <w:r w:rsidRPr="00751ED9">
        <w:rPr>
          <w:rFonts w:eastAsia="MS Mincho"/>
          <w:szCs w:val="22"/>
          <w:lang w:val="fr-FR"/>
        </w:rPr>
        <w:t>n</w:t>
      </w:r>
      <w:r w:rsidRPr="00751ED9">
        <w:rPr>
          <w:rFonts w:eastAsia="MS Mincho"/>
          <w:szCs w:val="22"/>
          <w:vertAlign w:val="superscript"/>
          <w:lang w:val="fr-FR"/>
        </w:rPr>
        <w:t>o</w:t>
      </w:r>
      <w:r>
        <w:rPr>
          <w:lang w:val="fr-FR"/>
        </w:rPr>
        <w:t> </w:t>
      </w:r>
      <w:r w:rsidRPr="00D92988">
        <w:rPr>
          <w:lang w:val="fr-FR"/>
        </w:rPr>
        <w:t>30.</w:t>
      </w:r>
    </w:p>
    <w:p w:rsidR="00A57F59" w:rsidRPr="00D92988" w:rsidRDefault="00A57F59" w:rsidP="00FC46EC">
      <w:pPr>
        <w:pStyle w:val="SingleTxtG"/>
      </w:pPr>
      <w:r w:rsidRPr="00D92988">
        <w:rPr>
          <w:lang w:val="fr-FR"/>
        </w:rPr>
        <w:t>3.</w:t>
      </w:r>
      <w:r w:rsidRPr="00D92988">
        <w:rPr>
          <w:lang w:val="fr-FR"/>
        </w:rPr>
        <w:tab/>
        <w:t>La suppressi</w:t>
      </w:r>
      <w:r w:rsidR="00271F46">
        <w:rPr>
          <w:lang w:val="fr-FR"/>
        </w:rPr>
        <w:t>on du renvoi dans le paragraphe </w:t>
      </w:r>
      <w:r w:rsidRPr="00D92988">
        <w:rPr>
          <w:lang w:val="fr-FR"/>
        </w:rPr>
        <w:t>4.1.1 est proposé</w:t>
      </w:r>
      <w:r>
        <w:rPr>
          <w:lang w:val="fr-FR"/>
        </w:rPr>
        <w:t>e</w:t>
      </w:r>
      <w:r w:rsidRPr="00D92988">
        <w:rPr>
          <w:lang w:val="fr-FR"/>
        </w:rPr>
        <w:t xml:space="preserve"> par souci de cohérence avec l</w:t>
      </w:r>
      <w:r>
        <w:rPr>
          <w:lang w:val="fr-FR"/>
        </w:rPr>
        <w:t xml:space="preserve">e Règlement </w:t>
      </w:r>
      <w:r w:rsidRPr="00751ED9">
        <w:rPr>
          <w:rFonts w:eastAsia="MS Mincho"/>
          <w:szCs w:val="22"/>
          <w:lang w:val="fr-FR"/>
        </w:rPr>
        <w:t>n</w:t>
      </w:r>
      <w:r w:rsidRPr="00751ED9">
        <w:rPr>
          <w:rFonts w:eastAsia="MS Mincho"/>
          <w:szCs w:val="22"/>
          <w:vertAlign w:val="superscript"/>
          <w:lang w:val="fr-FR"/>
        </w:rPr>
        <w:t>o</w:t>
      </w:r>
      <w:r>
        <w:rPr>
          <w:lang w:val="fr-FR"/>
        </w:rPr>
        <w:t> 30 (rév</w:t>
      </w:r>
      <w:r w:rsidR="00271F46">
        <w:rPr>
          <w:lang w:val="fr-FR"/>
        </w:rPr>
        <w:t>ision </w:t>
      </w:r>
      <w:r>
        <w:rPr>
          <w:lang w:val="fr-FR"/>
        </w:rPr>
        <w:t>3, a</w:t>
      </w:r>
      <w:r w:rsidR="00271F46">
        <w:rPr>
          <w:lang w:val="fr-FR"/>
        </w:rPr>
        <w:t>mendement </w:t>
      </w:r>
      <w:r w:rsidRPr="00D92988">
        <w:rPr>
          <w:lang w:val="fr-FR"/>
        </w:rPr>
        <w:t>3, justifiée à l</w:t>
      </w:r>
      <w:r>
        <w:rPr>
          <w:lang w:val="fr-FR"/>
        </w:rPr>
        <w:t>’</w:t>
      </w:r>
      <w:r w:rsidRPr="00D92988">
        <w:rPr>
          <w:lang w:val="fr-FR"/>
        </w:rPr>
        <w:t xml:space="preserve">époque par le </w:t>
      </w:r>
      <w:r w:rsidRPr="00751ED9">
        <w:rPr>
          <w:spacing w:val="-2"/>
          <w:lang w:val="fr-FR"/>
        </w:rPr>
        <w:t>secrétariat qui avait demandé de « supprimer ce renvoi superflu »). Cette suppression</w:t>
      </w:r>
      <w:r w:rsidRPr="00D92988">
        <w:rPr>
          <w:lang w:val="fr-FR"/>
        </w:rPr>
        <w:t xml:space="preserve"> permettrait également de limiter les problème</w:t>
      </w:r>
      <w:r>
        <w:rPr>
          <w:lang w:val="fr-FR"/>
        </w:rPr>
        <w:t>s</w:t>
      </w:r>
      <w:r w:rsidRPr="00D92988">
        <w:rPr>
          <w:lang w:val="fr-FR"/>
        </w:rPr>
        <w:t xml:space="preserve"> de renumérotation en cas de nouveaux </w:t>
      </w:r>
      <w:r w:rsidRPr="00751ED9">
        <w:rPr>
          <w:spacing w:val="-2"/>
          <w:lang w:val="fr-FR"/>
        </w:rPr>
        <w:t>amendements (le paragraphe concerné a déjà été modifié de 2.17</w:t>
      </w:r>
      <w:r w:rsidRPr="00D92988">
        <w:rPr>
          <w:lang w:val="fr-FR"/>
        </w:rPr>
        <w:t xml:space="preserve"> à 2.</w:t>
      </w:r>
      <w:r w:rsidRPr="00751ED9">
        <w:rPr>
          <w:spacing w:val="-2"/>
          <w:lang w:val="fr-FR"/>
        </w:rPr>
        <w:t>19 par le complément</w:t>
      </w:r>
      <w:r>
        <w:rPr>
          <w:lang w:val="fr-FR"/>
        </w:rPr>
        <w:t> </w:t>
      </w:r>
      <w:r w:rsidRPr="00D92988">
        <w:rPr>
          <w:lang w:val="fr-FR"/>
        </w:rPr>
        <w:t>21).</w:t>
      </w:r>
    </w:p>
    <w:p w:rsidR="00A57F59" w:rsidRPr="00D92988" w:rsidRDefault="00A57F59" w:rsidP="00FC46EC">
      <w:pPr>
        <w:pStyle w:val="SingleTxtG"/>
      </w:pPr>
      <w:r w:rsidRPr="00D92988">
        <w:rPr>
          <w:lang w:val="fr-FR"/>
        </w:rPr>
        <w:t>4.</w:t>
      </w:r>
      <w:r w:rsidRPr="00D92988">
        <w:rPr>
          <w:lang w:val="fr-FR"/>
        </w:rPr>
        <w:tab/>
        <w:t>La suppression du mot « existant</w:t>
      </w:r>
      <w:r>
        <w:rPr>
          <w:lang w:val="fr-FR"/>
        </w:rPr>
        <w:t>s</w:t>
      </w:r>
      <w:r w:rsidR="00271F46">
        <w:rPr>
          <w:lang w:val="fr-FR"/>
        </w:rPr>
        <w:t> » aux paragraphes </w:t>
      </w:r>
      <w:r w:rsidRPr="00D92988">
        <w:rPr>
          <w:lang w:val="fr-FR"/>
        </w:rPr>
        <w:t>6.1.1.2 et 6.1.2.2 est proposé</w:t>
      </w:r>
      <w:r>
        <w:rPr>
          <w:lang w:val="fr-FR"/>
        </w:rPr>
        <w:t>e</w:t>
      </w:r>
      <w:r w:rsidRPr="00D92988">
        <w:rPr>
          <w:lang w:val="fr-FR"/>
        </w:rPr>
        <w:t xml:space="preserve"> par souci de cohérence avec les autres Règlements de l</w:t>
      </w:r>
      <w:r>
        <w:rPr>
          <w:lang w:val="fr-FR"/>
        </w:rPr>
        <w:t>’</w:t>
      </w:r>
      <w:r w:rsidRPr="00D92988">
        <w:rPr>
          <w:lang w:val="fr-FR"/>
        </w:rPr>
        <w:t>ONU concernant les pneumatiques.</w:t>
      </w:r>
    </w:p>
    <w:p w:rsidR="00A57F59" w:rsidRPr="00D92988" w:rsidRDefault="00A57F59" w:rsidP="00FC46EC">
      <w:pPr>
        <w:pStyle w:val="SingleTxtG"/>
      </w:pPr>
      <w:r w:rsidRPr="00D92988">
        <w:rPr>
          <w:lang w:val="fr-FR"/>
        </w:rPr>
        <w:t>5.</w:t>
      </w:r>
      <w:r w:rsidRPr="00D92988">
        <w:rPr>
          <w:lang w:val="fr-FR"/>
        </w:rPr>
        <w:tab/>
        <w:t xml:space="preserve">La modification du </w:t>
      </w:r>
      <w:r w:rsidR="00271F46">
        <w:rPr>
          <w:lang w:val="fr-FR"/>
        </w:rPr>
        <w:t>paragraphe </w:t>
      </w:r>
      <w:r w:rsidRPr="00D92988">
        <w:rPr>
          <w:lang w:val="fr-FR"/>
        </w:rPr>
        <w:t>6.1.4.2 vise à bien tenir compte des exigences concernant les désignations de dimension</w:t>
      </w:r>
      <w:r>
        <w:rPr>
          <w:lang w:val="fr-FR"/>
        </w:rPr>
        <w:t>s</w:t>
      </w:r>
      <w:r w:rsidRPr="00D92988">
        <w:rPr>
          <w:lang w:val="fr-FR"/>
        </w:rPr>
        <w:t xml:space="preserve"> à l</w:t>
      </w:r>
      <w:r>
        <w:rPr>
          <w:lang w:val="fr-FR"/>
        </w:rPr>
        <w:t>’</w:t>
      </w:r>
      <w:r w:rsidR="00271F46">
        <w:rPr>
          <w:lang w:val="fr-FR"/>
        </w:rPr>
        <w:t>annexe </w:t>
      </w:r>
      <w:r w:rsidRPr="00D92988">
        <w:rPr>
          <w:lang w:val="fr-FR"/>
        </w:rPr>
        <w:t>5, en sus de ce qui a déjà été exprimé. La largeur hors tout maximale établie par l</w:t>
      </w:r>
      <w:r>
        <w:rPr>
          <w:lang w:val="fr-FR"/>
        </w:rPr>
        <w:t>’</w:t>
      </w:r>
      <w:r w:rsidRPr="00D92988">
        <w:rPr>
          <w:lang w:val="fr-FR"/>
        </w:rPr>
        <w:t>ETRTO et la Tyre and Rim Association (TRA) a été choisie en tant que référence</w:t>
      </w:r>
      <w:r>
        <w:rPr>
          <w:lang w:val="fr-FR"/>
        </w:rPr>
        <w:t>.</w:t>
      </w:r>
    </w:p>
    <w:p w:rsidR="00A57F59" w:rsidRPr="00D92988" w:rsidRDefault="00A57F59" w:rsidP="00FC46EC">
      <w:pPr>
        <w:pStyle w:val="SingleTxtG"/>
      </w:pPr>
      <w:r w:rsidRPr="00D92988">
        <w:rPr>
          <w:lang w:val="fr-FR"/>
        </w:rPr>
        <w:t>6.</w:t>
      </w:r>
      <w:r w:rsidRPr="00D92988">
        <w:rPr>
          <w:lang w:val="fr-FR"/>
        </w:rPr>
        <w:tab/>
        <w:t>L</w:t>
      </w:r>
      <w:r>
        <w:rPr>
          <w:lang w:val="fr-FR"/>
        </w:rPr>
        <w:t>’</w:t>
      </w:r>
      <w:r w:rsidRPr="00D92988">
        <w:rPr>
          <w:lang w:val="fr-FR"/>
        </w:rPr>
        <w:t>ajout de note</w:t>
      </w:r>
      <w:r>
        <w:rPr>
          <w:lang w:val="fr-FR"/>
        </w:rPr>
        <w:t>s</w:t>
      </w:r>
      <w:r w:rsidRPr="00D92988">
        <w:rPr>
          <w:lang w:val="fr-FR"/>
        </w:rPr>
        <w:t xml:space="preserve"> </w:t>
      </w:r>
      <w:r>
        <w:rPr>
          <w:lang w:val="fr-FR"/>
        </w:rPr>
        <w:t>a</w:t>
      </w:r>
      <w:r w:rsidRPr="00D92988">
        <w:rPr>
          <w:lang w:val="fr-FR"/>
        </w:rPr>
        <w:t xml:space="preserve">u tableau B de la </w:t>
      </w:r>
      <w:r>
        <w:rPr>
          <w:lang w:val="fr-FR"/>
        </w:rPr>
        <w:t xml:space="preserve">deuxième </w:t>
      </w:r>
      <w:r w:rsidRPr="00D92988">
        <w:rPr>
          <w:lang w:val="fr-FR"/>
        </w:rPr>
        <w:t>partie de l</w:t>
      </w:r>
      <w:r>
        <w:rPr>
          <w:lang w:val="fr-FR"/>
        </w:rPr>
        <w:t>’</w:t>
      </w:r>
      <w:r w:rsidR="00271F46">
        <w:rPr>
          <w:lang w:val="fr-FR"/>
        </w:rPr>
        <w:t>annexe </w:t>
      </w:r>
      <w:r w:rsidRPr="00D92988">
        <w:rPr>
          <w:lang w:val="fr-FR"/>
        </w:rPr>
        <w:t xml:space="preserve">5 </w:t>
      </w:r>
      <w:r w:rsidRPr="00751ED9">
        <w:rPr>
          <w:spacing w:val="-2"/>
          <w:lang w:val="fr-FR"/>
        </w:rPr>
        <w:t>vise à répondre à la demande formulée par le GRRF à l</w:t>
      </w:r>
      <w:r>
        <w:rPr>
          <w:spacing w:val="-2"/>
          <w:lang w:val="fr-FR"/>
        </w:rPr>
        <w:t>’</w:t>
      </w:r>
      <w:r w:rsidRPr="00751ED9">
        <w:rPr>
          <w:spacing w:val="-2"/>
          <w:lang w:val="fr-FR"/>
        </w:rPr>
        <w:t>ETRTO</w:t>
      </w:r>
      <w:r w:rsidRPr="00D92988">
        <w:rPr>
          <w:lang w:val="fr-FR"/>
        </w:rPr>
        <w:t xml:space="preserve"> (« ... introduire les formules appropriées dans le Règlement au lieu de mettre continuellement à jour l</w:t>
      </w:r>
      <w:r>
        <w:rPr>
          <w:lang w:val="fr-FR"/>
        </w:rPr>
        <w:t>’</w:t>
      </w:r>
      <w:r w:rsidR="00271F46">
        <w:rPr>
          <w:lang w:val="fr-FR"/>
        </w:rPr>
        <w:t>annexe </w:t>
      </w:r>
      <w:r w:rsidRPr="00D92988">
        <w:rPr>
          <w:lang w:val="fr-FR"/>
        </w:rPr>
        <w:t>5. »</w:t>
      </w:r>
      <w:r>
        <w:rPr>
          <w:lang w:val="fr-FR"/>
        </w:rPr>
        <w:t>.</w:t>
      </w:r>
      <w:r w:rsidR="00271F46">
        <w:rPr>
          <w:lang w:val="fr-FR"/>
        </w:rPr>
        <w:t xml:space="preserve"> − </w:t>
      </w:r>
      <w:r w:rsidRPr="00D92988">
        <w:rPr>
          <w:lang w:val="fr-FR"/>
        </w:rPr>
        <w:t>voir ECE/TRANS/WP.29/GRRF/83, par.</w:t>
      </w:r>
      <w:r>
        <w:rPr>
          <w:lang w:val="fr-FR"/>
        </w:rPr>
        <w:t> </w:t>
      </w:r>
      <w:r w:rsidRPr="00D92988">
        <w:rPr>
          <w:lang w:val="fr-FR"/>
        </w:rPr>
        <w:t>36)</w:t>
      </w:r>
      <w:r>
        <w:rPr>
          <w:lang w:val="fr-FR"/>
        </w:rPr>
        <w:t>.</w:t>
      </w:r>
    </w:p>
    <w:p w:rsidR="00A57F59" w:rsidRDefault="00A57F59" w:rsidP="00FC46EC">
      <w:pPr>
        <w:pStyle w:val="SingleTxtG"/>
        <w:rPr>
          <w:lang w:val="fr-FR"/>
        </w:rPr>
      </w:pPr>
      <w:r w:rsidRPr="00D92988">
        <w:rPr>
          <w:lang w:val="fr-FR"/>
        </w:rPr>
        <w:t>7.</w:t>
      </w:r>
      <w:r w:rsidRPr="00D92988">
        <w:rPr>
          <w:lang w:val="fr-FR"/>
        </w:rPr>
        <w:tab/>
        <w:t>L</w:t>
      </w:r>
      <w:r>
        <w:rPr>
          <w:lang w:val="fr-FR"/>
        </w:rPr>
        <w:t>’</w:t>
      </w:r>
      <w:r w:rsidRPr="00D92988">
        <w:rPr>
          <w:lang w:val="fr-FR"/>
        </w:rPr>
        <w:t>ajout de dimension</w:t>
      </w:r>
      <w:r>
        <w:rPr>
          <w:lang w:val="fr-FR"/>
        </w:rPr>
        <w:t>s</w:t>
      </w:r>
      <w:r w:rsidRPr="00D92988">
        <w:rPr>
          <w:lang w:val="fr-FR"/>
        </w:rPr>
        <w:t xml:space="preserve"> dans le</w:t>
      </w:r>
      <w:r>
        <w:rPr>
          <w:lang w:val="fr-FR"/>
        </w:rPr>
        <w:t>s</w:t>
      </w:r>
      <w:r w:rsidRPr="00D92988">
        <w:rPr>
          <w:lang w:val="fr-FR"/>
        </w:rPr>
        <w:t xml:space="preserve"> tableau</w:t>
      </w:r>
      <w:r>
        <w:rPr>
          <w:lang w:val="fr-FR"/>
        </w:rPr>
        <w:t>x</w:t>
      </w:r>
      <w:r w:rsidRPr="00D92988">
        <w:rPr>
          <w:lang w:val="fr-FR"/>
        </w:rPr>
        <w:t xml:space="preserve"> C </w:t>
      </w:r>
      <w:r>
        <w:rPr>
          <w:lang w:val="fr-FR"/>
        </w:rPr>
        <w:t>et E de</w:t>
      </w:r>
      <w:r w:rsidRPr="00D92988">
        <w:rPr>
          <w:lang w:val="fr-FR"/>
        </w:rPr>
        <w:t xml:space="preserve"> la </w:t>
      </w:r>
      <w:r>
        <w:rPr>
          <w:lang w:val="fr-FR"/>
        </w:rPr>
        <w:t xml:space="preserve">deuxième </w:t>
      </w:r>
      <w:r w:rsidRPr="00D92988">
        <w:rPr>
          <w:lang w:val="fr-FR"/>
        </w:rPr>
        <w:t xml:space="preserve">partie </w:t>
      </w:r>
      <w:r>
        <w:rPr>
          <w:lang w:val="fr-FR"/>
        </w:rPr>
        <w:t>de l’</w:t>
      </w:r>
      <w:r w:rsidR="00271F46">
        <w:rPr>
          <w:lang w:val="fr-FR"/>
        </w:rPr>
        <w:t>annexe </w:t>
      </w:r>
      <w:r>
        <w:rPr>
          <w:lang w:val="fr-FR"/>
        </w:rPr>
        <w:t>5</w:t>
      </w:r>
      <w:r w:rsidRPr="00D92988">
        <w:rPr>
          <w:lang w:val="fr-FR"/>
        </w:rPr>
        <w:t xml:space="preserve"> est nécessaire étant donné que l</w:t>
      </w:r>
      <w:r>
        <w:rPr>
          <w:lang w:val="fr-FR"/>
        </w:rPr>
        <w:t xml:space="preserve">es </w:t>
      </w:r>
      <w:r w:rsidRPr="00D92988">
        <w:rPr>
          <w:lang w:val="fr-FR"/>
        </w:rPr>
        <w:t>ancienne</w:t>
      </w:r>
      <w:r>
        <w:rPr>
          <w:lang w:val="fr-FR"/>
        </w:rPr>
        <w:t>s</w:t>
      </w:r>
      <w:r w:rsidRPr="00D92988">
        <w:rPr>
          <w:lang w:val="fr-FR"/>
        </w:rPr>
        <w:t xml:space="preserve"> dimension</w:t>
      </w:r>
      <w:r>
        <w:rPr>
          <w:lang w:val="fr-FR"/>
        </w:rPr>
        <w:t>s</w:t>
      </w:r>
      <w:r w:rsidRPr="00D92988">
        <w:rPr>
          <w:lang w:val="fr-FR"/>
        </w:rPr>
        <w:t xml:space="preserve"> n</w:t>
      </w:r>
      <w:r>
        <w:rPr>
          <w:lang w:val="fr-FR"/>
        </w:rPr>
        <w:t xml:space="preserve">e </w:t>
      </w:r>
      <w:r w:rsidRPr="00D92988">
        <w:rPr>
          <w:lang w:val="fr-FR"/>
        </w:rPr>
        <w:t>s</w:t>
      </w:r>
      <w:r>
        <w:rPr>
          <w:lang w:val="fr-FR"/>
        </w:rPr>
        <w:t>on</w:t>
      </w:r>
      <w:r w:rsidRPr="00D92988">
        <w:rPr>
          <w:lang w:val="fr-FR"/>
        </w:rPr>
        <w:t>t pas conforme</w:t>
      </w:r>
      <w:r>
        <w:rPr>
          <w:lang w:val="fr-FR"/>
        </w:rPr>
        <w:t>s</w:t>
      </w:r>
      <w:r w:rsidRPr="00D92988">
        <w:rPr>
          <w:lang w:val="fr-FR"/>
        </w:rPr>
        <w:t xml:space="preserve"> aux directives/formules applicables aux pneumatiques très basse pression.</w:t>
      </w:r>
    </w:p>
    <w:p w:rsidR="00F9573C" w:rsidRPr="00FC46EC" w:rsidRDefault="00FC46EC" w:rsidP="00FC46EC">
      <w:pPr>
        <w:pStyle w:val="SingleTxtG"/>
        <w:spacing w:before="240" w:after="0"/>
        <w:jc w:val="center"/>
        <w:rPr>
          <w:u w:val="single"/>
          <w:lang w:val="fr-FR"/>
        </w:rPr>
      </w:pP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</w:p>
    <w:sectPr w:rsidR="00F9573C" w:rsidRPr="00FC46EC" w:rsidSect="000F08F2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CAD" w:rsidRDefault="00D71CAD" w:rsidP="00F95C08">
      <w:pPr>
        <w:spacing w:line="240" w:lineRule="auto"/>
      </w:pPr>
    </w:p>
  </w:endnote>
  <w:endnote w:type="continuationSeparator" w:id="0">
    <w:p w:rsidR="00D71CAD" w:rsidRPr="00AC3823" w:rsidRDefault="00D71CAD" w:rsidP="00AC3823">
      <w:pPr>
        <w:pStyle w:val="Footer"/>
      </w:pPr>
    </w:p>
  </w:endnote>
  <w:endnote w:type="continuationNotice" w:id="1">
    <w:p w:rsidR="00D71CAD" w:rsidRDefault="00D71CA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8F2" w:rsidRPr="000F08F2" w:rsidRDefault="000F08F2" w:rsidP="000F08F2">
    <w:pPr>
      <w:pStyle w:val="Footer"/>
      <w:tabs>
        <w:tab w:val="right" w:pos="9638"/>
      </w:tabs>
    </w:pPr>
    <w:r w:rsidRPr="000F08F2">
      <w:rPr>
        <w:b/>
        <w:sz w:val="18"/>
      </w:rPr>
      <w:fldChar w:fldCharType="begin"/>
    </w:r>
    <w:r w:rsidRPr="000F08F2">
      <w:rPr>
        <w:b/>
        <w:sz w:val="18"/>
      </w:rPr>
      <w:instrText xml:space="preserve"> PAGE  \* MERGEFORMAT </w:instrText>
    </w:r>
    <w:r w:rsidRPr="000F08F2">
      <w:rPr>
        <w:b/>
        <w:sz w:val="18"/>
      </w:rPr>
      <w:fldChar w:fldCharType="separate"/>
    </w:r>
    <w:r w:rsidR="00A54498">
      <w:rPr>
        <w:b/>
        <w:noProof/>
        <w:sz w:val="18"/>
      </w:rPr>
      <w:t>2</w:t>
    </w:r>
    <w:r w:rsidRPr="000F08F2">
      <w:rPr>
        <w:b/>
        <w:sz w:val="18"/>
      </w:rPr>
      <w:fldChar w:fldCharType="end"/>
    </w:r>
    <w:r>
      <w:rPr>
        <w:b/>
        <w:sz w:val="18"/>
      </w:rPr>
      <w:tab/>
    </w:r>
    <w:r>
      <w:t>GE.17-21400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8F2" w:rsidRPr="000F08F2" w:rsidRDefault="000F08F2" w:rsidP="000F08F2">
    <w:pPr>
      <w:pStyle w:val="Footer"/>
      <w:tabs>
        <w:tab w:val="right" w:pos="9638"/>
      </w:tabs>
      <w:rPr>
        <w:b/>
        <w:sz w:val="18"/>
      </w:rPr>
    </w:pPr>
    <w:r>
      <w:t>GE.17-21400</w:t>
    </w:r>
    <w:r>
      <w:tab/>
    </w:r>
    <w:r w:rsidRPr="000F08F2">
      <w:rPr>
        <w:b/>
        <w:sz w:val="18"/>
      </w:rPr>
      <w:fldChar w:fldCharType="begin"/>
    </w:r>
    <w:r w:rsidRPr="000F08F2">
      <w:rPr>
        <w:b/>
        <w:sz w:val="18"/>
      </w:rPr>
      <w:instrText xml:space="preserve"> PAGE  \* MERGEFORMAT </w:instrText>
    </w:r>
    <w:r w:rsidRPr="000F08F2">
      <w:rPr>
        <w:b/>
        <w:sz w:val="18"/>
      </w:rPr>
      <w:fldChar w:fldCharType="separate"/>
    </w:r>
    <w:r w:rsidR="00A54498">
      <w:rPr>
        <w:b/>
        <w:noProof/>
        <w:sz w:val="18"/>
      </w:rPr>
      <w:t>3</w:t>
    </w:r>
    <w:r w:rsidRPr="000F08F2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0FA" w:rsidRPr="000F08F2" w:rsidRDefault="000F08F2" w:rsidP="000F08F2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60288" behindDoc="0" locked="0" layoutInCell="1" allowOverlap="0" wp14:anchorId="16F634A7" wp14:editId="7E4EAD8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17-21400  (F)</w:t>
    </w:r>
    <w:r w:rsidR="00D84422">
      <w:rPr>
        <w:sz w:val="20"/>
      </w:rPr>
      <w:t xml:space="preserve">    261217    281217</w:t>
    </w:r>
    <w:r>
      <w:rPr>
        <w:sz w:val="20"/>
      </w:rPr>
      <w:br/>
    </w:r>
    <w:r w:rsidRPr="000F08F2">
      <w:rPr>
        <w:rFonts w:ascii="C39T30Lfz" w:hAnsi="C39T30Lfz"/>
        <w:sz w:val="56"/>
      </w:rPr>
      <w:t></w:t>
    </w:r>
    <w:r w:rsidRPr="000F08F2">
      <w:rPr>
        <w:rFonts w:ascii="C39T30Lfz" w:hAnsi="C39T30Lfz"/>
        <w:sz w:val="56"/>
      </w:rPr>
      <w:t></w:t>
    </w:r>
    <w:r w:rsidRPr="000F08F2">
      <w:rPr>
        <w:rFonts w:ascii="C39T30Lfz" w:hAnsi="C39T30Lfz"/>
        <w:sz w:val="56"/>
      </w:rPr>
      <w:t></w:t>
    </w:r>
    <w:r w:rsidRPr="000F08F2">
      <w:rPr>
        <w:rFonts w:ascii="C39T30Lfz" w:hAnsi="C39T30Lfz"/>
        <w:sz w:val="56"/>
      </w:rPr>
      <w:t></w:t>
    </w:r>
    <w:r w:rsidRPr="000F08F2">
      <w:rPr>
        <w:rFonts w:ascii="C39T30Lfz" w:hAnsi="C39T30Lfz"/>
        <w:sz w:val="56"/>
      </w:rPr>
      <w:t></w:t>
    </w:r>
    <w:r w:rsidRPr="000F08F2">
      <w:rPr>
        <w:rFonts w:ascii="C39T30Lfz" w:hAnsi="C39T30Lfz"/>
        <w:sz w:val="56"/>
      </w:rPr>
      <w:t></w:t>
    </w:r>
    <w:r w:rsidRPr="000F08F2">
      <w:rPr>
        <w:rFonts w:ascii="C39T30Lfz" w:hAnsi="C39T30Lfz"/>
        <w:sz w:val="56"/>
      </w:rPr>
      <w:t></w:t>
    </w:r>
    <w:r w:rsidRPr="000F08F2">
      <w:rPr>
        <w:rFonts w:ascii="C39T30Lfz" w:hAnsi="C39T30Lfz"/>
        <w:sz w:val="56"/>
      </w:rPr>
      <w:t></w:t>
    </w:r>
    <w:r w:rsidRPr="000F08F2">
      <w:rPr>
        <w:rFonts w:ascii="C39T30Lfz" w:hAnsi="C39T30Lfz"/>
        <w:sz w:val="56"/>
      </w:rPr>
      <w:t></w:t>
    </w:r>
    <w:r>
      <w:rPr>
        <w:noProof/>
        <w:sz w:val="20"/>
        <w:lang w:eastAsia="fr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29/GRRF/2018/5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RF/2018/5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CAD" w:rsidRPr="00AC3823" w:rsidRDefault="00D71CAD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D71CAD" w:rsidRPr="00AC3823" w:rsidRDefault="00D71CAD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D71CAD" w:rsidRPr="00AC3823" w:rsidRDefault="00D71CAD">
      <w:pPr>
        <w:spacing w:line="240" w:lineRule="auto"/>
        <w:rPr>
          <w:sz w:val="2"/>
          <w:szCs w:val="2"/>
        </w:rPr>
      </w:pPr>
    </w:p>
  </w:footnote>
  <w:footnote w:id="2">
    <w:p w:rsidR="00A57F59" w:rsidRPr="00471E89" w:rsidRDefault="00A57F59" w:rsidP="00A57F59">
      <w:pPr>
        <w:pStyle w:val="FootnoteText"/>
      </w:pPr>
      <w:r w:rsidRPr="00A57F59">
        <w:rPr>
          <w:rStyle w:val="FootnoteReference"/>
          <w:vertAlign w:val="baseline"/>
        </w:rPr>
        <w:tab/>
      </w:r>
      <w:r w:rsidRPr="00A57F59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</w:rPr>
        <w:tab/>
      </w:r>
      <w:r w:rsidRPr="00471E89">
        <w:rPr>
          <w:spacing w:val="-2"/>
          <w:lang w:val="fr-FR"/>
        </w:rPr>
        <w:t>Conformément au programme de travail du Comité des transports intérieurs</w:t>
      </w:r>
      <w:r>
        <w:rPr>
          <w:lang w:val="fr-FR"/>
        </w:rPr>
        <w:t xml:space="preserve"> pour la période 2014-2018 (ECE/TRANS/240, par. 105, et ECE/TRANS/2014/26, activité 02.4), le Forum mondial a pour mission d’élaborer, d’harmoniser et de mettre à jour les Règlements en vue d’améliorer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8F2" w:rsidRPr="000F08F2" w:rsidRDefault="00A54498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823CF1">
      <w:t>ECE/TRANS/WP.29/GRRF/2018/5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8F2" w:rsidRPr="000F08F2" w:rsidRDefault="00A54498" w:rsidP="000F08F2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823CF1">
      <w:t>ECE/TRANS/WP.29/GRRF/2018/5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567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CAD"/>
    <w:rsid w:val="00017F94"/>
    <w:rsid w:val="00023842"/>
    <w:rsid w:val="00032A50"/>
    <w:rsid w:val="000334F9"/>
    <w:rsid w:val="00045FEB"/>
    <w:rsid w:val="0007796D"/>
    <w:rsid w:val="000A5DD8"/>
    <w:rsid w:val="000B7790"/>
    <w:rsid w:val="000F08F2"/>
    <w:rsid w:val="00111F2F"/>
    <w:rsid w:val="0014365E"/>
    <w:rsid w:val="00143C66"/>
    <w:rsid w:val="0016724B"/>
    <w:rsid w:val="00176178"/>
    <w:rsid w:val="001D7DC9"/>
    <w:rsid w:val="001F525A"/>
    <w:rsid w:val="00223272"/>
    <w:rsid w:val="0024779E"/>
    <w:rsid w:val="00257168"/>
    <w:rsid w:val="00271F46"/>
    <w:rsid w:val="002744B8"/>
    <w:rsid w:val="002832AC"/>
    <w:rsid w:val="002D7C93"/>
    <w:rsid w:val="00305801"/>
    <w:rsid w:val="00333DE7"/>
    <w:rsid w:val="003916DE"/>
    <w:rsid w:val="003A398E"/>
    <w:rsid w:val="00441C3B"/>
    <w:rsid w:val="00446FE5"/>
    <w:rsid w:val="00452235"/>
    <w:rsid w:val="00452396"/>
    <w:rsid w:val="004837D8"/>
    <w:rsid w:val="00485B78"/>
    <w:rsid w:val="004E468C"/>
    <w:rsid w:val="005505B7"/>
    <w:rsid w:val="00573BE5"/>
    <w:rsid w:val="00586ED3"/>
    <w:rsid w:val="00596AA9"/>
    <w:rsid w:val="0067572F"/>
    <w:rsid w:val="0071601D"/>
    <w:rsid w:val="007A62E6"/>
    <w:rsid w:val="007F20FA"/>
    <w:rsid w:val="0080684C"/>
    <w:rsid w:val="00823CF1"/>
    <w:rsid w:val="00824DAF"/>
    <w:rsid w:val="00871C75"/>
    <w:rsid w:val="008776DC"/>
    <w:rsid w:val="009446C0"/>
    <w:rsid w:val="009705C8"/>
    <w:rsid w:val="00971A63"/>
    <w:rsid w:val="009C1CF4"/>
    <w:rsid w:val="009F6B74"/>
    <w:rsid w:val="00A30353"/>
    <w:rsid w:val="00A54498"/>
    <w:rsid w:val="00A57F59"/>
    <w:rsid w:val="00AC3823"/>
    <w:rsid w:val="00AE323C"/>
    <w:rsid w:val="00AF0CB5"/>
    <w:rsid w:val="00B00181"/>
    <w:rsid w:val="00B00B0D"/>
    <w:rsid w:val="00B765F7"/>
    <w:rsid w:val="00BA0CA9"/>
    <w:rsid w:val="00C02897"/>
    <w:rsid w:val="00C4145E"/>
    <w:rsid w:val="00C97039"/>
    <w:rsid w:val="00D22611"/>
    <w:rsid w:val="00D3439C"/>
    <w:rsid w:val="00D71CAD"/>
    <w:rsid w:val="00D84422"/>
    <w:rsid w:val="00DB1831"/>
    <w:rsid w:val="00DD3BFD"/>
    <w:rsid w:val="00DF6678"/>
    <w:rsid w:val="00E0299A"/>
    <w:rsid w:val="00E17E2D"/>
    <w:rsid w:val="00E85C74"/>
    <w:rsid w:val="00EA6547"/>
    <w:rsid w:val="00ED6DAD"/>
    <w:rsid w:val="00EF2E22"/>
    <w:rsid w:val="00F0207A"/>
    <w:rsid w:val="00F35BAF"/>
    <w:rsid w:val="00F53858"/>
    <w:rsid w:val="00F611B2"/>
    <w:rsid w:val="00F660DF"/>
    <w:rsid w:val="00F94664"/>
    <w:rsid w:val="00F9573C"/>
    <w:rsid w:val="00F95C08"/>
    <w:rsid w:val="00FA6547"/>
    <w:rsid w:val="00FA6EC7"/>
    <w:rsid w:val="00FC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0EF25250-930D-4153-840C-FC2485897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,(Footnote Reference),BVI fnr, BVI fnr,Footnote symbol,Footnote,Footnote Reference Superscript,SUPERS,-E Fußnotenzeichen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1336</Words>
  <Characters>7617</Characters>
  <Application>Microsoft Office Word</Application>
  <DocSecurity>4</DocSecurity>
  <Lines>63</Lines>
  <Paragraphs>17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Titres</vt:lpstr>
      </vt:variant>
      <vt:variant>
        <vt:i4>2</vt:i4>
      </vt:variant>
    </vt:vector>
  </HeadingPairs>
  <TitlesOfParts>
    <vt:vector size="4" baseType="lpstr">
      <vt:lpstr>ECE/TRANS/WP.29/GRRF/2018/5</vt:lpstr>
      <vt:lpstr>ECE/TRANS/WP.29/GRRF/2018/5</vt:lpstr>
      <vt:lpstr>« Tableau C Pneumatiques désignés par un code montés sur jantes inclinées de 5  </vt:lpstr>
      <vt:lpstr>« Tableau E  Pneumatiques désignés par un code montés sur jantes inclinées de 15</vt:lpstr>
    </vt:vector>
  </TitlesOfParts>
  <Company>DCM</Company>
  <LinksUpToDate>false</LinksUpToDate>
  <CharactersWithSpaces>8936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ECE/TRANS/WP.29/GRRF/2018/5</dc:title>
  <dc:subject/>
  <dc:creator>Maud DARICHE</dc:creator>
  <cp:keywords/>
  <cp:lastModifiedBy>Benedicte Boudol</cp:lastModifiedBy>
  <cp:revision>2</cp:revision>
  <cp:lastPrinted>2017-12-28T14:40:00Z</cp:lastPrinted>
  <dcterms:created xsi:type="dcterms:W3CDTF">2017-12-28T15:25:00Z</dcterms:created>
  <dcterms:modified xsi:type="dcterms:W3CDTF">2017-12-28T15:25:00Z</dcterms:modified>
</cp:coreProperties>
</file>