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AF06B5" w:rsidRPr="00E15955" w14:paraId="5FC283AB" w14:textId="77777777" w:rsidTr="003604F5">
        <w:trPr>
          <w:trHeight w:val="855"/>
        </w:trPr>
        <w:tc>
          <w:tcPr>
            <w:tcW w:w="5812" w:type="dxa"/>
          </w:tcPr>
          <w:p w14:paraId="5BE857D4" w14:textId="390D4E5C" w:rsidR="00AF06B5" w:rsidRPr="003604F5" w:rsidRDefault="00AF06B5" w:rsidP="00CB7F3B">
            <w:pPr>
              <w:rPr>
                <w:caps/>
                <w:lang w:val="en-US"/>
              </w:rPr>
            </w:pPr>
            <w:bookmarkStart w:id="0" w:name="_GoBack"/>
            <w:bookmarkEnd w:id="0"/>
            <w:r w:rsidRPr="00715587">
              <w:rPr>
                <w:lang w:val="en-US"/>
              </w:rPr>
              <w:t xml:space="preserve">Transmitted by </w:t>
            </w:r>
            <w:r w:rsidR="008F307D">
              <w:rPr>
                <w:lang w:val="en-US"/>
              </w:rPr>
              <w:t xml:space="preserve">the expert </w:t>
            </w:r>
            <w:r w:rsidR="008F307D" w:rsidRPr="00CB7F3B">
              <w:rPr>
                <w:lang w:val="en-US"/>
              </w:rPr>
              <w:t xml:space="preserve">from </w:t>
            </w:r>
            <w:r w:rsidR="00F5051A" w:rsidRPr="00CB7F3B">
              <w:rPr>
                <w:lang w:val="en-US"/>
              </w:rPr>
              <w:t>OICA</w:t>
            </w:r>
          </w:p>
        </w:tc>
        <w:tc>
          <w:tcPr>
            <w:tcW w:w="3827" w:type="dxa"/>
          </w:tcPr>
          <w:p w14:paraId="7B7E4DEF" w14:textId="5D4E4C04" w:rsidR="008F307D" w:rsidRPr="00BE0DF3" w:rsidRDefault="008F307D" w:rsidP="00DA2540">
            <w:pPr>
              <w:rPr>
                <w:b/>
                <w:bCs/>
                <w:lang w:val="en-GB" w:eastAsia="ar-SA"/>
              </w:rPr>
            </w:pPr>
            <w:r w:rsidRPr="00BE0DF3">
              <w:rPr>
                <w:u w:val="single"/>
                <w:lang w:val="en-GB" w:eastAsia="ar-SA"/>
              </w:rPr>
              <w:t xml:space="preserve">Informal document </w:t>
            </w:r>
            <w:r w:rsidR="003648D6" w:rsidRPr="00BE0DF3">
              <w:rPr>
                <w:b/>
                <w:bCs/>
                <w:lang w:val="en-GB" w:eastAsia="ar-SA"/>
              </w:rPr>
              <w:t>WP.29-17</w:t>
            </w:r>
            <w:r w:rsidR="00DA2540">
              <w:rPr>
                <w:b/>
                <w:bCs/>
                <w:lang w:val="en-GB" w:eastAsia="ar-SA"/>
              </w:rPr>
              <w:t>5</w:t>
            </w:r>
            <w:r w:rsidR="00F5051A">
              <w:rPr>
                <w:b/>
                <w:bCs/>
                <w:lang w:val="en-GB" w:eastAsia="ar-SA"/>
              </w:rPr>
              <w:t>-</w:t>
            </w:r>
            <w:r w:rsidR="006D7CB8">
              <w:rPr>
                <w:b/>
                <w:bCs/>
                <w:lang w:val="en-GB" w:eastAsia="ar-SA"/>
              </w:rPr>
              <w:t>27</w:t>
            </w:r>
          </w:p>
          <w:p w14:paraId="3780B592" w14:textId="06B4A3F8" w:rsidR="00AF06B5" w:rsidRPr="00715587" w:rsidRDefault="003648D6" w:rsidP="00DA2540">
            <w:pPr>
              <w:rPr>
                <w:bCs/>
                <w:lang w:val="en-US"/>
              </w:rPr>
            </w:pPr>
            <w:r>
              <w:rPr>
                <w:lang w:val="pt-BR"/>
              </w:rPr>
              <w:t>(17</w:t>
            </w:r>
            <w:r w:rsidR="00DA2540">
              <w:rPr>
                <w:lang w:val="pt-BR"/>
              </w:rPr>
              <w:t>5</w:t>
            </w:r>
            <w:r w:rsidR="00E15955" w:rsidRPr="00DA2540">
              <w:rPr>
                <w:vertAlign w:val="superscript"/>
                <w:lang w:val="pt-BR"/>
              </w:rPr>
              <w:t>th</w:t>
            </w:r>
            <w:r w:rsidR="00E15955">
              <w:rPr>
                <w:lang w:val="pt-BR"/>
              </w:rPr>
              <w:t xml:space="preserve"> W</w:t>
            </w:r>
            <w:r>
              <w:rPr>
                <w:lang w:val="pt-BR"/>
              </w:rPr>
              <w:t xml:space="preserve">P.29, </w:t>
            </w:r>
            <w:r w:rsidR="001B2CA7">
              <w:rPr>
                <w:lang w:val="pt-BR"/>
              </w:rPr>
              <w:t>1</w:t>
            </w:r>
            <w:r w:rsidR="00E15955">
              <w:rPr>
                <w:lang w:val="pt-BR"/>
              </w:rPr>
              <w:t>9</w:t>
            </w:r>
            <w:r w:rsidR="001B2CA7">
              <w:rPr>
                <w:lang w:val="pt-BR"/>
              </w:rPr>
              <w:t>-</w:t>
            </w:r>
            <w:r w:rsidR="00E15955">
              <w:rPr>
                <w:lang w:val="pt-BR"/>
              </w:rPr>
              <w:t>22 June 2018</w:t>
            </w:r>
            <w:r w:rsidR="008F307D" w:rsidRPr="008B3FED">
              <w:rPr>
                <w:lang w:val="pt-BR"/>
              </w:rPr>
              <w:t>,</w:t>
            </w:r>
            <w:r w:rsidR="008F307D" w:rsidRPr="008B3FED">
              <w:rPr>
                <w:lang w:val="pt-BR"/>
              </w:rPr>
              <w:br/>
              <w:t xml:space="preserve">agenda item </w:t>
            </w:r>
            <w:r w:rsidR="00F5051A">
              <w:rPr>
                <w:lang w:val="pt-BR"/>
              </w:rPr>
              <w:t>20</w:t>
            </w:r>
            <w:r w:rsidR="00E35F2F">
              <w:rPr>
                <w:lang w:val="pt-BR"/>
              </w:rPr>
              <w:t>.1</w:t>
            </w:r>
            <w:r w:rsidR="008F307D" w:rsidRPr="008B3FED">
              <w:rPr>
                <w:lang w:val="pt-BR"/>
              </w:rPr>
              <w:t>)</w:t>
            </w:r>
          </w:p>
        </w:tc>
      </w:tr>
    </w:tbl>
    <w:p w14:paraId="44422AF6" w14:textId="071E1054" w:rsidR="00CC1841" w:rsidRPr="00CC1841" w:rsidRDefault="00AF06B5" w:rsidP="00DA2540">
      <w:pPr>
        <w:pStyle w:val="HChG"/>
        <w:ind w:right="0" w:firstLine="0"/>
        <w:jc w:val="center"/>
        <w:rPr>
          <w:lang w:val="en-US"/>
        </w:rPr>
      </w:pPr>
      <w:r w:rsidRPr="00AF2205">
        <w:rPr>
          <w:lang w:val="en-GB"/>
        </w:rPr>
        <w:t xml:space="preserve">Proposal </w:t>
      </w:r>
      <w:r w:rsidRPr="00A62A78">
        <w:rPr>
          <w:rFonts w:hint="eastAsia"/>
          <w:lang w:val="en-GB"/>
        </w:rPr>
        <w:t xml:space="preserve">to amend </w:t>
      </w:r>
      <w:r w:rsidR="00F5051A">
        <w:rPr>
          <w:lang w:val="en-GB"/>
        </w:rPr>
        <w:t xml:space="preserve">Special Resolution 2 </w:t>
      </w:r>
      <w:r w:rsidR="00E15955">
        <w:rPr>
          <w:lang w:val="en-GB"/>
        </w:rPr>
        <w:br/>
      </w:r>
      <w:r w:rsidR="00761341">
        <w:rPr>
          <w:lang w:val="en-GB"/>
        </w:rPr>
        <w:t>(</w:t>
      </w:r>
      <w:r w:rsidR="00F06964">
        <w:rPr>
          <w:lang w:val="en-GB"/>
        </w:rPr>
        <w:t xml:space="preserve">document </w:t>
      </w:r>
      <w:r w:rsidR="00987CF9">
        <w:rPr>
          <w:lang w:val="en-US"/>
        </w:rPr>
        <w:t>ECE/TRANS/WP.</w:t>
      </w:r>
      <w:r w:rsidR="00987CF9" w:rsidRPr="003604F5">
        <w:rPr>
          <w:lang w:val="en-GB"/>
        </w:rPr>
        <w:t>29</w:t>
      </w:r>
      <w:r w:rsidR="00987CF9">
        <w:rPr>
          <w:lang w:val="en-US"/>
        </w:rPr>
        <w:t>/</w:t>
      </w:r>
      <w:r w:rsidR="00E13657">
        <w:rPr>
          <w:lang w:val="en-US"/>
        </w:rPr>
        <w:t>1124</w:t>
      </w:r>
      <w:r w:rsidR="00761341">
        <w:rPr>
          <w:lang w:val="en-US"/>
        </w:rPr>
        <w:t>)</w:t>
      </w:r>
    </w:p>
    <w:p w14:paraId="3976F22A" w14:textId="77777777" w:rsidR="00841D60" w:rsidRPr="00BD27C0" w:rsidRDefault="00AF06B5" w:rsidP="00DA2540">
      <w:pPr>
        <w:pStyle w:val="HChG"/>
        <w:tabs>
          <w:tab w:val="clear" w:pos="851"/>
        </w:tabs>
        <w:spacing w:line="240" w:lineRule="auto"/>
        <w:ind w:left="567" w:right="0"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14:paraId="23350416" w14:textId="4AE4ED53" w:rsidR="005F3709" w:rsidRPr="00CB103D" w:rsidRDefault="00700482" w:rsidP="00DA2540">
      <w:pPr>
        <w:spacing w:after="120"/>
        <w:ind w:left="1134"/>
        <w:rPr>
          <w:lang w:val="en-GB"/>
        </w:rPr>
      </w:pPr>
      <w:r w:rsidRPr="00CB103D">
        <w:rPr>
          <w:i/>
          <w:lang w:val="en-GB"/>
        </w:rPr>
        <w:t>Chapter II, s</w:t>
      </w:r>
      <w:r w:rsidR="00F06964" w:rsidRPr="00CB103D">
        <w:rPr>
          <w:i/>
          <w:lang w:val="en-GB"/>
        </w:rPr>
        <w:t>ection D, paragraph 2, item (h),</w:t>
      </w:r>
      <w:r w:rsidR="00841D60" w:rsidRPr="00CB103D">
        <w:rPr>
          <w:i/>
          <w:lang w:val="en-GB"/>
        </w:rPr>
        <w:t xml:space="preserve"> </w:t>
      </w:r>
      <w:r w:rsidR="00BB7E4B" w:rsidRPr="00CB103D">
        <w:rPr>
          <w:lang w:val="en-GB"/>
        </w:rPr>
        <w:t>replace by</w:t>
      </w:r>
      <w:r w:rsidR="00841D60" w:rsidRPr="00CB103D">
        <w:rPr>
          <w:lang w:val="en-GB"/>
        </w:rPr>
        <w:t>:</w:t>
      </w:r>
    </w:p>
    <w:p w14:paraId="2559AC0A" w14:textId="0315266A" w:rsidR="00E15955" w:rsidRPr="00CB103D" w:rsidRDefault="00850C84" w:rsidP="00B5588C">
      <w:pPr>
        <w:ind w:left="1134"/>
        <w:rPr>
          <w:lang w:val="en-US"/>
        </w:rPr>
      </w:pPr>
      <w:r w:rsidRPr="00CB103D">
        <w:rPr>
          <w:lang w:val="en-US"/>
        </w:rPr>
        <w:t>"</w:t>
      </w:r>
      <w:r w:rsidR="00E15955" w:rsidRPr="00CB103D">
        <w:rPr>
          <w:lang w:val="en-US"/>
        </w:rPr>
        <w:t>(h)</w:t>
      </w:r>
      <w:r w:rsidR="00E15955" w:rsidRPr="00CB103D">
        <w:rPr>
          <w:lang w:val="en-US"/>
        </w:rPr>
        <w:tab/>
        <w:t xml:space="preserve">In order to maximize the harmonization potential of Global Technical Regulations, seek to minimize the use of options and modules in </w:t>
      </w:r>
      <w:r w:rsidR="0038677B" w:rsidRPr="00CB103D">
        <w:rPr>
          <w:lang w:val="en-US"/>
        </w:rPr>
        <w:t>UN GTRs</w:t>
      </w:r>
      <w:r w:rsidR="00E15955" w:rsidRPr="00CB103D">
        <w:rPr>
          <w:lang w:val="en-US"/>
        </w:rPr>
        <w:t>, with the aim of including the fewest possible</w:t>
      </w:r>
      <w:r w:rsidR="0038677B" w:rsidRPr="00CB103D">
        <w:rPr>
          <w:lang w:val="en-US"/>
        </w:rPr>
        <w:t xml:space="preserve"> </w:t>
      </w:r>
      <w:r w:rsidR="0038677B" w:rsidRPr="0038677B">
        <w:rPr>
          <w:lang w:val="en-US"/>
        </w:rPr>
        <w:t>compliance choices, while recognizing</w:t>
      </w:r>
      <w:r w:rsidR="0038677B" w:rsidRPr="00CB103D">
        <w:rPr>
          <w:lang w:val="en-US"/>
        </w:rPr>
        <w:t xml:space="preserve"> the need for them in very</w:t>
      </w:r>
      <w:r w:rsidR="0038677B" w:rsidRPr="0038677B">
        <w:rPr>
          <w:lang w:val="en-US"/>
        </w:rPr>
        <w:t xml:space="preserve"> limited cases, including accommodating differences in test equipment or facility availability. In this context,</w:t>
      </w:r>
    </w:p>
    <w:p w14:paraId="06DFCC0E" w14:textId="1DCF2E4F" w:rsidR="0038677B" w:rsidRPr="0038677B" w:rsidRDefault="0038677B" w:rsidP="00B5588C">
      <w:pPr>
        <w:numPr>
          <w:ilvl w:val="0"/>
          <w:numId w:val="40"/>
        </w:numPr>
        <w:suppressAutoHyphens w:val="0"/>
        <w:spacing w:line="240" w:lineRule="auto"/>
        <w:rPr>
          <w:lang w:val="en-US"/>
        </w:rPr>
      </w:pPr>
      <w:r w:rsidRPr="0038677B">
        <w:rPr>
          <w:lang w:val="en-US"/>
        </w:rPr>
        <w:t>"Options", which Contracting Parties may choose to apply at their discretion, allow for alternative testing procedures for one same regulatory requirement;</w:t>
      </w:r>
    </w:p>
    <w:p w14:paraId="52A3DEF8" w14:textId="69C70546" w:rsidR="0038677B" w:rsidRPr="0038677B" w:rsidRDefault="0038677B" w:rsidP="00B5588C">
      <w:pPr>
        <w:numPr>
          <w:ilvl w:val="0"/>
          <w:numId w:val="40"/>
        </w:numPr>
        <w:suppressAutoHyphens w:val="0"/>
        <w:spacing w:line="240" w:lineRule="auto"/>
        <w:rPr>
          <w:lang w:val="en-US"/>
        </w:rPr>
      </w:pPr>
      <w:r w:rsidRPr="0038677B">
        <w:rPr>
          <w:lang w:val="en-US"/>
        </w:rPr>
        <w:t xml:space="preserve">"Modules", which Contracting Parties may choose </w:t>
      </w:r>
      <w:r w:rsidR="00CB103D">
        <w:rPr>
          <w:lang w:val="en-US"/>
        </w:rPr>
        <w:t xml:space="preserve">to adopt, allow for additional </w:t>
      </w:r>
      <w:r w:rsidRPr="0038677B">
        <w:rPr>
          <w:lang w:val="en-US"/>
        </w:rPr>
        <w:t>regulatory requirements beyond</w:t>
      </w:r>
      <w:r w:rsidR="00CB103D">
        <w:rPr>
          <w:lang w:val="en-US"/>
        </w:rPr>
        <w:t xml:space="preserve"> an agreed</w:t>
      </w:r>
      <w:r w:rsidRPr="0038677B">
        <w:rPr>
          <w:lang w:val="en-US"/>
        </w:rPr>
        <w:t xml:space="preserve"> core group.</w:t>
      </w:r>
    </w:p>
    <w:p w14:paraId="058E47E9" w14:textId="33BEF3EF" w:rsidR="00E15955" w:rsidRDefault="00E15955" w:rsidP="00B5588C">
      <w:pPr>
        <w:ind w:left="1134"/>
        <w:rPr>
          <w:lang w:val="en-US"/>
        </w:rPr>
      </w:pPr>
      <w:r w:rsidRPr="00E15955">
        <w:rPr>
          <w:lang w:val="en-US"/>
        </w:rPr>
        <w:t>Should other interpretations or situations related to the use of options or modules arise, they will be addressed in the same spirit as set forth in this paragraph or through addit</w:t>
      </w:r>
      <w:r>
        <w:rPr>
          <w:lang w:val="en-US"/>
        </w:rPr>
        <w:t>ional harmonization development."</w:t>
      </w:r>
    </w:p>
    <w:p w14:paraId="2E61C5FA" w14:textId="77777777" w:rsidR="0038677B" w:rsidRDefault="0038677B" w:rsidP="00DA2540">
      <w:pPr>
        <w:spacing w:after="120"/>
        <w:ind w:left="1134"/>
        <w:rPr>
          <w:lang w:val="en-US"/>
        </w:rPr>
      </w:pPr>
    </w:p>
    <w:p w14:paraId="14DB0E94" w14:textId="77777777" w:rsidR="00841D60" w:rsidRPr="0085498A" w:rsidRDefault="00841D60" w:rsidP="00DA2540">
      <w:pPr>
        <w:pStyle w:val="HChG"/>
        <w:tabs>
          <w:tab w:val="clear" w:pos="851"/>
        </w:tabs>
        <w:spacing w:line="240" w:lineRule="auto"/>
        <w:ind w:right="0" w:hanging="567"/>
        <w:rPr>
          <w:lang w:val="en-GB"/>
        </w:rPr>
      </w:pPr>
      <w:r w:rsidRPr="0085498A">
        <w:rPr>
          <w:lang w:val="en-GB"/>
        </w:rPr>
        <w:t>II.</w:t>
      </w:r>
      <w:r w:rsidRPr="0085498A">
        <w:rPr>
          <w:lang w:val="en-GB"/>
        </w:rPr>
        <w:tab/>
        <w:t>Justification</w:t>
      </w:r>
    </w:p>
    <w:p w14:paraId="32CB0148" w14:textId="716649DF" w:rsidR="00FC7BBF" w:rsidRPr="00114668" w:rsidRDefault="00FC7BBF" w:rsidP="00DA2540">
      <w:pPr>
        <w:pStyle w:val="SingleTxtG"/>
        <w:ind w:right="0"/>
        <w:rPr>
          <w:lang w:val="en-US"/>
        </w:rPr>
      </w:pPr>
      <w:r w:rsidRPr="00114668">
        <w:rPr>
          <w:lang w:val="en-US"/>
        </w:rPr>
        <w:t>Following discussions at the AC.3 session of March 2016, AC.3 in June 2016 adopt</w:t>
      </w:r>
      <w:r>
        <w:rPr>
          <w:lang w:val="en-US"/>
        </w:rPr>
        <w:t>ed Special Resolution 2 (</w:t>
      </w:r>
      <w:r w:rsidR="00E13657">
        <w:rPr>
          <w:lang w:val="en-US"/>
        </w:rPr>
        <w:t xml:space="preserve">see </w:t>
      </w:r>
      <w:r w:rsidRPr="00114668">
        <w:rPr>
          <w:lang w:val="en-US"/>
        </w:rPr>
        <w:t>document ECE/TRANS/WP.29/</w:t>
      </w:r>
      <w:r w:rsidR="00E13657">
        <w:rPr>
          <w:lang w:val="en-US"/>
        </w:rPr>
        <w:t>1124</w:t>
      </w:r>
      <w:r>
        <w:rPr>
          <w:lang w:val="en-US"/>
        </w:rPr>
        <w:t>)</w:t>
      </w:r>
      <w:r w:rsidRPr="00114668">
        <w:rPr>
          <w:lang w:val="en-US"/>
        </w:rPr>
        <w:t>.</w:t>
      </w:r>
      <w:r w:rsidR="007421DD">
        <w:rPr>
          <w:lang w:val="en-US"/>
        </w:rPr>
        <w:t xml:space="preserve">  </w:t>
      </w:r>
      <w:r w:rsidRPr="00114668">
        <w:rPr>
          <w:lang w:val="en-US"/>
        </w:rPr>
        <w:t xml:space="preserve">AC.3 in March 2016 </w:t>
      </w:r>
      <w:r w:rsidR="007421DD">
        <w:rPr>
          <w:lang w:val="en-US"/>
        </w:rPr>
        <w:t xml:space="preserve">also </w:t>
      </w:r>
      <w:r w:rsidRPr="00114668">
        <w:rPr>
          <w:lang w:val="en-US"/>
        </w:rPr>
        <w:t xml:space="preserve">agreed that the document should be considered as a living document that may need to be completed/adapted at a later stage, </w:t>
      </w:r>
      <w:proofErr w:type="gramStart"/>
      <w:r w:rsidRPr="00114668">
        <w:rPr>
          <w:lang w:val="en-US"/>
        </w:rPr>
        <w:t>taking into account</w:t>
      </w:r>
      <w:proofErr w:type="gramEnd"/>
      <w:r w:rsidRPr="00114668">
        <w:rPr>
          <w:lang w:val="en-US"/>
        </w:rPr>
        <w:t xml:space="preserve"> that some of the raised comments might warrant further discussions, in particular the notion of options and modules (see ECE/TRANS/WP.29/1120, Paragraph 102).</w:t>
      </w:r>
    </w:p>
    <w:p w14:paraId="59D94A2C" w14:textId="2E996FEF" w:rsidR="006F0613" w:rsidRDefault="00CB103D" w:rsidP="00DA2540">
      <w:pPr>
        <w:pStyle w:val="SingleTxtG"/>
        <w:ind w:right="0"/>
        <w:rPr>
          <w:lang w:val="en-GB"/>
        </w:rPr>
      </w:pPr>
      <w:r>
        <w:rPr>
          <w:lang w:val="en-US"/>
        </w:rPr>
        <w:t>The authors of this proposal, herewith re-confirm their</w:t>
      </w:r>
      <w:r w:rsidR="00FC7BBF" w:rsidRPr="00114668">
        <w:rPr>
          <w:lang w:val="en-US"/>
        </w:rPr>
        <w:t xml:space="preserve"> strong support for Special Resolution </w:t>
      </w:r>
      <w:r w:rsidR="00E13657">
        <w:rPr>
          <w:lang w:val="en-US"/>
        </w:rPr>
        <w:t>2</w:t>
      </w:r>
      <w:r w:rsidR="00FC7BBF">
        <w:rPr>
          <w:lang w:val="en-US"/>
        </w:rPr>
        <w:t xml:space="preserve">, </w:t>
      </w:r>
      <w:r w:rsidR="00FC7BBF" w:rsidRPr="00114668">
        <w:rPr>
          <w:lang w:val="en-US"/>
        </w:rPr>
        <w:t>since it represents an important step towards an improved functioning of the 1998 Agreement.</w:t>
      </w:r>
      <w:r w:rsidR="006F0613">
        <w:rPr>
          <w:lang w:val="en-US"/>
        </w:rPr>
        <w:t xml:space="preserve">  </w:t>
      </w:r>
      <w:r>
        <w:rPr>
          <w:lang w:val="en-US"/>
        </w:rPr>
        <w:t>They</w:t>
      </w:r>
      <w:r w:rsidR="006F0613">
        <w:rPr>
          <w:lang w:val="en-GB"/>
        </w:rPr>
        <w:t xml:space="preserve"> also wants to stress that:</w:t>
      </w:r>
    </w:p>
    <w:p w14:paraId="7FFF4D60" w14:textId="77777777" w:rsidR="006F0613" w:rsidRPr="00E15955" w:rsidRDefault="006F0613" w:rsidP="00DA2540">
      <w:pPr>
        <w:pStyle w:val="SingleTxtG"/>
        <w:numPr>
          <w:ilvl w:val="0"/>
          <w:numId w:val="41"/>
        </w:numPr>
        <w:spacing w:after="0"/>
        <w:ind w:left="1702" w:right="0" w:hanging="284"/>
        <w:rPr>
          <w:lang w:val="en-GB"/>
        </w:rPr>
      </w:pPr>
      <w:r w:rsidRPr="00E15955">
        <w:rPr>
          <w:lang w:val="en-GB"/>
        </w:rPr>
        <w:t>Global harmonisation is crucial and must be maximized</w:t>
      </w:r>
    </w:p>
    <w:p w14:paraId="00486273" w14:textId="77777777" w:rsidR="006F0613" w:rsidRPr="00E15955" w:rsidRDefault="006F0613" w:rsidP="00DA2540">
      <w:pPr>
        <w:pStyle w:val="SingleTxtG"/>
        <w:spacing w:after="0"/>
        <w:ind w:left="1702" w:right="0" w:hanging="284"/>
        <w:rPr>
          <w:lang w:val="en-GB"/>
        </w:rPr>
      </w:pPr>
      <w:r w:rsidRPr="00E15955">
        <w:rPr>
          <w:lang w:val="en-GB"/>
        </w:rPr>
        <w:t>2.</w:t>
      </w:r>
      <w:r>
        <w:rPr>
          <w:lang w:val="en-GB"/>
        </w:rPr>
        <w:tab/>
      </w:r>
      <w:r w:rsidRPr="00E15955">
        <w:rPr>
          <w:lang w:val="en-GB"/>
        </w:rPr>
        <w:t>Any concept reducing the harmonisation potential of a GTR should therefore be avoided</w:t>
      </w:r>
    </w:p>
    <w:p w14:paraId="73F591F1" w14:textId="77777777" w:rsidR="006F0613" w:rsidRPr="00E15955" w:rsidRDefault="006F0613" w:rsidP="00DA2540">
      <w:pPr>
        <w:pStyle w:val="SingleTxtG"/>
        <w:spacing w:after="0"/>
        <w:ind w:left="1702" w:right="0" w:hanging="284"/>
        <w:rPr>
          <w:lang w:val="en-GB"/>
        </w:rPr>
      </w:pPr>
      <w:r w:rsidRPr="00E15955">
        <w:rPr>
          <w:lang w:val="en-GB"/>
        </w:rPr>
        <w:t>3.</w:t>
      </w:r>
      <w:r>
        <w:rPr>
          <w:lang w:val="en-GB"/>
        </w:rPr>
        <w:tab/>
      </w:r>
      <w:r w:rsidRPr="00E15955">
        <w:rPr>
          <w:lang w:val="en-GB"/>
        </w:rPr>
        <w:t>There may however be some (hopefully very rare) cases where full harmonisation is unfortunately not possible (different test equipment, facilities, …)</w:t>
      </w:r>
    </w:p>
    <w:p w14:paraId="75D6DFE6" w14:textId="3441D165" w:rsidR="0041067B" w:rsidRDefault="00FC7BBF" w:rsidP="00DA2540">
      <w:pPr>
        <w:pStyle w:val="SingleTxtG"/>
        <w:spacing w:before="120"/>
        <w:ind w:right="0"/>
        <w:rPr>
          <w:lang w:val="en-US"/>
        </w:rPr>
      </w:pPr>
      <w:proofErr w:type="gramStart"/>
      <w:r w:rsidRPr="00114668">
        <w:rPr>
          <w:lang w:val="en-US"/>
        </w:rPr>
        <w:t>Taking into account</w:t>
      </w:r>
      <w:proofErr w:type="gramEnd"/>
      <w:r w:rsidRPr="00114668">
        <w:rPr>
          <w:lang w:val="en-US"/>
        </w:rPr>
        <w:t xml:space="preserve"> the comments made at the March 2016 AC.3 session, </w:t>
      </w:r>
      <w:r w:rsidR="00CB103D">
        <w:rPr>
          <w:lang w:val="en-US"/>
        </w:rPr>
        <w:t xml:space="preserve">it is however suggested </w:t>
      </w:r>
      <w:r w:rsidRPr="00114668">
        <w:rPr>
          <w:lang w:val="en-US"/>
        </w:rPr>
        <w:t>that a further step is warranted in order to clarify the concepts of options</w:t>
      </w:r>
      <w:r>
        <w:rPr>
          <w:lang w:val="en-US"/>
        </w:rPr>
        <w:t xml:space="preserve">.  </w:t>
      </w:r>
      <w:r w:rsidR="00CB103D">
        <w:rPr>
          <w:lang w:val="en-US"/>
        </w:rPr>
        <w:t>S</w:t>
      </w:r>
      <w:r w:rsidRPr="00114668">
        <w:rPr>
          <w:lang w:val="en-US"/>
        </w:rPr>
        <w:t xml:space="preserve">uch clarification will constitute a further improvement and it will help in the development of new or amended Global Technical Regulations. </w:t>
      </w:r>
      <w:r w:rsidR="001B2CA7">
        <w:rPr>
          <w:lang w:val="en-US"/>
        </w:rPr>
        <w:t xml:space="preserve"> </w:t>
      </w:r>
      <w:r w:rsidR="00CB103D">
        <w:rPr>
          <w:lang w:val="en-US"/>
        </w:rPr>
        <w:t xml:space="preserve">Account was </w:t>
      </w:r>
      <w:r w:rsidR="001B2CA7">
        <w:rPr>
          <w:lang w:val="en-US"/>
        </w:rPr>
        <w:t>taken</w:t>
      </w:r>
      <w:r w:rsidR="00B5588C">
        <w:rPr>
          <w:lang w:val="en-US"/>
        </w:rPr>
        <w:t xml:space="preserve"> of </w:t>
      </w:r>
      <w:r w:rsidR="001B2CA7">
        <w:rPr>
          <w:lang w:val="en-US"/>
        </w:rPr>
        <w:t>the co</w:t>
      </w:r>
      <w:r w:rsidR="007421DD">
        <w:rPr>
          <w:lang w:val="en-US"/>
        </w:rPr>
        <w:t xml:space="preserve">ncerns raised </w:t>
      </w:r>
      <w:r w:rsidR="001B2CA7">
        <w:rPr>
          <w:lang w:val="en-US"/>
        </w:rPr>
        <w:t>at the various AC.3 sessions to previous proposal</w:t>
      </w:r>
      <w:r w:rsidR="00E56862">
        <w:rPr>
          <w:lang w:val="en-US"/>
        </w:rPr>
        <w:t>s</w:t>
      </w:r>
      <w:r w:rsidR="001B2CA7">
        <w:rPr>
          <w:lang w:val="en-US"/>
        </w:rPr>
        <w:t xml:space="preserve"> (see informal document</w:t>
      </w:r>
      <w:r w:rsidR="00E56862">
        <w:rPr>
          <w:lang w:val="en-US"/>
        </w:rPr>
        <w:t>s</w:t>
      </w:r>
      <w:r w:rsidR="001B2CA7">
        <w:rPr>
          <w:lang w:val="en-US"/>
        </w:rPr>
        <w:t xml:space="preserve"> WP.29-171-15</w:t>
      </w:r>
      <w:r w:rsidR="00E56862">
        <w:rPr>
          <w:lang w:val="en-US"/>
        </w:rPr>
        <w:t xml:space="preserve"> and WP.29-173-05</w:t>
      </w:r>
      <w:r w:rsidR="001B2CA7">
        <w:rPr>
          <w:lang w:val="en-US"/>
        </w:rPr>
        <w:t>)</w:t>
      </w:r>
      <w:r w:rsidR="00E56862">
        <w:rPr>
          <w:lang w:val="en-US"/>
        </w:rPr>
        <w:t xml:space="preserve"> </w:t>
      </w:r>
      <w:proofErr w:type="gramStart"/>
      <w:r w:rsidR="00E56862">
        <w:rPr>
          <w:lang w:val="en-US"/>
        </w:rPr>
        <w:t>in order to</w:t>
      </w:r>
      <w:proofErr w:type="gramEnd"/>
      <w:r w:rsidR="00E56862">
        <w:rPr>
          <w:lang w:val="en-US"/>
        </w:rPr>
        <w:t xml:space="preserve"> stress the importance of global harmonization and to provide guidance</w:t>
      </w:r>
      <w:r w:rsidR="001B2CA7">
        <w:rPr>
          <w:lang w:val="en-US"/>
        </w:rPr>
        <w:t>.</w:t>
      </w:r>
    </w:p>
    <w:p w14:paraId="02D03343" w14:textId="77777777" w:rsidR="00E15955" w:rsidRPr="00E15955" w:rsidRDefault="00E15955" w:rsidP="00DA2540">
      <w:pPr>
        <w:pStyle w:val="SingleTxtG"/>
        <w:ind w:right="0"/>
        <w:rPr>
          <w:lang w:val="en-GB"/>
        </w:rPr>
      </w:pPr>
    </w:p>
    <w:p w14:paraId="4F587AFB" w14:textId="77777777" w:rsidR="003604F5" w:rsidRPr="003604F5" w:rsidRDefault="003604F5" w:rsidP="00DA2540">
      <w:pPr>
        <w:spacing w:before="240"/>
        <w:ind w:left="1134"/>
        <w:jc w:val="center"/>
        <w:rPr>
          <w:u w:val="single"/>
          <w:lang w:val="en-US"/>
        </w:rPr>
      </w:pPr>
      <w:r>
        <w:rPr>
          <w:u w:val="single"/>
          <w:lang w:val="en-US"/>
        </w:rPr>
        <w:tab/>
      </w:r>
      <w:r>
        <w:rPr>
          <w:u w:val="single"/>
          <w:lang w:val="en-US"/>
        </w:rPr>
        <w:tab/>
      </w:r>
      <w:r>
        <w:rPr>
          <w:u w:val="single"/>
          <w:lang w:val="en-US"/>
        </w:rPr>
        <w:tab/>
      </w:r>
    </w:p>
    <w:sectPr w:rsidR="003604F5" w:rsidRPr="003604F5" w:rsidSect="00E35F2F">
      <w:headerReference w:type="even" r:id="rId7"/>
      <w:footerReference w:type="even" r:id="rId8"/>
      <w:footerReference w:type="default" r:id="rId9"/>
      <w:footerReference w:type="first" r:id="rId10"/>
      <w:footnotePr>
        <w:numRestart w:val="eachSect"/>
      </w:footnotePr>
      <w:endnotePr>
        <w:numFmt w:val="decimal"/>
      </w:endnotePr>
      <w:pgSz w:w="11907" w:h="16840" w:code="9"/>
      <w:pgMar w:top="1418"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4409C" w14:textId="77777777" w:rsidR="0051491A" w:rsidRDefault="0051491A"/>
  </w:endnote>
  <w:endnote w:type="continuationSeparator" w:id="0">
    <w:p w14:paraId="6F03BCFB" w14:textId="77777777" w:rsidR="0051491A" w:rsidRDefault="0051491A"/>
  </w:endnote>
  <w:endnote w:type="continuationNotice" w:id="1">
    <w:p w14:paraId="302E0536" w14:textId="77777777" w:rsidR="0051491A" w:rsidRDefault="00514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A411" w14:textId="77777777"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B103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A2A2" w14:textId="1E768687" w:rsidR="00541938" w:rsidRPr="009A6A9E" w:rsidRDefault="00541938" w:rsidP="009A6A9E">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62E0" w14:textId="77777777" w:rsidR="00541938" w:rsidRPr="00106C6B" w:rsidRDefault="00541938" w:rsidP="00070A6D">
    <w:pPr>
      <w:pStyle w:val="Footer"/>
      <w:rPr>
        <w:sz w:val="20"/>
      </w:rPr>
    </w:pPr>
    <w:r>
      <w:rPr>
        <w:noProof/>
        <w:sz w:val="20"/>
        <w:lang w:val="en-US"/>
      </w:rPr>
      <w:drawing>
        <wp:anchor distT="0" distB="0" distL="114300" distR="114300" simplePos="0" relativeHeight="251657728" behindDoc="0" locked="0" layoutInCell="1" allowOverlap="1" wp14:anchorId="25F005D8" wp14:editId="041D080A">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CAED" w14:textId="77777777" w:rsidR="0051491A" w:rsidRPr="00D27D5E" w:rsidRDefault="0051491A" w:rsidP="00D27D5E">
      <w:pPr>
        <w:tabs>
          <w:tab w:val="right" w:pos="2155"/>
        </w:tabs>
        <w:spacing w:after="80"/>
        <w:ind w:left="680"/>
        <w:rPr>
          <w:u w:val="single"/>
        </w:rPr>
      </w:pPr>
      <w:r>
        <w:rPr>
          <w:u w:val="single"/>
        </w:rPr>
        <w:tab/>
      </w:r>
    </w:p>
  </w:footnote>
  <w:footnote w:type="continuationSeparator" w:id="0">
    <w:p w14:paraId="2C412396" w14:textId="77777777" w:rsidR="0051491A" w:rsidRDefault="0051491A">
      <w:r>
        <w:rPr>
          <w:u w:val="single"/>
        </w:rPr>
        <w:tab/>
      </w:r>
      <w:r>
        <w:rPr>
          <w:u w:val="single"/>
        </w:rPr>
        <w:tab/>
      </w:r>
      <w:r>
        <w:rPr>
          <w:u w:val="single"/>
        </w:rPr>
        <w:tab/>
      </w:r>
      <w:r>
        <w:rPr>
          <w:u w:val="single"/>
        </w:rPr>
        <w:tab/>
      </w:r>
    </w:p>
  </w:footnote>
  <w:footnote w:type="continuationNotice" w:id="1">
    <w:p w14:paraId="234F4802" w14:textId="77777777" w:rsidR="0051491A" w:rsidRDefault="00514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8D0" w14:textId="77777777"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1B2CA7">
      <w:rPr>
        <w:rFonts w:eastAsia="Times New Roman"/>
        <w:b/>
        <w:sz w:val="18"/>
        <w:lang w:val="en-US"/>
      </w:rPr>
      <w:t>3</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55EB1"/>
    <w:multiLevelType w:val="hybridMultilevel"/>
    <w:tmpl w:val="76B691C0"/>
    <w:lvl w:ilvl="0" w:tplc="B20624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622C7D67"/>
    <w:multiLevelType w:val="hybridMultilevel"/>
    <w:tmpl w:val="6324F580"/>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83A16CA"/>
    <w:multiLevelType w:val="multilevel"/>
    <w:tmpl w:val="EBBC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7"/>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30"/>
  </w:num>
  <w:num w:numId="19">
    <w:abstractNumId w:val="22"/>
  </w:num>
  <w:num w:numId="20">
    <w:abstractNumId w:val="20"/>
  </w:num>
  <w:num w:numId="21">
    <w:abstractNumId w:val="23"/>
  </w:num>
  <w:num w:numId="22">
    <w:abstractNumId w:val="28"/>
  </w:num>
  <w:num w:numId="23">
    <w:abstractNumId w:val="32"/>
  </w:num>
  <w:num w:numId="24">
    <w:abstractNumId w:val="14"/>
  </w:num>
  <w:num w:numId="25">
    <w:abstractNumId w:val="17"/>
  </w:num>
  <w:num w:numId="26">
    <w:abstractNumId w:val="35"/>
  </w:num>
  <w:num w:numId="27">
    <w:abstractNumId w:val="31"/>
  </w:num>
  <w:num w:numId="28">
    <w:abstractNumId w:val="19"/>
  </w:num>
  <w:num w:numId="29">
    <w:abstractNumId w:val="15"/>
  </w:num>
  <w:num w:numId="30">
    <w:abstractNumId w:val="39"/>
  </w:num>
  <w:num w:numId="31">
    <w:abstractNumId w:val="16"/>
  </w:num>
  <w:num w:numId="32">
    <w:abstractNumId w:val="36"/>
  </w:num>
  <w:num w:numId="33">
    <w:abstractNumId w:val="33"/>
  </w:num>
  <w:num w:numId="34">
    <w:abstractNumId w:val="18"/>
  </w:num>
  <w:num w:numId="35">
    <w:abstractNumId w:val="41"/>
  </w:num>
  <w:num w:numId="36">
    <w:abstractNumId w:val="11"/>
  </w:num>
  <w:num w:numId="37">
    <w:abstractNumId w:val="26"/>
  </w:num>
  <w:num w:numId="38">
    <w:abstractNumId w:val="21"/>
  </w:num>
  <w:num w:numId="39">
    <w:abstractNumId w:val="40"/>
  </w:num>
  <w:num w:numId="40">
    <w:abstractNumId w:val="34"/>
  </w:num>
  <w:num w:numId="41">
    <w:abstractNumId w:val="29"/>
  </w:num>
  <w:num w:numId="4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C01"/>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786"/>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677B"/>
    <w:rsid w:val="0038715D"/>
    <w:rsid w:val="00387337"/>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4F7FB5"/>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91A"/>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0C5"/>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D7CB8"/>
    <w:rsid w:val="006E1570"/>
    <w:rsid w:val="006E2B95"/>
    <w:rsid w:val="006E3228"/>
    <w:rsid w:val="006E5FC7"/>
    <w:rsid w:val="006E6626"/>
    <w:rsid w:val="006E6676"/>
    <w:rsid w:val="006E6BDB"/>
    <w:rsid w:val="006E7BEC"/>
    <w:rsid w:val="006F0613"/>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AD8"/>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66D54"/>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88C"/>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B7E4B"/>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03D"/>
    <w:rsid w:val="00CB1F1C"/>
    <w:rsid w:val="00CB6267"/>
    <w:rsid w:val="00CB73FB"/>
    <w:rsid w:val="00CB7F3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40"/>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5955"/>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862"/>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4DB"/>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2AC426C3"/>
  <w15:docId w15:val="{AA6F066C-E6EA-46D4-81D9-AEF2EF9F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4F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5992925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594632618">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Olivia Braud</cp:lastModifiedBy>
  <cp:revision>2</cp:revision>
  <cp:lastPrinted>2017-08-23T09:18:00Z</cp:lastPrinted>
  <dcterms:created xsi:type="dcterms:W3CDTF">2018-06-19T12:05:00Z</dcterms:created>
  <dcterms:modified xsi:type="dcterms:W3CDTF">2018-06-19T12:05:00Z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