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5A7D9C">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5A7D9C" w:rsidP="005A7D9C">
            <w:pPr>
              <w:jc w:val="right"/>
            </w:pPr>
            <w:r w:rsidRPr="005A7D9C">
              <w:rPr>
                <w:sz w:val="40"/>
              </w:rPr>
              <w:t>ECE</w:t>
            </w:r>
            <w:r>
              <w:t>/TRANS/WP.11/2018/14</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5A7D9C" w:rsidP="00C97039">
            <w:pPr>
              <w:spacing w:before="240"/>
            </w:pPr>
            <w:r>
              <w:t>Distr. générale</w:t>
            </w:r>
          </w:p>
          <w:p w:rsidR="005A7D9C" w:rsidRDefault="00591A04" w:rsidP="005A7D9C">
            <w:pPr>
              <w:spacing w:line="240" w:lineRule="exact"/>
            </w:pPr>
            <w:r>
              <w:t>24 juillet 2018</w:t>
            </w:r>
          </w:p>
          <w:p w:rsidR="005A7D9C" w:rsidRDefault="005A7D9C" w:rsidP="005A7D9C">
            <w:pPr>
              <w:spacing w:line="240" w:lineRule="exact"/>
            </w:pPr>
            <w:r>
              <w:t>Français</w:t>
            </w:r>
          </w:p>
          <w:p w:rsidR="005A7D9C" w:rsidRPr="00DB58B5" w:rsidRDefault="005A7D9C" w:rsidP="005A7D9C">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5A7D9C" w:rsidRPr="005A7D9C" w:rsidRDefault="005A7D9C" w:rsidP="005A7D9C">
      <w:pPr>
        <w:spacing w:before="120" w:line="276" w:lineRule="auto"/>
        <w:rPr>
          <w:b/>
          <w:sz w:val="24"/>
          <w:szCs w:val="24"/>
        </w:rPr>
      </w:pPr>
      <w:r w:rsidRPr="005A7D9C">
        <w:rPr>
          <w:b/>
          <w:sz w:val="24"/>
          <w:szCs w:val="24"/>
          <w:lang w:val="fr-FR"/>
        </w:rPr>
        <w:t>Groupe de travail du transport des denrées périssables</w:t>
      </w:r>
    </w:p>
    <w:p w:rsidR="005A7D9C" w:rsidRPr="005A7D9C" w:rsidRDefault="005A7D9C" w:rsidP="005A7D9C">
      <w:pPr>
        <w:spacing w:before="120" w:line="276" w:lineRule="auto"/>
        <w:rPr>
          <w:b/>
        </w:rPr>
      </w:pPr>
      <w:r w:rsidRPr="005A7D9C">
        <w:rPr>
          <w:b/>
          <w:lang w:val="fr-FR"/>
        </w:rPr>
        <w:t>Soixante-quatorzième session</w:t>
      </w:r>
    </w:p>
    <w:p w:rsidR="005A7D9C" w:rsidRPr="001623D3" w:rsidRDefault="005A7D9C" w:rsidP="005A7D9C">
      <w:pPr>
        <w:spacing w:line="276" w:lineRule="auto"/>
      </w:pPr>
      <w:r w:rsidRPr="001623D3">
        <w:rPr>
          <w:lang w:val="fr-FR"/>
        </w:rPr>
        <w:t>Genève, 8-12 octobre 2018</w:t>
      </w:r>
    </w:p>
    <w:p w:rsidR="005A7D9C" w:rsidRPr="001623D3" w:rsidRDefault="005A7D9C" w:rsidP="005A7D9C">
      <w:pPr>
        <w:spacing w:line="276" w:lineRule="auto"/>
      </w:pPr>
      <w:r w:rsidRPr="001623D3">
        <w:rPr>
          <w:lang w:val="fr-FR"/>
        </w:rPr>
        <w:t>Point 6 b) de l’ordre du jour provisoire</w:t>
      </w:r>
    </w:p>
    <w:p w:rsidR="005A7D9C" w:rsidRPr="001623D3" w:rsidRDefault="005A7D9C" w:rsidP="005A7D9C">
      <w:pPr>
        <w:spacing w:line="276" w:lineRule="auto"/>
        <w:rPr>
          <w:b/>
        </w:rPr>
      </w:pPr>
      <w:r w:rsidRPr="001623D3">
        <w:rPr>
          <w:b/>
          <w:bCs/>
          <w:lang w:val="fr-FR"/>
        </w:rPr>
        <w:t>Propositions d’amendements à l’</w:t>
      </w:r>
      <w:r w:rsidR="00591A04">
        <w:rPr>
          <w:b/>
          <w:bCs/>
          <w:lang w:val="fr-FR"/>
        </w:rPr>
        <w:t xml:space="preserve">ATP : </w:t>
      </w:r>
      <w:r w:rsidR="00591A04">
        <w:rPr>
          <w:b/>
          <w:bCs/>
          <w:lang w:val="fr-FR"/>
        </w:rPr>
        <w:br/>
      </w:r>
      <w:r w:rsidRPr="001623D3">
        <w:rPr>
          <w:b/>
          <w:bCs/>
          <w:lang w:val="fr-FR"/>
        </w:rPr>
        <w:t>nouvelles propositions</w:t>
      </w:r>
    </w:p>
    <w:p w:rsidR="005A7D9C" w:rsidRPr="001623D3" w:rsidRDefault="005A7D9C" w:rsidP="005A7D9C">
      <w:pPr>
        <w:pStyle w:val="HChG"/>
      </w:pPr>
      <w:r w:rsidRPr="001623D3">
        <w:rPr>
          <w:lang w:val="fr-FR"/>
        </w:rPr>
        <w:tab/>
      </w:r>
      <w:r w:rsidRPr="001623D3">
        <w:rPr>
          <w:lang w:val="fr-FR"/>
        </w:rPr>
        <w:tab/>
        <w:t xml:space="preserve">Proposition d’amendement du paragraphe 4.2.1 </w:t>
      </w:r>
      <w:r>
        <w:rPr>
          <w:lang w:val="fr-FR"/>
        </w:rPr>
        <w:br/>
      </w:r>
      <w:r w:rsidRPr="001623D3">
        <w:rPr>
          <w:lang w:val="fr-FR"/>
        </w:rPr>
        <w:t xml:space="preserve">de </w:t>
      </w:r>
      <w:r w:rsidRPr="005A7D9C">
        <w:t>l’appendice</w:t>
      </w:r>
      <w:r w:rsidRPr="001623D3">
        <w:rPr>
          <w:lang w:val="fr-FR"/>
        </w:rPr>
        <w:t xml:space="preserve"> 2 de l’annexe 1 : Spécification </w:t>
      </w:r>
      <w:r>
        <w:rPr>
          <w:lang w:val="fr-FR"/>
        </w:rPr>
        <w:br/>
      </w:r>
      <w:r w:rsidRPr="001623D3">
        <w:rPr>
          <w:lang w:val="fr-FR"/>
        </w:rPr>
        <w:t>du caisson calorimétrique</w:t>
      </w:r>
    </w:p>
    <w:p w:rsidR="005A7D9C" w:rsidRDefault="005A7D9C" w:rsidP="005A7D9C">
      <w:pPr>
        <w:pStyle w:val="H1G"/>
      </w:pPr>
      <w:r w:rsidRPr="001623D3">
        <w:rPr>
          <w:lang w:val="fr-FR"/>
        </w:rPr>
        <w:tab/>
      </w:r>
      <w:r w:rsidRPr="001623D3">
        <w:rPr>
          <w:lang w:val="fr-FR"/>
        </w:rPr>
        <w:tab/>
        <w:t xml:space="preserve">Communication du Gouvernement </w:t>
      </w:r>
      <w:r w:rsidRPr="005A7D9C">
        <w:t>allemand</w:t>
      </w:r>
    </w:p>
    <w:tbl>
      <w:tblPr>
        <w:tblStyle w:val="TableGrid"/>
        <w:tblW w:w="0" w:type="auto"/>
        <w:jc w:val="center"/>
        <w:tblBorders>
          <w:insideH w:val="none" w:sz="0" w:space="0" w:color="auto"/>
        </w:tblBorders>
        <w:tblLook w:val="05E0" w:firstRow="1" w:lastRow="1" w:firstColumn="1" w:lastColumn="1" w:noHBand="0" w:noVBand="1"/>
      </w:tblPr>
      <w:tblGrid>
        <w:gridCol w:w="9637"/>
      </w:tblGrid>
      <w:tr w:rsidR="005A7D9C" w:rsidTr="00216E0F">
        <w:trPr>
          <w:jc w:val="center"/>
        </w:trPr>
        <w:tc>
          <w:tcPr>
            <w:tcW w:w="9637" w:type="dxa"/>
            <w:shd w:val="clear" w:color="auto" w:fill="auto"/>
          </w:tcPr>
          <w:p w:rsidR="005A7D9C" w:rsidRPr="000001E7" w:rsidRDefault="005A7D9C" w:rsidP="00216E0F">
            <w:pPr>
              <w:spacing w:before="240" w:after="120"/>
              <w:ind w:left="255"/>
              <w:rPr>
                <w:i/>
                <w:sz w:val="24"/>
              </w:rPr>
            </w:pPr>
            <w:r w:rsidRPr="000001E7">
              <w:rPr>
                <w:i/>
                <w:sz w:val="24"/>
              </w:rPr>
              <w:t>Résumé</w:t>
            </w:r>
          </w:p>
        </w:tc>
      </w:tr>
      <w:tr w:rsidR="005A7D9C" w:rsidTr="00216E0F">
        <w:trPr>
          <w:jc w:val="center"/>
        </w:trPr>
        <w:tc>
          <w:tcPr>
            <w:tcW w:w="9637" w:type="dxa"/>
            <w:shd w:val="clear" w:color="auto" w:fill="auto"/>
          </w:tcPr>
          <w:p w:rsidR="005A7D9C" w:rsidRDefault="005A7D9C" w:rsidP="005A7D9C">
            <w:pPr>
              <w:pStyle w:val="SingleTxtG"/>
              <w:tabs>
                <w:tab w:val="left" w:pos="3401"/>
              </w:tabs>
              <w:ind w:left="3401" w:hanging="2267"/>
            </w:pPr>
            <w:r w:rsidRPr="001623D3">
              <w:rPr>
                <w:b/>
                <w:bCs/>
                <w:lang w:val="fr-FR"/>
              </w:rPr>
              <w:t>Résumé analytique</w:t>
            </w:r>
            <w:r w:rsidR="00F329DB">
              <w:rPr>
                <w:b/>
                <w:bCs/>
                <w:lang w:val="fr-FR"/>
              </w:rPr>
              <w:t> </w:t>
            </w:r>
            <w:r w:rsidRPr="001623D3">
              <w:rPr>
                <w:b/>
                <w:bCs/>
                <w:lang w:val="fr-FR"/>
              </w:rPr>
              <w:t>:</w:t>
            </w:r>
            <w:r>
              <w:rPr>
                <w:b/>
                <w:bCs/>
                <w:lang w:val="fr-FR"/>
              </w:rPr>
              <w:tab/>
            </w:r>
            <w:r>
              <w:rPr>
                <w:b/>
                <w:bCs/>
                <w:lang w:val="fr-FR"/>
              </w:rPr>
              <w:tab/>
            </w:r>
            <w:r w:rsidRPr="001623D3">
              <w:rPr>
                <w:lang w:val="fr-FR"/>
              </w:rPr>
              <w:t>Supprimer la prescription relative au caisson calorimétrique isotherme renforcé permettrait de réduire les coûts liés aux essais sans pour autant nuire à la précision des mesures.</w:t>
            </w:r>
          </w:p>
        </w:tc>
      </w:tr>
      <w:tr w:rsidR="005A7D9C" w:rsidTr="00216E0F">
        <w:trPr>
          <w:jc w:val="center"/>
        </w:trPr>
        <w:tc>
          <w:tcPr>
            <w:tcW w:w="9637" w:type="dxa"/>
            <w:shd w:val="clear" w:color="auto" w:fill="auto"/>
          </w:tcPr>
          <w:p w:rsidR="005A7D9C" w:rsidRPr="001623D3" w:rsidRDefault="005A7D9C" w:rsidP="005A7D9C">
            <w:pPr>
              <w:pStyle w:val="SingleTxtG"/>
              <w:tabs>
                <w:tab w:val="left" w:pos="3401"/>
              </w:tabs>
              <w:ind w:left="3401" w:hanging="2267"/>
              <w:rPr>
                <w:b/>
                <w:bCs/>
                <w:lang w:val="fr-FR"/>
              </w:rPr>
            </w:pPr>
            <w:r w:rsidRPr="001623D3">
              <w:rPr>
                <w:b/>
                <w:bCs/>
                <w:lang w:val="fr-FR"/>
              </w:rPr>
              <w:t>Mesure à prendre</w:t>
            </w:r>
            <w:r w:rsidR="00F329DB">
              <w:rPr>
                <w:b/>
                <w:bCs/>
                <w:lang w:val="fr-FR"/>
              </w:rPr>
              <w:t> </w:t>
            </w:r>
            <w:r w:rsidRPr="001623D3">
              <w:rPr>
                <w:b/>
                <w:bCs/>
                <w:lang w:val="fr-FR"/>
              </w:rPr>
              <w:t>:</w:t>
            </w:r>
            <w:r w:rsidRPr="001623D3">
              <w:rPr>
                <w:lang w:val="fr-FR"/>
              </w:rPr>
              <w:tab/>
              <w:t>Amender le paragraphe 4.2.1 de l’appendice 2 de l’annexe 1</w:t>
            </w:r>
            <w:r w:rsidR="000362B0">
              <w:rPr>
                <w:lang w:val="fr-FR"/>
              </w:rPr>
              <w:t>.</w:t>
            </w:r>
          </w:p>
        </w:tc>
      </w:tr>
      <w:tr w:rsidR="005A7D9C" w:rsidTr="00216E0F">
        <w:trPr>
          <w:jc w:val="center"/>
        </w:trPr>
        <w:tc>
          <w:tcPr>
            <w:tcW w:w="9637" w:type="dxa"/>
            <w:shd w:val="clear" w:color="auto" w:fill="auto"/>
          </w:tcPr>
          <w:p w:rsidR="005A7D9C" w:rsidRPr="001623D3" w:rsidRDefault="005A7D9C" w:rsidP="00F329DB">
            <w:pPr>
              <w:pStyle w:val="SingleTxtG"/>
              <w:tabs>
                <w:tab w:val="left" w:pos="3401"/>
              </w:tabs>
              <w:ind w:left="3401" w:hanging="2267"/>
              <w:rPr>
                <w:b/>
                <w:bCs/>
                <w:lang w:val="fr-FR"/>
              </w:rPr>
            </w:pPr>
            <w:r w:rsidRPr="001623D3">
              <w:rPr>
                <w:b/>
                <w:bCs/>
                <w:lang w:val="fr-FR"/>
              </w:rPr>
              <w:t>Documents de référence</w:t>
            </w:r>
            <w:r w:rsidR="00F329DB">
              <w:rPr>
                <w:b/>
                <w:bCs/>
                <w:lang w:val="fr-FR"/>
              </w:rPr>
              <w:t> </w:t>
            </w:r>
            <w:r w:rsidRPr="001623D3">
              <w:rPr>
                <w:b/>
                <w:bCs/>
                <w:lang w:val="fr-FR"/>
              </w:rPr>
              <w:t>:</w:t>
            </w:r>
            <w:r w:rsidRPr="001623D3">
              <w:rPr>
                <w:lang w:val="fr-FR"/>
              </w:rPr>
              <w:tab/>
              <w:t>Aucun</w:t>
            </w:r>
          </w:p>
        </w:tc>
      </w:tr>
      <w:tr w:rsidR="005A7D9C" w:rsidTr="00216E0F">
        <w:trPr>
          <w:jc w:val="center"/>
        </w:trPr>
        <w:tc>
          <w:tcPr>
            <w:tcW w:w="9637" w:type="dxa"/>
            <w:shd w:val="clear" w:color="auto" w:fill="auto"/>
          </w:tcPr>
          <w:p w:rsidR="005A7D9C" w:rsidRDefault="005A7D9C" w:rsidP="00216E0F"/>
        </w:tc>
      </w:tr>
    </w:tbl>
    <w:p w:rsidR="005A7D9C" w:rsidRPr="001623D3" w:rsidRDefault="005A7D9C" w:rsidP="005A7D9C">
      <w:pPr>
        <w:pStyle w:val="HChG"/>
      </w:pPr>
      <w:r w:rsidRPr="001623D3">
        <w:rPr>
          <w:lang w:val="fr-FR"/>
        </w:rPr>
        <w:tab/>
      </w:r>
      <w:r w:rsidRPr="001623D3">
        <w:rPr>
          <w:lang w:val="fr-FR"/>
        </w:rPr>
        <w:tab/>
      </w:r>
      <w:r w:rsidRPr="005A7D9C">
        <w:t>Introduction</w:t>
      </w:r>
    </w:p>
    <w:p w:rsidR="005A7D9C" w:rsidRPr="001623D3" w:rsidRDefault="005A7D9C" w:rsidP="005A7D9C">
      <w:pPr>
        <w:pStyle w:val="SingleTxtG"/>
        <w:rPr>
          <w:lang w:val="fr-FR"/>
        </w:rPr>
      </w:pPr>
      <w:r w:rsidRPr="001623D3">
        <w:rPr>
          <w:lang w:val="fr-FR"/>
        </w:rPr>
        <w:t>1.</w:t>
      </w:r>
      <w:r w:rsidRPr="001623D3">
        <w:rPr>
          <w:lang w:val="fr-FR"/>
        </w:rPr>
        <w:tab/>
        <w:t>Le paragraphe 4.2.1 énonce principalement deux prescriptions s’appliquant au caisson calorimétrique en ce qui concerne la méthode d’essai servant à mesurer la puissance frigorifique utile W</w:t>
      </w:r>
      <w:r w:rsidRPr="001623D3">
        <w:rPr>
          <w:vertAlign w:val="subscript"/>
          <w:lang w:val="fr-FR"/>
        </w:rPr>
        <w:t>o</w:t>
      </w:r>
      <w:r w:rsidRPr="001623D3">
        <w:rPr>
          <w:lang w:val="fr-FR"/>
        </w:rPr>
        <w:t xml:space="preserve"> d’un groupe frigorifique de transport dont l’évaporateur n’est pas givré :</w:t>
      </w:r>
    </w:p>
    <w:p w:rsidR="005A7D9C" w:rsidRPr="001623D3" w:rsidRDefault="005A7D9C" w:rsidP="00F329DB">
      <w:pPr>
        <w:pStyle w:val="Bullet1G"/>
      </w:pPr>
      <w:r w:rsidRPr="001623D3">
        <w:rPr>
          <w:lang w:val="fr-FR"/>
        </w:rPr>
        <w:t xml:space="preserve">La transmission thermique du caisson calorimétrique </w:t>
      </w:r>
      <w:r w:rsidR="00C5163C" w:rsidRPr="00C5163C">
        <w:t>U·</w:t>
      </w:r>
      <w:r w:rsidR="00C5163C" w:rsidRPr="008C68C6">
        <w:rPr>
          <w:lang w:val="en-US"/>
        </w:rPr>
        <w:t>Δ</w:t>
      </w:r>
      <w:r w:rsidR="00C5163C" w:rsidRPr="00C5163C">
        <w:t xml:space="preserve">T </w:t>
      </w:r>
      <w:r w:rsidRPr="001623D3">
        <w:rPr>
          <w:lang w:val="fr-FR"/>
        </w:rPr>
        <w:t>ne doit pas représenter plus de 35</w:t>
      </w:r>
      <w:r w:rsidR="00C75B88">
        <w:rPr>
          <w:lang w:val="fr-FR"/>
        </w:rPr>
        <w:t> </w:t>
      </w:r>
      <w:r w:rsidRPr="001623D3">
        <w:rPr>
          <w:lang w:val="fr-FR"/>
        </w:rPr>
        <w:t xml:space="preserve">% de la puissance frigorifique utile </w:t>
      </w:r>
      <w:r w:rsidR="00076CBB" w:rsidRPr="00305F96">
        <w:t>W</w:t>
      </w:r>
      <w:r w:rsidR="00076CBB" w:rsidRPr="00305F96">
        <w:rPr>
          <w:vertAlign w:val="subscript"/>
        </w:rPr>
        <w:t>0</w:t>
      </w:r>
      <w:r w:rsidRPr="001623D3">
        <w:rPr>
          <w:lang w:val="fr-FR"/>
        </w:rPr>
        <w:t xml:space="preserve"> du groupe frigorifique</w:t>
      </w:r>
      <w:r w:rsidR="00535A9D">
        <w:rPr>
          <w:lang w:val="fr-FR"/>
        </w:rPr>
        <w:t> ;</w:t>
      </w:r>
    </w:p>
    <w:p w:rsidR="005A7D9C" w:rsidRPr="001623D3" w:rsidRDefault="005A7D9C" w:rsidP="005A7D9C">
      <w:pPr>
        <w:pStyle w:val="Bullet1G"/>
      </w:pPr>
      <w:r w:rsidRPr="001623D3">
        <w:rPr>
          <w:lang w:val="fr-FR"/>
        </w:rPr>
        <w:t xml:space="preserve">La </w:t>
      </w:r>
      <w:r w:rsidRPr="005A7D9C">
        <w:t>caisse</w:t>
      </w:r>
      <w:r w:rsidRPr="001623D3">
        <w:rPr>
          <w:lang w:val="fr-FR"/>
        </w:rPr>
        <w:t xml:space="preserve"> calorimétrique ou de transport doit être un engin isotherme renforcé, ce qui signifie que son coefficient K doit être égal ou inférieur à 0,40 W/m</w:t>
      </w:r>
      <w:r w:rsidRPr="001623D3">
        <w:rPr>
          <w:vertAlign w:val="superscript"/>
          <w:lang w:val="fr-FR"/>
        </w:rPr>
        <w:t>2</w:t>
      </w:r>
      <w:r w:rsidRPr="001623D3">
        <w:rPr>
          <w:lang w:val="fr-FR"/>
        </w:rPr>
        <w:t>K.</w:t>
      </w:r>
    </w:p>
    <w:p w:rsidR="005A7D9C" w:rsidRPr="001623D3" w:rsidRDefault="005A7D9C" w:rsidP="005A7D9C">
      <w:pPr>
        <w:pStyle w:val="SingleTxtG"/>
        <w:rPr>
          <w:lang w:val="fr-FR"/>
        </w:rPr>
      </w:pPr>
      <w:r w:rsidRPr="001623D3">
        <w:rPr>
          <w:lang w:val="fr-FR"/>
        </w:rPr>
        <w:lastRenderedPageBreak/>
        <w:t>2.</w:t>
      </w:r>
      <w:r w:rsidRPr="001623D3">
        <w:rPr>
          <w:lang w:val="fr-FR"/>
        </w:rPr>
        <w:tab/>
        <w:t>D’un point de vue technique, la seconde prescription n’est pas indispensable. Le fait que le caisson calorimétrique ne soit pas un engin isotherme renforcé ne nuit pas à la précision des mesures si la première prescription est respectée.</w:t>
      </w:r>
    </w:p>
    <w:p w:rsidR="005A7D9C" w:rsidRPr="001623D3" w:rsidRDefault="005A7D9C" w:rsidP="005A7D9C">
      <w:pPr>
        <w:pStyle w:val="SingleTxtG"/>
        <w:rPr>
          <w:lang w:val="fr-FR"/>
        </w:rPr>
      </w:pPr>
      <w:r w:rsidRPr="001623D3">
        <w:rPr>
          <w:lang w:val="fr-FR"/>
        </w:rPr>
        <w:t>3.</w:t>
      </w:r>
      <w:r w:rsidRPr="001623D3">
        <w:rPr>
          <w:lang w:val="fr-FR"/>
        </w:rPr>
        <w:tab/>
        <w:t>La suppression de la seconde prescription peut même permettre d’améliorer la précision des mesures étant donné que les panneaux isothermes renforcés ont une forte inertie et donc une capacité calorifique élevée ; un plus grand laps de temps est par conséquent nécessaire pour que la température intérieure des panneaux et la température d’air intérieure du caisson calorimétrique s’équilibrent.</w:t>
      </w:r>
    </w:p>
    <w:p w:rsidR="005A7D9C" w:rsidRPr="001623D3" w:rsidRDefault="005A7D9C" w:rsidP="005A7D9C">
      <w:pPr>
        <w:pStyle w:val="SingleTxtG"/>
      </w:pPr>
      <w:r w:rsidRPr="001623D3">
        <w:rPr>
          <w:lang w:val="fr-FR"/>
        </w:rPr>
        <w:t>4.</w:t>
      </w:r>
      <w:r w:rsidRPr="001623D3">
        <w:rPr>
          <w:lang w:val="fr-FR"/>
        </w:rPr>
        <w:tab/>
        <w:t>En outre, l’abandon de cette prescription permettrait de réduire les coûts pour les raisons suivantes :</w:t>
      </w:r>
    </w:p>
    <w:p w:rsidR="005A7D9C" w:rsidRPr="001623D3" w:rsidRDefault="00F329DB" w:rsidP="005A7D9C">
      <w:pPr>
        <w:pStyle w:val="Bullet1G"/>
        <w:numPr>
          <w:ilvl w:val="0"/>
          <w:numId w:val="17"/>
        </w:numPr>
        <w:kinsoku/>
        <w:overflowPunct/>
        <w:autoSpaceDE/>
        <w:autoSpaceDN/>
        <w:adjustRightInd/>
        <w:snapToGrid/>
        <w:spacing w:line="276" w:lineRule="auto"/>
      </w:pPr>
      <w:r>
        <w:rPr>
          <w:lang w:val="fr-FR"/>
        </w:rPr>
        <w:t>L</w:t>
      </w:r>
      <w:r w:rsidR="005A7D9C" w:rsidRPr="001623D3">
        <w:rPr>
          <w:lang w:val="fr-FR"/>
        </w:rPr>
        <w:t>a consommation d’énergie est moins importante. Les panneaux isothermes renforcés ont une forte inertie et donc une capacité calorifique élevée ; un plus grand laps de temps est par conséquent nécessaire pour que les températures à l’intérieur des panneaux et du caisson calorimétrique s’</w:t>
      </w:r>
      <w:r w:rsidR="00535A9D">
        <w:rPr>
          <w:lang w:val="fr-FR"/>
        </w:rPr>
        <w:t>équilibrent ;</w:t>
      </w:r>
    </w:p>
    <w:p w:rsidR="005A7D9C" w:rsidRPr="001623D3" w:rsidRDefault="00F329DB" w:rsidP="005A7D9C">
      <w:pPr>
        <w:pStyle w:val="Bullet1G"/>
        <w:numPr>
          <w:ilvl w:val="0"/>
          <w:numId w:val="17"/>
        </w:numPr>
        <w:kinsoku/>
        <w:overflowPunct/>
        <w:autoSpaceDE/>
        <w:autoSpaceDN/>
        <w:adjustRightInd/>
        <w:snapToGrid/>
        <w:spacing w:line="276" w:lineRule="auto"/>
      </w:pPr>
      <w:r>
        <w:rPr>
          <w:lang w:val="fr-FR"/>
        </w:rPr>
        <w:t>L</w:t>
      </w:r>
      <w:r w:rsidR="005A7D9C" w:rsidRPr="001623D3">
        <w:rPr>
          <w:lang w:val="fr-FR"/>
        </w:rPr>
        <w:t>es coûts d’acquisition sont moins élevés. Les caissons calorimétriques avec des panneaux isothermes renforcés coûtent cher. Les économies potentielles sont particulièrement importantes dans le cas des essais sur des groupes frigorifiques multi-températures pour lesquels jusqu’à trois caissons ca</w:t>
      </w:r>
      <w:r w:rsidR="00535A9D">
        <w:rPr>
          <w:lang w:val="fr-FR"/>
        </w:rPr>
        <w:t>lorimétriques sont nécessaires ;</w:t>
      </w:r>
    </w:p>
    <w:p w:rsidR="005A7D9C" w:rsidRPr="001623D3" w:rsidRDefault="00F329DB" w:rsidP="005A7D9C">
      <w:pPr>
        <w:pStyle w:val="Bullet1G"/>
        <w:numPr>
          <w:ilvl w:val="0"/>
          <w:numId w:val="17"/>
        </w:numPr>
        <w:kinsoku/>
        <w:overflowPunct/>
        <w:autoSpaceDE/>
        <w:autoSpaceDN/>
        <w:adjustRightInd/>
        <w:snapToGrid/>
        <w:spacing w:line="276" w:lineRule="auto"/>
      </w:pPr>
      <w:r>
        <w:t>L</w:t>
      </w:r>
      <w:r w:rsidR="005A7D9C" w:rsidRPr="001623D3">
        <w:rPr>
          <w:lang w:val="fr-FR"/>
        </w:rPr>
        <w:t>e volume interne des caissons calorimétriques peut être augmenté, ce qui est important car les dimensions extérieures sont limitées du fait du transport de l’engin complet à la station d’essai. En augmentant le volume interne, il est possible de simplifier l’installation de l’unité de condensation sur les caissons et la mise en place d’évaporateurs supplémentaires, notamment la tubulure, à l’intérieur des caissons dans le cas des groupes frigorifiques multi-températures. Il est rare de procéder à des essais sur des caissons dans lesquels plus de trois évaporateurs doivent être in</w:t>
      </w:r>
      <w:r w:rsidR="00535A9D">
        <w:rPr>
          <w:lang w:val="fr-FR"/>
        </w:rPr>
        <w:t>stallés ;</w:t>
      </w:r>
    </w:p>
    <w:p w:rsidR="005A7D9C" w:rsidRPr="001623D3" w:rsidRDefault="00F329DB" w:rsidP="005A7D9C">
      <w:pPr>
        <w:pStyle w:val="Bullet1G"/>
        <w:numPr>
          <w:ilvl w:val="0"/>
          <w:numId w:val="17"/>
        </w:numPr>
        <w:kinsoku/>
        <w:overflowPunct/>
        <w:autoSpaceDE/>
        <w:autoSpaceDN/>
        <w:adjustRightInd/>
        <w:snapToGrid/>
        <w:spacing w:line="276" w:lineRule="auto"/>
      </w:pPr>
      <w:r>
        <w:t>L</w:t>
      </w:r>
      <w:r w:rsidR="005A7D9C" w:rsidRPr="001623D3">
        <w:rPr>
          <w:lang w:val="fr-FR"/>
        </w:rPr>
        <w:t xml:space="preserve">e poids est réduit, ce qui facilite le transport des caissons calorimétriques de l’usine à la station d’essai. </w:t>
      </w:r>
    </w:p>
    <w:p w:rsidR="005A7D9C" w:rsidRPr="001623D3" w:rsidRDefault="005A7D9C" w:rsidP="005A7D9C">
      <w:pPr>
        <w:pStyle w:val="SingleTxtG"/>
        <w:rPr>
          <w:lang w:val="fr-FR"/>
        </w:rPr>
      </w:pPr>
      <w:r w:rsidRPr="001623D3">
        <w:rPr>
          <w:lang w:val="fr-FR"/>
        </w:rPr>
        <w:t>5.</w:t>
      </w:r>
      <w:r w:rsidRPr="001623D3">
        <w:rPr>
          <w:lang w:val="fr-FR"/>
        </w:rPr>
        <w:tab/>
        <w:t xml:space="preserve">En outre, le libellé de l’avant-dernière phrase du paragraphe 4.2.1 devrait être corrigé. Le flux thermique </w:t>
      </w:r>
      <w:r w:rsidR="00B87309" w:rsidRPr="00076CBB">
        <w:t>U·</w:t>
      </w:r>
      <w:r w:rsidR="00B87309" w:rsidRPr="008C68C6">
        <w:rPr>
          <w:lang w:val="en-US"/>
        </w:rPr>
        <w:t>Δ</w:t>
      </w:r>
      <w:r w:rsidR="00B87309" w:rsidRPr="00076CBB">
        <w:t xml:space="preserve">T </w:t>
      </w:r>
      <w:r w:rsidRPr="001623D3">
        <w:rPr>
          <w:lang w:val="fr-FR"/>
        </w:rPr>
        <w:t>ne doit pas représenter plus de 35</w:t>
      </w:r>
      <w:r w:rsidR="00F329DB">
        <w:rPr>
          <w:lang w:val="fr-FR"/>
        </w:rPr>
        <w:t> </w:t>
      </w:r>
      <w:r w:rsidRPr="001623D3">
        <w:rPr>
          <w:lang w:val="fr-FR"/>
        </w:rPr>
        <w:t xml:space="preserve">% de la puissance frigorifique utile </w:t>
      </w:r>
      <w:r w:rsidR="00305F96" w:rsidRPr="00076CBB">
        <w:t>W</w:t>
      </w:r>
      <w:r w:rsidR="00305F96" w:rsidRPr="00076CBB">
        <w:rPr>
          <w:vertAlign w:val="subscript"/>
        </w:rPr>
        <w:t>0</w:t>
      </w:r>
      <w:r w:rsidRPr="001623D3">
        <w:rPr>
          <w:lang w:val="fr-FR"/>
        </w:rPr>
        <w:t xml:space="preserve"> (et non du flux thermique total).</w:t>
      </w:r>
    </w:p>
    <w:p w:rsidR="005A7D9C" w:rsidRPr="001623D3" w:rsidRDefault="005A7D9C" w:rsidP="005A7D9C">
      <w:pPr>
        <w:pStyle w:val="HChG"/>
      </w:pPr>
      <w:r w:rsidRPr="001623D3">
        <w:tab/>
      </w:r>
      <w:r w:rsidRPr="001623D3">
        <w:tab/>
      </w:r>
      <w:r w:rsidRPr="005A7D9C">
        <w:t>Proposition</w:t>
      </w:r>
      <w:r w:rsidRPr="001623D3">
        <w:rPr>
          <w:lang w:val="fr-FR"/>
        </w:rPr>
        <w:t xml:space="preserve"> d’amendement</w:t>
      </w:r>
    </w:p>
    <w:p w:rsidR="005A7D9C" w:rsidRPr="001623D3" w:rsidRDefault="005A7D9C" w:rsidP="005A7D9C">
      <w:pPr>
        <w:pStyle w:val="SingleTxtG"/>
      </w:pPr>
      <w:r w:rsidRPr="001623D3">
        <w:rPr>
          <w:lang w:val="fr-FR"/>
        </w:rPr>
        <w:t>6.</w:t>
      </w:r>
      <w:r w:rsidRPr="001623D3">
        <w:rPr>
          <w:lang w:val="fr-FR"/>
        </w:rPr>
        <w:tab/>
        <w:t>Apporter les modifications suivantes au paragraphe 4.2.1 de l’appendice 2 de l’annexe 1</w:t>
      </w:r>
      <w:r w:rsidR="00F329DB">
        <w:rPr>
          <w:lang w:val="fr-FR"/>
        </w:rPr>
        <w:t> </w:t>
      </w:r>
      <w:r w:rsidRPr="001623D3">
        <w:rPr>
          <w:lang w:val="fr-FR"/>
        </w:rPr>
        <w:t>:</w:t>
      </w:r>
    </w:p>
    <w:p w:rsidR="005A7D9C" w:rsidRPr="001623D3" w:rsidRDefault="00F329DB" w:rsidP="005A7D9C">
      <w:pPr>
        <w:pStyle w:val="SingleTxtG"/>
        <w:rPr>
          <w:lang w:val="fr-FR"/>
        </w:rPr>
      </w:pPr>
      <w:r>
        <w:tab/>
      </w:r>
      <w:r w:rsidR="005A7D9C" w:rsidRPr="001623D3">
        <w:rPr>
          <w:lang w:val="fr-FR"/>
        </w:rPr>
        <w:t xml:space="preserve">Le caisson calorimétrique ou l’engin de transport sont placés dans une chambre isotherme. Si l’on utilise un caisson calorimétrique, </w:t>
      </w:r>
      <w:r w:rsidR="00305F96" w:rsidRPr="00076CBB">
        <w:t>U·</w:t>
      </w:r>
      <w:r w:rsidR="00305F96" w:rsidRPr="008C68C6">
        <w:rPr>
          <w:lang w:val="en-US"/>
        </w:rPr>
        <w:t>Δ</w:t>
      </w:r>
      <w:r w:rsidR="00305F96" w:rsidRPr="00076CBB">
        <w:t xml:space="preserve">T </w:t>
      </w:r>
      <w:r w:rsidR="005A7D9C" w:rsidRPr="001623D3">
        <w:rPr>
          <w:lang w:val="fr-FR"/>
        </w:rPr>
        <w:t>ne doit pas représenter plus de 35</w:t>
      </w:r>
      <w:r w:rsidR="00C75B88">
        <w:rPr>
          <w:lang w:val="fr-FR"/>
        </w:rPr>
        <w:t> </w:t>
      </w:r>
      <w:r w:rsidR="005A7D9C" w:rsidRPr="001623D3">
        <w:rPr>
          <w:lang w:val="fr-FR"/>
        </w:rPr>
        <w:t xml:space="preserve">% </w:t>
      </w:r>
      <w:r w:rsidR="005A7D9C" w:rsidRPr="001623D3">
        <w:rPr>
          <w:strike/>
          <w:lang w:val="fr-FR"/>
        </w:rPr>
        <w:t>du flux thermique total</w:t>
      </w:r>
      <w:r w:rsidR="005A7D9C" w:rsidRPr="001623D3">
        <w:rPr>
          <w:lang w:val="fr-FR"/>
        </w:rPr>
        <w:t xml:space="preserve"> de la puissance frigorifique utile </w:t>
      </w:r>
      <w:r w:rsidR="00076CBB" w:rsidRPr="00076CBB">
        <w:t>W</w:t>
      </w:r>
      <w:r w:rsidR="00076CBB" w:rsidRPr="00076CBB">
        <w:rPr>
          <w:vertAlign w:val="subscript"/>
        </w:rPr>
        <w:t>0</w:t>
      </w:r>
      <w:r w:rsidR="005A7D9C" w:rsidRPr="001623D3">
        <w:rPr>
          <w:lang w:val="fr-FR"/>
        </w:rPr>
        <w:t>.</w:t>
      </w:r>
    </w:p>
    <w:p w:rsidR="005A7D9C" w:rsidRPr="001623D3" w:rsidRDefault="00305F96" w:rsidP="005A7D9C">
      <w:pPr>
        <w:pStyle w:val="SingleTxtG"/>
        <w:rPr>
          <w:b/>
          <w:strike/>
        </w:rPr>
      </w:pPr>
      <w:r w:rsidRPr="00305F96">
        <w:rPr>
          <w:lang w:val="fr-FR"/>
        </w:rPr>
        <w:tab/>
      </w:r>
      <w:r w:rsidR="005A7D9C" w:rsidRPr="001623D3">
        <w:rPr>
          <w:strike/>
          <w:lang w:val="fr-FR"/>
        </w:rPr>
        <w:t>La caisse calorimétrique ou de transport doit être un engin isotherme renforcé.</w:t>
      </w:r>
    </w:p>
    <w:p w:rsidR="005A7D9C" w:rsidRPr="001623D3" w:rsidRDefault="005A7D9C" w:rsidP="005A7D9C">
      <w:pPr>
        <w:pStyle w:val="HChG"/>
      </w:pPr>
      <w:r w:rsidRPr="001623D3">
        <w:rPr>
          <w:lang w:val="fr-FR"/>
        </w:rPr>
        <w:tab/>
      </w:r>
      <w:r w:rsidRPr="001623D3">
        <w:rPr>
          <w:lang w:val="fr-FR"/>
        </w:rPr>
        <w:tab/>
      </w:r>
      <w:r w:rsidRPr="005A7D9C">
        <w:t>Incidences</w:t>
      </w:r>
    </w:p>
    <w:tbl>
      <w:tblPr>
        <w:tblW w:w="0" w:type="auto"/>
        <w:tblInd w:w="1134" w:type="dxa"/>
        <w:tblLayout w:type="fixed"/>
        <w:tblCellMar>
          <w:left w:w="0" w:type="dxa"/>
          <w:right w:w="0" w:type="dxa"/>
        </w:tblCellMar>
        <w:tblLook w:val="01E0" w:firstRow="1" w:lastRow="1" w:firstColumn="1" w:lastColumn="1" w:noHBand="0" w:noVBand="0"/>
      </w:tblPr>
      <w:tblGrid>
        <w:gridCol w:w="1985"/>
        <w:gridCol w:w="5528"/>
      </w:tblGrid>
      <w:tr w:rsidR="005A7D9C" w:rsidRPr="001623D3" w:rsidTr="00CE6B52">
        <w:tc>
          <w:tcPr>
            <w:tcW w:w="1985" w:type="dxa"/>
            <w:shd w:val="clear" w:color="auto" w:fill="auto"/>
          </w:tcPr>
          <w:p w:rsidR="005A7D9C" w:rsidRPr="001623D3" w:rsidRDefault="005A7D9C" w:rsidP="003920D9">
            <w:pPr>
              <w:spacing w:after="120" w:line="276" w:lineRule="auto"/>
              <w:jc w:val="both"/>
            </w:pPr>
            <w:r w:rsidRPr="001623D3">
              <w:rPr>
                <w:lang w:val="fr-FR"/>
              </w:rPr>
              <w:t>Coût :</w:t>
            </w:r>
          </w:p>
        </w:tc>
        <w:tc>
          <w:tcPr>
            <w:tcW w:w="5528" w:type="dxa"/>
            <w:shd w:val="clear" w:color="auto" w:fill="auto"/>
          </w:tcPr>
          <w:p w:rsidR="005A7D9C" w:rsidRPr="001623D3" w:rsidRDefault="005A7D9C" w:rsidP="00CE6B52">
            <w:pPr>
              <w:spacing w:after="120" w:line="276" w:lineRule="auto"/>
              <w:rPr>
                <w:lang w:val="fr-FR"/>
              </w:rPr>
            </w:pPr>
            <w:r w:rsidRPr="001623D3">
              <w:rPr>
                <w:lang w:val="fr-FR"/>
              </w:rPr>
              <w:t>Les coûts liés aux essais seront réduits sans pour autant que cela ait un effet négatif sur la précision des mesures.</w:t>
            </w:r>
          </w:p>
        </w:tc>
      </w:tr>
      <w:tr w:rsidR="005A7D9C" w:rsidRPr="001623D3" w:rsidTr="00CE6B52">
        <w:tc>
          <w:tcPr>
            <w:tcW w:w="1985" w:type="dxa"/>
            <w:shd w:val="clear" w:color="auto" w:fill="auto"/>
          </w:tcPr>
          <w:p w:rsidR="005A7D9C" w:rsidRPr="001623D3" w:rsidRDefault="005A7D9C" w:rsidP="003920D9">
            <w:pPr>
              <w:spacing w:after="120" w:line="276" w:lineRule="auto"/>
              <w:jc w:val="both"/>
            </w:pPr>
            <w:r w:rsidRPr="001623D3">
              <w:rPr>
                <w:lang w:val="fr-FR"/>
              </w:rPr>
              <w:t>Faisabilité :</w:t>
            </w:r>
          </w:p>
        </w:tc>
        <w:tc>
          <w:tcPr>
            <w:tcW w:w="5528" w:type="dxa"/>
            <w:shd w:val="clear" w:color="auto" w:fill="auto"/>
          </w:tcPr>
          <w:p w:rsidR="005A7D9C" w:rsidRPr="001623D3" w:rsidRDefault="005A7D9C" w:rsidP="003920D9">
            <w:pPr>
              <w:spacing w:after="120" w:line="276" w:lineRule="auto"/>
              <w:rPr>
                <w:lang w:val="fr-FR"/>
              </w:rPr>
            </w:pPr>
            <w:r w:rsidRPr="001623D3">
              <w:rPr>
                <w:lang w:val="fr-FR"/>
              </w:rPr>
              <w:t>L’amendement proposé peut facilement être transposé dans l’ATP. Une période transitoire n’est pas nécessaire.</w:t>
            </w:r>
          </w:p>
        </w:tc>
      </w:tr>
      <w:tr w:rsidR="005A7D9C" w:rsidRPr="001623D3" w:rsidTr="00CE6B52">
        <w:tc>
          <w:tcPr>
            <w:tcW w:w="1985" w:type="dxa"/>
            <w:shd w:val="clear" w:color="auto" w:fill="auto"/>
          </w:tcPr>
          <w:p w:rsidR="005A7D9C" w:rsidRPr="001623D3" w:rsidRDefault="005A7D9C" w:rsidP="003920D9">
            <w:pPr>
              <w:spacing w:after="120" w:line="276" w:lineRule="auto"/>
              <w:jc w:val="both"/>
            </w:pPr>
            <w:r w:rsidRPr="001623D3">
              <w:rPr>
                <w:lang w:val="fr-FR"/>
              </w:rPr>
              <w:t>Application effective :</w:t>
            </w:r>
          </w:p>
        </w:tc>
        <w:tc>
          <w:tcPr>
            <w:tcW w:w="5528" w:type="dxa"/>
            <w:shd w:val="clear" w:color="auto" w:fill="auto"/>
          </w:tcPr>
          <w:p w:rsidR="005A7D9C" w:rsidRPr="001623D3" w:rsidRDefault="005A7D9C" w:rsidP="003920D9">
            <w:pPr>
              <w:spacing w:after="120" w:line="276" w:lineRule="auto"/>
              <w:jc w:val="both"/>
            </w:pPr>
            <w:r w:rsidRPr="001623D3">
              <w:rPr>
                <w:lang w:val="fr-FR"/>
              </w:rPr>
              <w:t>Aucune difficulté n’est à prévoir.</w:t>
            </w:r>
          </w:p>
        </w:tc>
      </w:tr>
    </w:tbl>
    <w:p w:rsidR="00F9573C" w:rsidRPr="00F329DB" w:rsidRDefault="00F329DB" w:rsidP="00F329DB">
      <w:pPr>
        <w:pStyle w:val="SingleTxtG"/>
        <w:spacing w:before="240" w:after="0"/>
        <w:jc w:val="center"/>
        <w:rPr>
          <w:u w:val="single"/>
        </w:rPr>
      </w:pPr>
      <w:r>
        <w:rPr>
          <w:u w:val="single"/>
        </w:rPr>
        <w:lastRenderedPageBreak/>
        <w:tab/>
      </w:r>
      <w:r>
        <w:rPr>
          <w:u w:val="single"/>
        </w:rPr>
        <w:tab/>
      </w:r>
      <w:r>
        <w:rPr>
          <w:u w:val="single"/>
        </w:rPr>
        <w:tab/>
      </w:r>
    </w:p>
    <w:sectPr w:rsidR="00F9573C" w:rsidRPr="00F329DB" w:rsidSect="005A7D9C">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111F" w:rsidRDefault="00F5111F" w:rsidP="00F95C08">
      <w:pPr>
        <w:spacing w:line="240" w:lineRule="auto"/>
      </w:pPr>
    </w:p>
  </w:endnote>
  <w:endnote w:type="continuationSeparator" w:id="0">
    <w:p w:rsidR="00F5111F" w:rsidRPr="00AC3823" w:rsidRDefault="00F5111F" w:rsidP="00AC3823">
      <w:pPr>
        <w:pStyle w:val="Footer"/>
      </w:pPr>
    </w:p>
  </w:endnote>
  <w:endnote w:type="continuationNotice" w:id="1">
    <w:p w:rsidR="00F5111F" w:rsidRDefault="00F5111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7D9C" w:rsidRPr="005A7D9C" w:rsidRDefault="005A7D9C" w:rsidP="005A7D9C">
    <w:pPr>
      <w:pStyle w:val="Footer"/>
      <w:tabs>
        <w:tab w:val="right" w:pos="9638"/>
      </w:tabs>
    </w:pPr>
    <w:r w:rsidRPr="005A7D9C">
      <w:rPr>
        <w:b/>
        <w:sz w:val="18"/>
      </w:rPr>
      <w:fldChar w:fldCharType="begin"/>
    </w:r>
    <w:r w:rsidRPr="005A7D9C">
      <w:rPr>
        <w:b/>
        <w:sz w:val="18"/>
      </w:rPr>
      <w:instrText xml:space="preserve"> PAGE  \* MERGEFORMAT </w:instrText>
    </w:r>
    <w:r w:rsidRPr="005A7D9C">
      <w:rPr>
        <w:b/>
        <w:sz w:val="18"/>
      </w:rPr>
      <w:fldChar w:fldCharType="separate"/>
    </w:r>
    <w:r w:rsidR="00DF2BA5">
      <w:rPr>
        <w:b/>
        <w:noProof/>
        <w:sz w:val="18"/>
      </w:rPr>
      <w:t>2</w:t>
    </w:r>
    <w:r w:rsidRPr="005A7D9C">
      <w:rPr>
        <w:b/>
        <w:sz w:val="18"/>
      </w:rPr>
      <w:fldChar w:fldCharType="end"/>
    </w:r>
    <w:r>
      <w:rPr>
        <w:b/>
        <w:sz w:val="18"/>
      </w:rPr>
      <w:tab/>
    </w:r>
    <w:r>
      <w:t>GE.18-12264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7D9C" w:rsidRPr="005A7D9C" w:rsidRDefault="005A7D9C" w:rsidP="005A7D9C">
    <w:pPr>
      <w:pStyle w:val="Footer"/>
      <w:tabs>
        <w:tab w:val="right" w:pos="9638"/>
      </w:tabs>
      <w:rPr>
        <w:b/>
        <w:sz w:val="18"/>
      </w:rPr>
    </w:pPr>
    <w:r>
      <w:t>GE.18-12264</w:t>
    </w:r>
    <w:r>
      <w:tab/>
    </w:r>
    <w:r w:rsidRPr="005A7D9C">
      <w:rPr>
        <w:b/>
        <w:sz w:val="18"/>
      </w:rPr>
      <w:fldChar w:fldCharType="begin"/>
    </w:r>
    <w:r w:rsidRPr="005A7D9C">
      <w:rPr>
        <w:b/>
        <w:sz w:val="18"/>
      </w:rPr>
      <w:instrText xml:space="preserve"> PAGE  \* MERGEFORMAT </w:instrText>
    </w:r>
    <w:r w:rsidRPr="005A7D9C">
      <w:rPr>
        <w:b/>
        <w:sz w:val="18"/>
      </w:rPr>
      <w:fldChar w:fldCharType="separate"/>
    </w:r>
    <w:r w:rsidR="000362B0">
      <w:rPr>
        <w:b/>
        <w:noProof/>
        <w:sz w:val="18"/>
      </w:rPr>
      <w:t>2</w:t>
    </w:r>
    <w:r w:rsidRPr="005A7D9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0FA" w:rsidRPr="005A7D9C" w:rsidRDefault="005A7D9C" w:rsidP="005A7D9C">
    <w:pPr>
      <w:pStyle w:val="Footer"/>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18-12264  (F)</w:t>
    </w:r>
    <w:r w:rsidR="00591A04">
      <w:rPr>
        <w:sz w:val="20"/>
      </w:rPr>
      <w:t xml:space="preserve">    170818    230818</w:t>
    </w:r>
    <w:r>
      <w:rPr>
        <w:sz w:val="20"/>
      </w:rPr>
      <w:br/>
    </w:r>
    <w:r w:rsidRPr="005A7D9C">
      <w:rPr>
        <w:rFonts w:ascii="C39T30Lfz" w:hAnsi="C39T30Lfz"/>
        <w:sz w:val="56"/>
      </w:rPr>
      <w:t></w:t>
    </w:r>
    <w:r w:rsidRPr="005A7D9C">
      <w:rPr>
        <w:rFonts w:ascii="C39T30Lfz" w:hAnsi="C39T30Lfz"/>
        <w:sz w:val="56"/>
      </w:rPr>
      <w:t></w:t>
    </w:r>
    <w:r w:rsidRPr="005A7D9C">
      <w:rPr>
        <w:rFonts w:ascii="C39T30Lfz" w:hAnsi="C39T30Lfz"/>
        <w:sz w:val="56"/>
      </w:rPr>
      <w:t></w:t>
    </w:r>
    <w:r w:rsidRPr="005A7D9C">
      <w:rPr>
        <w:rFonts w:ascii="C39T30Lfz" w:hAnsi="C39T30Lfz"/>
        <w:sz w:val="56"/>
      </w:rPr>
      <w:t></w:t>
    </w:r>
    <w:r w:rsidRPr="005A7D9C">
      <w:rPr>
        <w:rFonts w:ascii="C39T30Lfz" w:hAnsi="C39T30Lfz"/>
        <w:sz w:val="56"/>
      </w:rPr>
      <w:t></w:t>
    </w:r>
    <w:r w:rsidRPr="005A7D9C">
      <w:rPr>
        <w:rFonts w:ascii="C39T30Lfz" w:hAnsi="C39T30Lfz"/>
        <w:sz w:val="56"/>
      </w:rPr>
      <w:t></w:t>
    </w:r>
    <w:r w:rsidRPr="005A7D9C">
      <w:rPr>
        <w:rFonts w:ascii="C39T30Lfz" w:hAnsi="C39T30Lfz"/>
        <w:sz w:val="56"/>
      </w:rPr>
      <w:t></w:t>
    </w:r>
    <w:r w:rsidRPr="005A7D9C">
      <w:rPr>
        <w:rFonts w:ascii="C39T30Lfz" w:hAnsi="C39T30Lfz"/>
        <w:sz w:val="56"/>
      </w:rPr>
      <w:t></w:t>
    </w:r>
    <w:r w:rsidRPr="005A7D9C">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11/2018/14&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1/2018/14&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111F" w:rsidRPr="00AC3823" w:rsidRDefault="00F5111F" w:rsidP="00AC3823">
      <w:pPr>
        <w:pStyle w:val="Footer"/>
        <w:tabs>
          <w:tab w:val="right" w:pos="2155"/>
        </w:tabs>
        <w:spacing w:after="80" w:line="240" w:lineRule="atLeast"/>
        <w:ind w:left="680"/>
        <w:rPr>
          <w:u w:val="single"/>
        </w:rPr>
      </w:pPr>
      <w:r>
        <w:rPr>
          <w:u w:val="single"/>
        </w:rPr>
        <w:tab/>
      </w:r>
    </w:p>
  </w:footnote>
  <w:footnote w:type="continuationSeparator" w:id="0">
    <w:p w:rsidR="00F5111F" w:rsidRPr="00AC3823" w:rsidRDefault="00F5111F" w:rsidP="00AC3823">
      <w:pPr>
        <w:pStyle w:val="Footer"/>
        <w:tabs>
          <w:tab w:val="right" w:pos="2155"/>
        </w:tabs>
        <w:spacing w:after="80" w:line="240" w:lineRule="atLeast"/>
        <w:ind w:left="680"/>
        <w:rPr>
          <w:u w:val="single"/>
        </w:rPr>
      </w:pPr>
      <w:r>
        <w:rPr>
          <w:u w:val="single"/>
        </w:rPr>
        <w:tab/>
      </w:r>
    </w:p>
  </w:footnote>
  <w:footnote w:type="continuationNotice" w:id="1">
    <w:p w:rsidR="00F5111F" w:rsidRPr="00AC3823" w:rsidRDefault="00F5111F">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7D9C" w:rsidRPr="005A7D9C" w:rsidRDefault="001C591B">
    <w:pPr>
      <w:pStyle w:val="Header"/>
    </w:pPr>
    <w:r>
      <w:fldChar w:fldCharType="begin"/>
    </w:r>
    <w:r>
      <w:instrText xml:space="preserve"> TITLE  \* MERGEFORMAT </w:instrText>
    </w:r>
    <w:r>
      <w:fldChar w:fldCharType="separate"/>
    </w:r>
    <w:r w:rsidR="00DF2BA5">
      <w:t>ECE/TRANS/WP.11/2018/14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7D9C" w:rsidRPr="005A7D9C" w:rsidRDefault="001C591B" w:rsidP="005A7D9C">
    <w:pPr>
      <w:pStyle w:val="Header"/>
      <w:jc w:val="right"/>
    </w:pPr>
    <w:r>
      <w:fldChar w:fldCharType="begin"/>
    </w:r>
    <w:r>
      <w:instrText xml:space="preserve"> TITLE  \* MERGEFORMAT </w:instrText>
    </w:r>
    <w:r>
      <w:fldChar w:fldCharType="separate"/>
    </w:r>
    <w:r w:rsidR="00DF2BA5">
      <w:t>ECE/TRANS/WP.11/2018/14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3"/>
  </w:num>
  <w:num w:numId="2">
    <w:abstractNumId w:val="12"/>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3"/>
  </w:num>
  <w:num w:numId="15">
    <w:abstractNumId w:val="12"/>
  </w:num>
  <w:num w:numId="16">
    <w:abstractNumId w:val="10"/>
  </w:num>
  <w:num w:numId="17">
    <w:abstractNumId w:val="11"/>
    <w:lvlOverride w:ilvl="0">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111F"/>
    <w:rsid w:val="00017F94"/>
    <w:rsid w:val="00023842"/>
    <w:rsid w:val="000334F9"/>
    <w:rsid w:val="000362B0"/>
    <w:rsid w:val="000400FB"/>
    <w:rsid w:val="00045FEB"/>
    <w:rsid w:val="00076CBB"/>
    <w:rsid w:val="0007796D"/>
    <w:rsid w:val="000B7790"/>
    <w:rsid w:val="00111F2F"/>
    <w:rsid w:val="0014365E"/>
    <w:rsid w:val="00143C66"/>
    <w:rsid w:val="00176178"/>
    <w:rsid w:val="001C591B"/>
    <w:rsid w:val="001F525A"/>
    <w:rsid w:val="00223272"/>
    <w:rsid w:val="0024779E"/>
    <w:rsid w:val="00257168"/>
    <w:rsid w:val="002744B8"/>
    <w:rsid w:val="002832AC"/>
    <w:rsid w:val="002B39B2"/>
    <w:rsid w:val="002D7C93"/>
    <w:rsid w:val="00305801"/>
    <w:rsid w:val="00305F96"/>
    <w:rsid w:val="003916DE"/>
    <w:rsid w:val="00421996"/>
    <w:rsid w:val="00441C3B"/>
    <w:rsid w:val="00446FE5"/>
    <w:rsid w:val="00452396"/>
    <w:rsid w:val="004837D8"/>
    <w:rsid w:val="004E2EED"/>
    <w:rsid w:val="004E468C"/>
    <w:rsid w:val="00525E01"/>
    <w:rsid w:val="00535A9D"/>
    <w:rsid w:val="005505B7"/>
    <w:rsid w:val="00573BE5"/>
    <w:rsid w:val="00586ED3"/>
    <w:rsid w:val="00591A04"/>
    <w:rsid w:val="00596AA9"/>
    <w:rsid w:val="005A7D9C"/>
    <w:rsid w:val="0071601D"/>
    <w:rsid w:val="007A62E6"/>
    <w:rsid w:val="007F20FA"/>
    <w:rsid w:val="0080684C"/>
    <w:rsid w:val="0085023F"/>
    <w:rsid w:val="00871C75"/>
    <w:rsid w:val="008776DC"/>
    <w:rsid w:val="00887E9E"/>
    <w:rsid w:val="009446C0"/>
    <w:rsid w:val="009705C8"/>
    <w:rsid w:val="009C1CF4"/>
    <w:rsid w:val="009F6B74"/>
    <w:rsid w:val="00A3029F"/>
    <w:rsid w:val="00A30353"/>
    <w:rsid w:val="00AC3823"/>
    <w:rsid w:val="00AE323C"/>
    <w:rsid w:val="00AF0CB5"/>
    <w:rsid w:val="00B00181"/>
    <w:rsid w:val="00B00B0D"/>
    <w:rsid w:val="00B45F2E"/>
    <w:rsid w:val="00B765F7"/>
    <w:rsid w:val="00B87309"/>
    <w:rsid w:val="00BA0CA9"/>
    <w:rsid w:val="00C02897"/>
    <w:rsid w:val="00C5163C"/>
    <w:rsid w:val="00C75B88"/>
    <w:rsid w:val="00C97039"/>
    <w:rsid w:val="00CE6B52"/>
    <w:rsid w:val="00D3439C"/>
    <w:rsid w:val="00D354EE"/>
    <w:rsid w:val="00DB1831"/>
    <w:rsid w:val="00DD3BFD"/>
    <w:rsid w:val="00DF2BA5"/>
    <w:rsid w:val="00DF6678"/>
    <w:rsid w:val="00E0299A"/>
    <w:rsid w:val="00E85C74"/>
    <w:rsid w:val="00EA6547"/>
    <w:rsid w:val="00EF2E22"/>
    <w:rsid w:val="00F329DB"/>
    <w:rsid w:val="00F35BAF"/>
    <w:rsid w:val="00F5111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779B0E1-EC8E-48BC-B27B-92F5F412C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rsid w:val="005A7D9C"/>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683</Words>
  <Characters>3899</Characters>
  <Application>Microsoft Office Word</Application>
  <DocSecurity>0</DocSecurity>
  <Lines>32</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ECE/TRANS/WP.11/2018/14</vt:lpstr>
      <vt:lpstr>ECE/TRANS/WP.11/2018/14</vt:lpstr>
    </vt:vector>
  </TitlesOfParts>
  <Company>DCM</Company>
  <LinksUpToDate>false</LinksUpToDate>
  <CharactersWithSpaces>4573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ECE/TRANS/WP.11/2018/14</dc:title>
  <dc:subject/>
  <dc:creator>Isabelle VIGNY</dc:creator>
  <cp:keywords/>
  <cp:lastModifiedBy>Secretariat</cp:lastModifiedBy>
  <cp:revision>2</cp:revision>
  <cp:lastPrinted>2018-08-23T15:10:00Z</cp:lastPrinted>
  <dcterms:created xsi:type="dcterms:W3CDTF">2018-08-27T14:31:00Z</dcterms:created>
  <dcterms:modified xsi:type="dcterms:W3CDTF">2018-08-27T14:31:00Z</dcterms:modified>
</cp:coreProperties>
</file>