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60C6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60C63" w:rsidP="00F60C63">
            <w:pPr>
              <w:jc w:val="right"/>
            </w:pPr>
            <w:r w:rsidRPr="00F60C63">
              <w:rPr>
                <w:sz w:val="40"/>
              </w:rPr>
              <w:t>ECE</w:t>
            </w:r>
            <w:r>
              <w:t>/TRANS/WP.11/2018/5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60C63" w:rsidP="00C97039">
            <w:pPr>
              <w:spacing w:before="240"/>
            </w:pPr>
            <w:r>
              <w:t>Distr. générale</w:t>
            </w:r>
          </w:p>
          <w:p w:rsidR="00F60C63" w:rsidRDefault="00F60C63" w:rsidP="00F60C63">
            <w:pPr>
              <w:spacing w:line="240" w:lineRule="exact"/>
            </w:pPr>
            <w:r>
              <w:t>29 juin 2018</w:t>
            </w:r>
          </w:p>
          <w:p w:rsidR="00F60C63" w:rsidRDefault="00F60C63" w:rsidP="00F60C63">
            <w:pPr>
              <w:spacing w:line="240" w:lineRule="exact"/>
            </w:pPr>
            <w:r>
              <w:t>Français</w:t>
            </w:r>
          </w:p>
          <w:p w:rsidR="00F60C63" w:rsidRPr="00DB58B5" w:rsidRDefault="00F60C63" w:rsidP="00F60C6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60C63" w:rsidRPr="00685843" w:rsidRDefault="00F60C63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F60C63" w:rsidRPr="00F30D47" w:rsidRDefault="00F60C63" w:rsidP="00305801">
      <w:pPr>
        <w:spacing w:before="120"/>
        <w:rPr>
          <w:b/>
        </w:rPr>
      </w:pPr>
      <w:r>
        <w:rPr>
          <w:b/>
          <w:bCs/>
          <w:lang w:val="fr-FR"/>
        </w:rPr>
        <w:t xml:space="preserve">Soixante-quatorzième </w:t>
      </w:r>
      <w:r w:rsidRPr="00F30D47">
        <w:rPr>
          <w:b/>
        </w:rPr>
        <w:t>session</w:t>
      </w:r>
    </w:p>
    <w:p w:rsidR="00F60C63" w:rsidRDefault="00F60C63" w:rsidP="00305801">
      <w:r>
        <w:t xml:space="preserve">Genève, </w:t>
      </w:r>
      <w:r>
        <w:rPr>
          <w:lang w:val="fr-FR"/>
        </w:rPr>
        <w:t>8-12 octobre 2018</w:t>
      </w:r>
    </w:p>
    <w:p w:rsidR="00F60C63" w:rsidRDefault="00F60C63" w:rsidP="00305801">
      <w:r>
        <w:t>Point 6 a) de l’ordre du jour provisoire</w:t>
      </w:r>
    </w:p>
    <w:p w:rsidR="00F60C63" w:rsidRPr="00A669AF" w:rsidRDefault="00F60C63" w:rsidP="00F60C63">
      <w:pPr>
        <w:rPr>
          <w:b/>
          <w:bCs/>
        </w:rPr>
      </w:pPr>
      <w:r>
        <w:rPr>
          <w:b/>
          <w:bCs/>
          <w:lang w:val="fr-FR"/>
        </w:rPr>
        <w:t>Propositions d’amendements à l’ATP :</w:t>
      </w:r>
      <w:r>
        <w:rPr>
          <w:b/>
          <w:bCs/>
          <w:lang w:val="fr-FR"/>
        </w:rPr>
        <w:br/>
        <w:t>Propositions en suspens</w:t>
      </w:r>
    </w:p>
    <w:p w:rsidR="00F60C63" w:rsidRPr="00A669AF" w:rsidRDefault="00F60C63" w:rsidP="00F60C63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Amendements au paragraphe 3.2.6 de l’appendice 2</w:t>
      </w:r>
      <w:r>
        <w:rPr>
          <w:lang w:val="fr-FR"/>
        </w:rPr>
        <w:br/>
        <w:t>de l’annexe 1 et à l’appendice 3 de l’annexe 1</w:t>
      </w:r>
    </w:p>
    <w:p w:rsidR="00F60C63" w:rsidRPr="00A669AF" w:rsidRDefault="00F60C63" w:rsidP="00F60C63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 Gouvernement du Royaume-Uni</w:t>
      </w:r>
    </w:p>
    <w:p w:rsidR="00F60C63" w:rsidRPr="00A669AF" w:rsidRDefault="00F60C63" w:rsidP="00F60C63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:rsidR="00F60C63" w:rsidRPr="00A669AF" w:rsidRDefault="00F60C63" w:rsidP="00F60C63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 xml:space="preserve">Il n’existe actuellement aucune prescription concernant le débit d’air quand bien même le réfrigérant secondaire est indispensable pour la sécurité du transport de chargements de denrées périssables dans des véhicules frigorifiques. </w:t>
      </w:r>
    </w:p>
    <w:p w:rsidR="00F60C63" w:rsidRPr="00A669AF" w:rsidRDefault="00F60C63" w:rsidP="00F60C63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 xml:space="preserve">Selon le texte actuel, la mesure du débit d’air n’est que facultative. La </w:t>
      </w:r>
      <w:r w:rsidR="00CD3F97">
        <w:rPr>
          <w:lang w:val="fr-FR"/>
        </w:rPr>
        <w:t>première</w:t>
      </w:r>
      <w:r>
        <w:rPr>
          <w:lang w:val="fr-FR"/>
        </w:rPr>
        <w:t xml:space="preserve"> phrase du paragraphe 4.3.4 ii) de l’appendice 2 de l’annexe 1 est en effet libellée comme suit : </w:t>
      </w:r>
    </w:p>
    <w:p w:rsidR="00F60C63" w:rsidRPr="00A669AF" w:rsidRDefault="00F60C63" w:rsidP="00F60C63">
      <w:pPr>
        <w:pStyle w:val="SingleTxtG"/>
        <w:ind w:left="1701"/>
      </w:pPr>
      <w:r>
        <w:rPr>
          <w:lang w:val="fr-FR"/>
        </w:rPr>
        <w:t>« Si l’on se propose de mesurer le débit d’air déplacé par les ventilateurs de l’évaporateur d’un groupe frigorifique, on utilise des méthodes capables de mesurer le volume total déplacé. ».</w:t>
      </w:r>
    </w:p>
    <w:p w:rsidR="00F60C63" w:rsidRPr="00A669AF" w:rsidRDefault="00F60C63" w:rsidP="00F60C63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Une proposition du Royaume-Uni (ECE/TRANS/WP.11/2012/5) visant à modifier le texte en ce qui concerne la mesure du débit d’air a été présentée à la soixante</w:t>
      </w:r>
      <w:r w:rsidR="00682967">
        <w:rPr>
          <w:lang w:val="fr-FR"/>
        </w:rPr>
        <w:noBreakHyphen/>
      </w:r>
      <w:r>
        <w:rPr>
          <w:lang w:val="fr-FR"/>
        </w:rPr>
        <w:t>huitième</w:t>
      </w:r>
      <w:r w:rsidR="00E4265C">
        <w:rPr>
          <w:lang w:val="fr-FR"/>
        </w:rPr>
        <w:t> </w:t>
      </w:r>
      <w:r>
        <w:rPr>
          <w:lang w:val="fr-FR"/>
        </w:rPr>
        <w:t>session. Elle n’a pas été acceptée, car la vérification des chiffres déclarés par les fabricants n’est pas obligatoire. Il a été suggéré qu’un groupe de travail établisse une nouvelle proposition, modifiée, pour l’année suivante.</w:t>
      </w:r>
    </w:p>
    <w:p w:rsidR="00F60C63" w:rsidRPr="00A669AF" w:rsidRDefault="00F60C63" w:rsidP="00F60C63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Le Royaume-Uni a soumis un document informel (INF.5) pour examen à la soixante</w:t>
      </w:r>
      <w:r>
        <w:rPr>
          <w:lang w:val="fr-FR"/>
        </w:rPr>
        <w:noBreakHyphen/>
        <w:t>neuvième session du WP.11 et il a été suggéré qu’un groupe de travail informel soit créé.</w:t>
      </w:r>
    </w:p>
    <w:p w:rsidR="00F60C63" w:rsidRPr="00A669AF" w:rsidRDefault="00F60C63" w:rsidP="00F60C63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Le Royaume-Uni a ensuite soumis un document de travail (ECE/TRANS/WP.11/2014/15, partie A), qui a été adopté à la soixante-dixième session du WP.11.</w:t>
      </w:r>
    </w:p>
    <w:p w:rsidR="00F60C63" w:rsidRPr="00A669AF" w:rsidRDefault="00F60C63" w:rsidP="00F60C63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 xml:space="preserve">Le 17 septembre 2015, le Gouvernement finlandais a formulé une objection au sujet de la proposition d’amendement au paragraphe 3.2.6 </w:t>
      </w:r>
      <w:r w:rsidR="00682967">
        <w:rPr>
          <w:lang w:val="fr-FR"/>
        </w:rPr>
        <w:t>de l’appendice 2 de l’annexe </w:t>
      </w:r>
      <w:r>
        <w:rPr>
          <w:lang w:val="fr-FR"/>
        </w:rPr>
        <w:t xml:space="preserve">1 </w:t>
      </w:r>
      <w:r>
        <w:rPr>
          <w:lang w:val="fr-FR"/>
        </w:rPr>
        <w:lastRenderedPageBreak/>
        <w:t xml:space="preserve">(C.N.481.2015.TREATIES-X1.B.22) (proposition de prescription du débit d’air à 60 changements d’air à l’heure). Cette objection s’appliquait à une seule proposition et n’a donc pas eu d’influence sur les autres propositions. </w:t>
      </w:r>
    </w:p>
    <w:p w:rsidR="00F60C63" w:rsidRPr="00A669AF" w:rsidRDefault="00F60C63" w:rsidP="00F60C63">
      <w:pPr>
        <w:pStyle w:val="SingleTxtG"/>
      </w:pPr>
      <w:r>
        <w:rPr>
          <w:lang w:val="fr-FR"/>
        </w:rPr>
        <w:t>7.</w:t>
      </w:r>
      <w:r>
        <w:rPr>
          <w:lang w:val="fr-FR"/>
        </w:rPr>
        <w:tab/>
        <w:t>À la réunion CERTE de cette année, le Royaume-Uni a présenté une proposition modifiée qui n’a pas été acceptée pour approbation par le WP.11. Il a été suggéré de modifier la proposition originale.</w:t>
      </w:r>
    </w:p>
    <w:p w:rsidR="00F60C63" w:rsidRPr="00A669AF" w:rsidRDefault="00F60C63" w:rsidP="00F60C63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Modifications proposées</w:t>
      </w:r>
    </w:p>
    <w:p w:rsidR="00F60C63" w:rsidRPr="00A669AF" w:rsidRDefault="00F60C63" w:rsidP="00F60C63">
      <w:pPr>
        <w:pStyle w:val="SingleTxtG"/>
      </w:pPr>
      <w:r>
        <w:rPr>
          <w:lang w:val="fr-FR"/>
        </w:rPr>
        <w:t>8.</w:t>
      </w:r>
      <w:r>
        <w:rPr>
          <w:lang w:val="fr-FR"/>
        </w:rPr>
        <w:tab/>
        <w:t>Il est proposé de modifier le texte comme suit, avec une note de bas de page.</w:t>
      </w:r>
    </w:p>
    <w:p w:rsidR="00F60C63" w:rsidRPr="00A669AF" w:rsidRDefault="00F60C63" w:rsidP="00F60C63">
      <w:pPr>
        <w:pStyle w:val="SingleTxtG"/>
        <w:rPr>
          <w:rFonts w:asciiTheme="majorBidi" w:hAnsiTheme="majorBidi" w:cstheme="majorBidi"/>
          <w:color w:val="000000"/>
        </w:rPr>
      </w:pPr>
      <w:r>
        <w:rPr>
          <w:lang w:val="fr-FR"/>
        </w:rPr>
        <w:t>Après le paragraphe 3.2.6, ajouter le paragraphe suivant :</w:t>
      </w:r>
    </w:p>
    <w:p w:rsidR="00F60C63" w:rsidRPr="00A669AF" w:rsidRDefault="00D243E6" w:rsidP="00F60C63">
      <w:pPr>
        <w:pStyle w:val="SingleTxtG"/>
        <w:ind w:left="1701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noProof/>
          <w:color w:val="000000"/>
          <w:lang w:eastAsia="fr-CH"/>
        </w:rPr>
        <w:drawing>
          <wp:anchor distT="0" distB="0" distL="114300" distR="114300" simplePos="0" relativeHeight="251658752" behindDoc="1" locked="0" layoutInCell="1" allowOverlap="1" wp14:anchorId="4D8A65E4" wp14:editId="5173C4A7">
            <wp:simplePos x="0" y="0"/>
            <wp:positionH relativeFrom="column">
              <wp:posOffset>1087755</wp:posOffset>
            </wp:positionH>
            <wp:positionV relativeFrom="paragraph">
              <wp:posOffset>346710</wp:posOffset>
            </wp:positionV>
            <wp:extent cx="167640" cy="223520"/>
            <wp:effectExtent l="0" t="0" r="3810" b="5080"/>
            <wp:wrapThrough wrapText="bothSides">
              <wp:wrapPolygon edited="0">
                <wp:start x="0" y="0"/>
                <wp:lineTo x="0" y="20250"/>
                <wp:lineTo x="19636" y="20250"/>
                <wp:lineTo x="19636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C63">
        <w:rPr>
          <w:lang w:val="fr-FR"/>
        </w:rPr>
        <w:t>« Le débit d’air spécifié dans le procès-verbal d’essai de l’engin frigorifique doit être conforme</w:t>
      </w:r>
      <w:r w:rsidR="00F60C63">
        <w:rPr>
          <w:rStyle w:val="FootnoteReference"/>
        </w:rPr>
        <w:footnoteReference w:id="2"/>
      </w:r>
      <w:r w:rsidR="00670461" w:rsidRPr="00670461">
        <w:rPr>
          <w:vertAlign w:val="superscript"/>
          <w:lang w:val="fr-FR"/>
        </w:rPr>
        <w:t>,</w:t>
      </w:r>
      <w:r w:rsidR="00F60C63">
        <w:rPr>
          <w:lang w:val="fr-FR"/>
        </w:rPr>
        <w:t xml:space="preserve"> </w:t>
      </w:r>
      <w:r w:rsidR="00F60C63">
        <w:rPr>
          <w:rStyle w:val="FootnoteReference"/>
        </w:rPr>
        <w:footnoteReference w:id="3"/>
      </w:r>
      <w:r w:rsidR="00F60C63">
        <w:rPr>
          <w:rFonts w:cstheme="majorBidi"/>
          <w:color w:val="000000"/>
          <w:lang w:val="fr-FR"/>
        </w:rPr>
        <w:t xml:space="preserve"> </w:t>
      </w:r>
      <w:r w:rsidR="00F60C63" w:rsidRPr="00670461">
        <w:rPr>
          <w:rFonts w:cstheme="majorBidi"/>
          <w:color w:val="000000"/>
          <w:vertAlign w:val="superscript"/>
          <w:lang w:val="fr-FR"/>
        </w:rPr>
        <w:t>ou</w:t>
      </w:r>
      <w:r w:rsidR="00F60C63">
        <w:rPr>
          <w:vertAlign w:val="superscript"/>
          <w:lang w:val="fr-FR"/>
        </w:rPr>
        <w:t xml:space="preserve"> </w:t>
      </w:r>
      <w:r w:rsidR="00F60C63">
        <w:rPr>
          <w:rStyle w:val="FootnoteReference"/>
        </w:rPr>
        <w:footnoteReference w:id="4"/>
      </w:r>
      <w:r w:rsidR="00F60C63">
        <w:rPr>
          <w:vertAlign w:val="superscript"/>
          <w:lang w:val="fr-FR"/>
        </w:rPr>
        <w:t xml:space="preserve"> </w:t>
      </w:r>
      <w:r w:rsidR="00F60C63">
        <w:rPr>
          <w:lang w:val="fr-FR"/>
        </w:rPr>
        <w:t>à :</w:t>
      </w:r>
    </w:p>
    <w:p w:rsidR="00F60C63" w:rsidRDefault="00670461" w:rsidP="004C3FFC">
      <w:pPr>
        <w:pStyle w:val="SingleTxtG"/>
        <w:ind w:left="1701"/>
      </w:pPr>
      <w:r>
        <w:t>≥ 60 ∙</w:t>
      </w:r>
      <w:r w:rsidR="0085729E">
        <w:t xml:space="preserve"> </w:t>
      </w:r>
      <w:r>
        <w:t>V</w:t>
      </w:r>
      <w:r w:rsidR="00D243E6">
        <w:t xml:space="preserve"> en m</w:t>
      </w:r>
      <w:r w:rsidR="00D243E6" w:rsidRPr="00D243E6">
        <w:rPr>
          <w:vertAlign w:val="superscript"/>
        </w:rPr>
        <w:t>3</w:t>
      </w:r>
      <w:r w:rsidR="00D243E6" w:rsidRPr="00D243E6">
        <w:t>/h</w:t>
      </w:r>
    </w:p>
    <w:p w:rsidR="00670461" w:rsidRDefault="00670461" w:rsidP="004C3FFC">
      <w:pPr>
        <w:pStyle w:val="SingleTxtG"/>
        <w:ind w:left="1701"/>
      </w:pPr>
      <w:r>
        <w:t>où :</w:t>
      </w:r>
    </w:p>
    <w:p w:rsidR="00670461" w:rsidRDefault="00D243E6" w:rsidP="000768D0">
      <w:pPr>
        <w:pStyle w:val="SingleTxtG"/>
        <w:tabs>
          <w:tab w:val="left" w:pos="2127"/>
        </w:tabs>
        <w:ind w:left="1701"/>
      </w:pPr>
      <w:r>
        <w:rPr>
          <w:rFonts w:asciiTheme="majorBidi" w:hAnsiTheme="majorBidi" w:cstheme="majorBidi"/>
          <w:noProof/>
          <w:color w:val="000000"/>
          <w:lang w:eastAsia="fr-CH"/>
        </w:rPr>
        <w:drawing>
          <wp:anchor distT="0" distB="0" distL="114300" distR="114300" simplePos="0" relativeHeight="251659776" behindDoc="1" locked="0" layoutInCell="1" allowOverlap="1" wp14:anchorId="3A18BCEE" wp14:editId="6214DA57">
            <wp:simplePos x="0" y="0"/>
            <wp:positionH relativeFrom="column">
              <wp:posOffset>1068705</wp:posOffset>
            </wp:positionH>
            <wp:positionV relativeFrom="paragraph">
              <wp:posOffset>179705</wp:posOffset>
            </wp:positionV>
            <wp:extent cx="167640" cy="223520"/>
            <wp:effectExtent l="0" t="0" r="3810" b="5080"/>
            <wp:wrapThrough wrapText="bothSides">
              <wp:wrapPolygon edited="0">
                <wp:start x="0" y="0"/>
                <wp:lineTo x="0" y="20250"/>
                <wp:lineTo x="19636" y="20250"/>
                <wp:lineTo x="19636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</w:t>
      </w:r>
      <w:r>
        <w:tab/>
      </w:r>
      <w:r w:rsidR="00670461">
        <w:t xml:space="preserve">est le volume </w:t>
      </w:r>
      <w:r>
        <w:t>de l’espace vide, en m</w:t>
      </w:r>
      <w:r w:rsidRPr="00D243E6">
        <w:rPr>
          <w:vertAlign w:val="superscript"/>
        </w:rPr>
        <w:t>3</w:t>
      </w:r>
      <w:r>
        <w:t> ;</w:t>
      </w:r>
    </w:p>
    <w:p w:rsidR="00670461" w:rsidRPr="00670461" w:rsidRDefault="00670461" w:rsidP="000768D0">
      <w:pPr>
        <w:pStyle w:val="SingleTxtG"/>
        <w:ind w:left="2041"/>
        <w:jc w:val="left"/>
        <w:rPr>
          <w:rFonts w:asciiTheme="majorBidi" w:hAnsiTheme="majorBidi" w:cstheme="majorBidi"/>
          <w:color w:val="000000"/>
        </w:rPr>
      </w:pPr>
      <w:r w:rsidRPr="00670461">
        <w:rPr>
          <w:rFonts w:asciiTheme="majorBidi" w:hAnsiTheme="majorBidi" w:cstheme="majorBidi"/>
          <w:color w:val="000000"/>
        </w:rPr>
        <w:t xml:space="preserve">est </w:t>
      </w:r>
      <w:r w:rsidR="00D243E6">
        <w:rPr>
          <w:rFonts w:asciiTheme="majorBidi" w:hAnsiTheme="majorBidi" w:cstheme="majorBidi"/>
          <w:color w:val="000000"/>
        </w:rPr>
        <w:t>le débit de l’air.</w:t>
      </w:r>
    </w:p>
    <w:p w:rsidR="00F60C63" w:rsidRPr="00A669AF" w:rsidRDefault="00F60C63" w:rsidP="00E074FD">
      <w:pPr>
        <w:pStyle w:val="SingleTxtG"/>
        <w:ind w:left="1701"/>
        <w:rPr>
          <w:rFonts w:asciiTheme="majorBidi" w:hAnsiTheme="majorBidi" w:cstheme="majorBidi"/>
          <w:color w:val="000000"/>
        </w:rPr>
      </w:pPr>
      <w:r>
        <w:rPr>
          <w:lang w:val="fr-FR"/>
        </w:rPr>
        <w:t>Il faut compenser toute perte de débit d’air dans le système d’aération provoquée par des équipements intérieurs tels que des conduites d’air et par le givrage des évaporateurs. ».</w:t>
      </w:r>
    </w:p>
    <w:p w:rsidR="00F60C63" w:rsidRPr="00A669AF" w:rsidRDefault="00F60C63" w:rsidP="00F60C63">
      <w:pPr>
        <w:pStyle w:val="SingleTxtG"/>
        <w:rPr>
          <w:rFonts w:asciiTheme="majorBidi" w:hAnsiTheme="majorBidi" w:cstheme="majorBidi"/>
          <w:color w:val="000000"/>
        </w:rPr>
      </w:pPr>
      <w:r>
        <w:rPr>
          <w:lang w:val="fr-FR"/>
        </w:rPr>
        <w:t>9.</w:t>
      </w:r>
      <w:r>
        <w:rPr>
          <w:lang w:val="fr-FR"/>
        </w:rPr>
        <w:tab/>
        <w:t>Si la troisième note de bas de page est acceptée, une nouvelle section devra être ajoutée à l’attestation ATP figurant à l’appendice 3 de l’annexe 1 :</w:t>
      </w:r>
    </w:p>
    <w:p w:rsidR="00F60C63" w:rsidRPr="00A669AF" w:rsidRDefault="00F60C63" w:rsidP="00F60C63">
      <w:pPr>
        <w:pStyle w:val="SingleTxtG"/>
        <w:ind w:left="1701"/>
        <w:rPr>
          <w:rFonts w:asciiTheme="majorBidi" w:hAnsiTheme="majorBidi" w:cstheme="majorBidi"/>
          <w:color w:val="000000"/>
        </w:rPr>
      </w:pPr>
      <w:r>
        <w:rPr>
          <w:lang w:val="fr-FR"/>
        </w:rPr>
        <w:t>« 7.2.6 XX changements d’air à l’heure ».</w:t>
      </w:r>
    </w:p>
    <w:p w:rsidR="00F60C63" w:rsidRPr="00A669AF" w:rsidRDefault="00F60C63" w:rsidP="00F60C63">
      <w:pPr>
        <w:pStyle w:val="SingleTxtG"/>
        <w:rPr>
          <w:rFonts w:asciiTheme="majorBidi" w:hAnsiTheme="majorBidi" w:cstheme="majorBidi"/>
          <w:color w:val="000000"/>
        </w:rPr>
      </w:pPr>
      <w:r>
        <w:rPr>
          <w:lang w:val="fr-FR"/>
        </w:rPr>
        <w:t>10.</w:t>
      </w:r>
      <w:r>
        <w:rPr>
          <w:lang w:val="fr-FR"/>
        </w:rPr>
        <w:tab/>
        <w:t>XX est le nombre de changements d’air à l’heure, calculé en divisant le débit d’air total des ventilateurs de l’évaporateur par le volume intérieur total de la caisse de l’engin.</w:t>
      </w:r>
    </w:p>
    <w:p w:rsidR="00F60C63" w:rsidRPr="00A669AF" w:rsidRDefault="00F60C63" w:rsidP="00F60C63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</w:t>
      </w:r>
      <w:r w:rsidR="001017AC">
        <w:rPr>
          <w:lang w:val="fr-FR"/>
        </w:rPr>
        <w:t>ncidence</w:t>
      </w:r>
      <w:r w:rsidR="00755FE4">
        <w:rPr>
          <w:lang w:val="fr-FR"/>
        </w:rPr>
        <w:t>s</w:t>
      </w:r>
    </w:p>
    <w:p w:rsidR="00F60C63" w:rsidRPr="00A669AF" w:rsidRDefault="00F60C63" w:rsidP="00F60C63">
      <w:pPr>
        <w:pStyle w:val="SingleTxtG"/>
        <w:rPr>
          <w:rFonts w:asciiTheme="majorBidi" w:hAnsiTheme="majorBidi" w:cstheme="majorBidi"/>
          <w:color w:val="000000"/>
        </w:rPr>
      </w:pPr>
      <w:r>
        <w:rPr>
          <w:lang w:val="fr-FR"/>
        </w:rPr>
        <w:t>11.</w:t>
      </w:r>
      <w:r>
        <w:rPr>
          <w:lang w:val="fr-FR"/>
        </w:rPr>
        <w:tab/>
        <w:t>L’amélioration de la sécurité et de la qualité des produits alimentaires serait un impact positif. L’impact financier pour l’industrie serait un supplément de coût pour procéder à un essai de débit d’air au cas où il n’aurait pas encore été effectué.</w:t>
      </w:r>
    </w:p>
    <w:p w:rsidR="00F60C63" w:rsidRPr="00A669AF" w:rsidRDefault="00F60C63" w:rsidP="00F60C63">
      <w:pPr>
        <w:pStyle w:val="SingleTxtG"/>
        <w:rPr>
          <w:rFonts w:asciiTheme="majorBidi" w:hAnsiTheme="majorBidi" w:cstheme="majorBidi"/>
          <w:color w:val="000000"/>
        </w:rPr>
      </w:pPr>
      <w:r>
        <w:rPr>
          <w:lang w:val="fr-FR"/>
        </w:rPr>
        <w:t>12.</w:t>
      </w:r>
      <w:r>
        <w:rPr>
          <w:lang w:val="fr-FR"/>
        </w:rPr>
        <w:tab/>
        <w:t xml:space="preserve">Un débit défini pour le réfrigérant secondaire permettrait de s’assurer que tous les produits qui se trouvent dans l’espace de chargement sont conformes aux prescriptions des annexes 2 et 3. </w:t>
      </w:r>
    </w:p>
    <w:p w:rsidR="00F9573C" w:rsidRDefault="00F60C63" w:rsidP="00F60C63">
      <w:pPr>
        <w:pStyle w:val="SingleTxtG"/>
        <w:rPr>
          <w:lang w:val="fr-FR"/>
        </w:rPr>
      </w:pPr>
      <w:r>
        <w:rPr>
          <w:lang w:val="fr-FR"/>
        </w:rPr>
        <w:t>13.</w:t>
      </w:r>
      <w:r>
        <w:rPr>
          <w:lang w:val="fr-FR"/>
        </w:rPr>
        <w:tab/>
        <w:t>Cependant, les résultats concernant le débit d’air sont exigés dans le procès-verbal d’essai de l’engin et il semble donc qu’il y ait une incohérence.</w:t>
      </w:r>
    </w:p>
    <w:p w:rsidR="00F60C63" w:rsidRPr="00F60C63" w:rsidRDefault="00F60C63" w:rsidP="00F60C6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60C63" w:rsidRPr="00F60C63" w:rsidSect="00F60C6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D4B" w:rsidRDefault="00921D4B" w:rsidP="00F95C08">
      <w:pPr>
        <w:spacing w:line="240" w:lineRule="auto"/>
      </w:pPr>
    </w:p>
  </w:endnote>
  <w:endnote w:type="continuationSeparator" w:id="0">
    <w:p w:rsidR="00921D4B" w:rsidRPr="00AC3823" w:rsidRDefault="00921D4B" w:rsidP="00AC3823">
      <w:pPr>
        <w:pStyle w:val="Footer"/>
      </w:pPr>
    </w:p>
  </w:endnote>
  <w:endnote w:type="continuationNotice" w:id="1">
    <w:p w:rsidR="00921D4B" w:rsidRDefault="00921D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63" w:rsidRPr="00F60C63" w:rsidRDefault="00F60C63" w:rsidP="00F60C63">
    <w:pPr>
      <w:pStyle w:val="Footer"/>
      <w:tabs>
        <w:tab w:val="right" w:pos="9638"/>
      </w:tabs>
    </w:pPr>
    <w:r w:rsidRPr="00F60C63">
      <w:rPr>
        <w:b/>
        <w:sz w:val="18"/>
      </w:rPr>
      <w:fldChar w:fldCharType="begin"/>
    </w:r>
    <w:r w:rsidRPr="00F60C63">
      <w:rPr>
        <w:b/>
        <w:sz w:val="18"/>
      </w:rPr>
      <w:instrText xml:space="preserve"> PAGE  \* MERGEFORMAT </w:instrText>
    </w:r>
    <w:r w:rsidRPr="00F60C63">
      <w:rPr>
        <w:b/>
        <w:sz w:val="18"/>
      </w:rPr>
      <w:fldChar w:fldCharType="separate"/>
    </w:r>
    <w:r w:rsidR="00D82116">
      <w:rPr>
        <w:b/>
        <w:noProof/>
        <w:sz w:val="18"/>
      </w:rPr>
      <w:t>2</w:t>
    </w:r>
    <w:r w:rsidRPr="00F60C63">
      <w:rPr>
        <w:b/>
        <w:sz w:val="18"/>
      </w:rPr>
      <w:fldChar w:fldCharType="end"/>
    </w:r>
    <w:r>
      <w:rPr>
        <w:b/>
        <w:sz w:val="18"/>
      </w:rPr>
      <w:tab/>
    </w:r>
    <w:r>
      <w:t>GE.18-10761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63" w:rsidRPr="00F60C63" w:rsidRDefault="00F60C63" w:rsidP="00F60C63">
    <w:pPr>
      <w:pStyle w:val="Footer"/>
      <w:tabs>
        <w:tab w:val="right" w:pos="9638"/>
      </w:tabs>
      <w:rPr>
        <w:b/>
        <w:sz w:val="18"/>
      </w:rPr>
    </w:pPr>
    <w:r>
      <w:t>GE.18-10761</w:t>
    </w:r>
    <w:r>
      <w:tab/>
    </w:r>
    <w:r w:rsidRPr="00F60C63">
      <w:rPr>
        <w:b/>
        <w:sz w:val="18"/>
      </w:rPr>
      <w:fldChar w:fldCharType="begin"/>
    </w:r>
    <w:r w:rsidRPr="00F60C63">
      <w:rPr>
        <w:b/>
        <w:sz w:val="18"/>
      </w:rPr>
      <w:instrText xml:space="preserve"> PAGE  \* MERGEFORMAT </w:instrText>
    </w:r>
    <w:r w:rsidRPr="00F60C63">
      <w:rPr>
        <w:b/>
        <w:sz w:val="18"/>
      </w:rPr>
      <w:fldChar w:fldCharType="separate"/>
    </w:r>
    <w:r w:rsidR="00D82116">
      <w:rPr>
        <w:b/>
        <w:noProof/>
        <w:sz w:val="18"/>
      </w:rPr>
      <w:t>1</w:t>
    </w:r>
    <w:r w:rsidRPr="00F60C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F60C63" w:rsidRDefault="00F60C63" w:rsidP="00F60C6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18-10761  (F)    020818    230818</w:t>
    </w:r>
    <w:r>
      <w:rPr>
        <w:sz w:val="20"/>
      </w:rPr>
      <w:br/>
    </w:r>
    <w:r w:rsidRPr="00F60C63">
      <w:rPr>
        <w:rFonts w:ascii="C39T30Lfz" w:hAnsi="C39T30Lfz"/>
        <w:sz w:val="56"/>
      </w:rPr>
      <w:t></w:t>
    </w:r>
    <w:r w:rsidRPr="00F60C63">
      <w:rPr>
        <w:rFonts w:ascii="C39T30Lfz" w:hAnsi="C39T30Lfz"/>
        <w:sz w:val="56"/>
      </w:rPr>
      <w:t></w:t>
    </w:r>
    <w:r w:rsidRPr="00F60C63">
      <w:rPr>
        <w:rFonts w:ascii="C39T30Lfz" w:hAnsi="C39T30Lfz"/>
        <w:sz w:val="56"/>
      </w:rPr>
      <w:t></w:t>
    </w:r>
    <w:r w:rsidRPr="00F60C63">
      <w:rPr>
        <w:rFonts w:ascii="C39T30Lfz" w:hAnsi="C39T30Lfz"/>
        <w:sz w:val="56"/>
      </w:rPr>
      <w:t></w:t>
    </w:r>
    <w:r w:rsidRPr="00F60C63">
      <w:rPr>
        <w:rFonts w:ascii="C39T30Lfz" w:hAnsi="C39T30Lfz"/>
        <w:sz w:val="56"/>
      </w:rPr>
      <w:t></w:t>
    </w:r>
    <w:r w:rsidRPr="00F60C63">
      <w:rPr>
        <w:rFonts w:ascii="C39T30Lfz" w:hAnsi="C39T30Lfz"/>
        <w:sz w:val="56"/>
      </w:rPr>
      <w:t></w:t>
    </w:r>
    <w:r w:rsidRPr="00F60C63">
      <w:rPr>
        <w:rFonts w:ascii="C39T30Lfz" w:hAnsi="C39T30Lfz"/>
        <w:sz w:val="56"/>
      </w:rPr>
      <w:t></w:t>
    </w:r>
    <w:r w:rsidRPr="00F60C63">
      <w:rPr>
        <w:rFonts w:ascii="C39T30Lfz" w:hAnsi="C39T30Lfz"/>
        <w:sz w:val="56"/>
      </w:rPr>
      <w:t></w:t>
    </w:r>
    <w:r w:rsidRPr="00F60C6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 descr="https://api.qrserver.com/v1/create-qr-code/?size=66x66&amp;data=https://undocs.org/fr/ECE/TRANS/WP.11/2018/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fr/ECE/TRANS/WP.11/2018/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D4B" w:rsidRPr="00AC3823" w:rsidRDefault="00921D4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1D4B" w:rsidRPr="00AC3823" w:rsidRDefault="00921D4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1D4B" w:rsidRPr="00AC3823" w:rsidRDefault="00921D4B">
      <w:pPr>
        <w:spacing w:line="240" w:lineRule="auto"/>
        <w:rPr>
          <w:sz w:val="2"/>
          <w:szCs w:val="2"/>
        </w:rPr>
      </w:pPr>
    </w:p>
  </w:footnote>
  <w:footnote w:id="2">
    <w:p w:rsidR="00F60C63" w:rsidRDefault="00F60C63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fr-FR"/>
        </w:rPr>
        <w:t>Des accords multilatéraux ou bilatéraux peuvent être utilisés pour accepter les remorques au débit d</w:t>
      </w:r>
      <w:r w:rsidR="00E074FD">
        <w:rPr>
          <w:lang w:val="fr-FR"/>
        </w:rPr>
        <w:t>’</w:t>
      </w:r>
      <w:r>
        <w:rPr>
          <w:lang w:val="fr-FR"/>
        </w:rPr>
        <w:t>air inférieur à ce qui est prescrit au paragraphe 3.2.6.</w:t>
      </w:r>
    </w:p>
  </w:footnote>
  <w:footnote w:id="3">
    <w:p w:rsidR="00F60C63" w:rsidRDefault="00F60C63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fr-FR"/>
        </w:rPr>
        <w:t>Des accords multilatéraux ou bilatéraux peuvent être utilisés pour accepter les remorques agréées ATP au débit d</w:t>
      </w:r>
      <w:r w:rsidR="00E074FD">
        <w:rPr>
          <w:lang w:val="fr-FR"/>
        </w:rPr>
        <w:t>’</w:t>
      </w:r>
      <w:r>
        <w:rPr>
          <w:lang w:val="fr-FR"/>
        </w:rPr>
        <w:t>air inférieur à ce qui est prescrit au paragraphe 3.2.6.</w:t>
      </w:r>
    </w:p>
  </w:footnote>
  <w:footnote w:id="4">
    <w:p w:rsidR="00F60C63" w:rsidRDefault="00F60C63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fr-FR"/>
        </w:rPr>
        <w:t>Des accords multilatéraux ou bilatéraux peuvent être utilisés pour accepter les remorques agréées ATP au débit d</w:t>
      </w:r>
      <w:r w:rsidR="00E074FD">
        <w:rPr>
          <w:lang w:val="fr-FR"/>
        </w:rPr>
        <w:t>’</w:t>
      </w:r>
      <w:r>
        <w:rPr>
          <w:lang w:val="fr-FR"/>
        </w:rPr>
        <w:t>air inférieur à ce qui est prescrit au paragraphe 3.2.6 ; ils doivent alors être spécifiés sur l</w:t>
      </w:r>
      <w:r w:rsidR="00E074FD">
        <w:rPr>
          <w:lang w:val="fr-FR"/>
        </w:rPr>
        <w:t>’</w:t>
      </w:r>
      <w:r>
        <w:rPr>
          <w:lang w:val="fr-FR"/>
        </w:rPr>
        <w:t>attestation ATP.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63" w:rsidRPr="00F60C63" w:rsidRDefault="00667B5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82116">
      <w:t>ECE/TRANS/WP.11/2018/5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63" w:rsidRPr="00F60C63" w:rsidRDefault="00667B5C" w:rsidP="00F60C6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82116">
      <w:t>ECE/TRANS/WP.11/2018/5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D4B"/>
    <w:rsid w:val="00017F94"/>
    <w:rsid w:val="00023842"/>
    <w:rsid w:val="000334F9"/>
    <w:rsid w:val="00045FEB"/>
    <w:rsid w:val="000678C1"/>
    <w:rsid w:val="000768D0"/>
    <w:rsid w:val="0007796D"/>
    <w:rsid w:val="000B7790"/>
    <w:rsid w:val="001017AC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75B33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C3FFC"/>
    <w:rsid w:val="004E2EED"/>
    <w:rsid w:val="004E468C"/>
    <w:rsid w:val="00500EC3"/>
    <w:rsid w:val="005505B7"/>
    <w:rsid w:val="00573BE5"/>
    <w:rsid w:val="00586ED3"/>
    <w:rsid w:val="00596AA9"/>
    <w:rsid w:val="00667B5C"/>
    <w:rsid w:val="00670461"/>
    <w:rsid w:val="00682967"/>
    <w:rsid w:val="006B18EC"/>
    <w:rsid w:val="0071601D"/>
    <w:rsid w:val="00755FE4"/>
    <w:rsid w:val="007A62E6"/>
    <w:rsid w:val="007F20FA"/>
    <w:rsid w:val="0080684C"/>
    <w:rsid w:val="0085729E"/>
    <w:rsid w:val="00871C75"/>
    <w:rsid w:val="008776DC"/>
    <w:rsid w:val="00921D4B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D3F97"/>
    <w:rsid w:val="00D243E6"/>
    <w:rsid w:val="00D3439C"/>
    <w:rsid w:val="00D82116"/>
    <w:rsid w:val="00DB1831"/>
    <w:rsid w:val="00DD3BFD"/>
    <w:rsid w:val="00DF6678"/>
    <w:rsid w:val="00E0299A"/>
    <w:rsid w:val="00E074FD"/>
    <w:rsid w:val="00E4265C"/>
    <w:rsid w:val="00E57AD5"/>
    <w:rsid w:val="00E66D1F"/>
    <w:rsid w:val="00E85C74"/>
    <w:rsid w:val="00EA6547"/>
    <w:rsid w:val="00EF2E22"/>
    <w:rsid w:val="00F35BAF"/>
    <w:rsid w:val="00F60C63"/>
    <w:rsid w:val="00F660DF"/>
    <w:rsid w:val="00F72CDE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44D189-F29E-49E2-A9C0-3072139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ECE/TRANS/WP.11/2018/5</vt:lpstr>
      <vt:lpstr>ECE/TRANS/WP.11/2018/5</vt:lpstr>
    </vt:vector>
  </TitlesOfParts>
  <Company>DCM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ECE/TRANS/WP.11/2018/5</dc:title>
  <dc:subject/>
  <dc:creator>Christine DEVOUASSOUX</dc:creator>
  <cp:keywords/>
  <cp:lastModifiedBy>Secretariat</cp:lastModifiedBy>
  <cp:revision>2</cp:revision>
  <cp:lastPrinted>2018-08-23T16:27:00Z</cp:lastPrinted>
  <dcterms:created xsi:type="dcterms:W3CDTF">2018-08-27T14:11:00Z</dcterms:created>
  <dcterms:modified xsi:type="dcterms:W3CDTF">2018-08-27T14:11:00Z</dcterms:modified>
</cp:coreProperties>
</file>