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14590C" w14:paraId="4432B8FA" w14:textId="77777777" w:rsidTr="009E6CB7">
        <w:trPr>
          <w:cantSplit/>
          <w:trHeight w:hRule="exact" w:val="851"/>
        </w:trPr>
        <w:tc>
          <w:tcPr>
            <w:tcW w:w="1276" w:type="dxa"/>
            <w:tcBorders>
              <w:bottom w:val="single" w:sz="4" w:space="0" w:color="auto"/>
            </w:tcBorders>
            <w:vAlign w:val="bottom"/>
          </w:tcPr>
          <w:p w14:paraId="1FF330D0" w14:textId="77777777" w:rsidR="009E6CB7" w:rsidRPr="0014590C" w:rsidRDefault="009E6CB7" w:rsidP="009E6CB7">
            <w:pPr>
              <w:spacing w:after="80"/>
            </w:pPr>
          </w:p>
        </w:tc>
        <w:tc>
          <w:tcPr>
            <w:tcW w:w="2268" w:type="dxa"/>
            <w:tcBorders>
              <w:bottom w:val="single" w:sz="4" w:space="0" w:color="auto"/>
            </w:tcBorders>
            <w:vAlign w:val="bottom"/>
          </w:tcPr>
          <w:p w14:paraId="4FA46C56" w14:textId="77777777" w:rsidR="009E6CB7" w:rsidRPr="0014590C" w:rsidRDefault="009E6CB7" w:rsidP="009E6CB7">
            <w:pPr>
              <w:spacing w:after="80" w:line="300" w:lineRule="exact"/>
              <w:rPr>
                <w:b/>
                <w:sz w:val="24"/>
                <w:szCs w:val="24"/>
              </w:rPr>
            </w:pPr>
            <w:r w:rsidRPr="0014590C">
              <w:rPr>
                <w:sz w:val="28"/>
                <w:szCs w:val="28"/>
              </w:rPr>
              <w:t>United Nations</w:t>
            </w:r>
          </w:p>
        </w:tc>
        <w:tc>
          <w:tcPr>
            <w:tcW w:w="6095" w:type="dxa"/>
            <w:gridSpan w:val="2"/>
            <w:tcBorders>
              <w:bottom w:val="single" w:sz="4" w:space="0" w:color="auto"/>
            </w:tcBorders>
            <w:vAlign w:val="bottom"/>
          </w:tcPr>
          <w:p w14:paraId="71DCF1BC" w14:textId="77777777" w:rsidR="009E6CB7" w:rsidRPr="0014590C" w:rsidRDefault="003A5F98" w:rsidP="00897DF2">
            <w:pPr>
              <w:jc w:val="right"/>
            </w:pPr>
            <w:r w:rsidRPr="0014590C">
              <w:rPr>
                <w:sz w:val="40"/>
              </w:rPr>
              <w:t>ECE</w:t>
            </w:r>
            <w:r w:rsidRPr="0014590C">
              <w:t>/TRANS/201</w:t>
            </w:r>
            <w:r w:rsidR="00897DF2" w:rsidRPr="0014590C">
              <w:t>8</w:t>
            </w:r>
            <w:r w:rsidRPr="0014590C">
              <w:t>/</w:t>
            </w:r>
            <w:r w:rsidR="00CF73DC" w:rsidRPr="0014590C">
              <w:t>1</w:t>
            </w:r>
            <w:r w:rsidR="0009168B" w:rsidRPr="0014590C">
              <w:t>4</w:t>
            </w:r>
          </w:p>
        </w:tc>
      </w:tr>
      <w:tr w:rsidR="009E6CB7" w:rsidRPr="0014590C" w14:paraId="4BED0A50" w14:textId="77777777" w:rsidTr="009E6CB7">
        <w:trPr>
          <w:cantSplit/>
          <w:trHeight w:hRule="exact" w:val="2835"/>
        </w:trPr>
        <w:tc>
          <w:tcPr>
            <w:tcW w:w="1276" w:type="dxa"/>
            <w:tcBorders>
              <w:top w:val="single" w:sz="4" w:space="0" w:color="auto"/>
              <w:bottom w:val="single" w:sz="12" w:space="0" w:color="auto"/>
            </w:tcBorders>
          </w:tcPr>
          <w:p w14:paraId="68EF1613" w14:textId="77777777" w:rsidR="009E6CB7" w:rsidRPr="0014590C" w:rsidRDefault="00BC7F91" w:rsidP="009E6CB7">
            <w:pPr>
              <w:spacing w:before="120"/>
            </w:pPr>
            <w:r w:rsidRPr="00DB6643">
              <w:rPr>
                <w:noProof/>
                <w:lang w:val="en-US"/>
              </w:rPr>
              <w:drawing>
                <wp:inline distT="0" distB="0" distL="0" distR="0" wp14:anchorId="14CA97A1" wp14:editId="3B27AE1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2ECD24" w14:textId="77777777" w:rsidR="009E6CB7" w:rsidRPr="0014590C" w:rsidRDefault="009E6CB7" w:rsidP="009E6CB7">
            <w:pPr>
              <w:spacing w:before="120" w:line="420" w:lineRule="exact"/>
              <w:rPr>
                <w:sz w:val="40"/>
                <w:szCs w:val="40"/>
              </w:rPr>
            </w:pPr>
            <w:r w:rsidRPr="0014590C">
              <w:rPr>
                <w:b/>
                <w:sz w:val="40"/>
                <w:szCs w:val="40"/>
              </w:rPr>
              <w:t>Economic and Social Council</w:t>
            </w:r>
          </w:p>
        </w:tc>
        <w:tc>
          <w:tcPr>
            <w:tcW w:w="2835" w:type="dxa"/>
            <w:tcBorders>
              <w:top w:val="single" w:sz="4" w:space="0" w:color="auto"/>
              <w:bottom w:val="single" w:sz="12" w:space="0" w:color="auto"/>
            </w:tcBorders>
          </w:tcPr>
          <w:p w14:paraId="1980A9AF" w14:textId="77777777" w:rsidR="00BD09E1" w:rsidRPr="0014590C" w:rsidRDefault="00BD09E1" w:rsidP="00BD09E1">
            <w:pPr>
              <w:spacing w:before="240" w:line="240" w:lineRule="exact"/>
            </w:pPr>
            <w:r w:rsidRPr="0014590C">
              <w:t>Distr.: General</w:t>
            </w:r>
          </w:p>
          <w:p w14:paraId="77FA5C9D" w14:textId="2227CE4C" w:rsidR="00BD09E1" w:rsidRPr="0014590C" w:rsidRDefault="00A22372" w:rsidP="00BD09E1">
            <w:pPr>
              <w:spacing w:line="240" w:lineRule="exact"/>
            </w:pPr>
            <w:r>
              <w:t>12</w:t>
            </w:r>
            <w:r w:rsidR="00BD09E1" w:rsidRPr="0014590C">
              <w:t xml:space="preserve"> December 2017</w:t>
            </w:r>
          </w:p>
          <w:p w14:paraId="5ABFDC29" w14:textId="77777777" w:rsidR="00BD09E1" w:rsidRPr="0014590C" w:rsidRDefault="00BD09E1" w:rsidP="00BD09E1">
            <w:pPr>
              <w:spacing w:line="240" w:lineRule="exact"/>
            </w:pPr>
          </w:p>
          <w:p w14:paraId="0D6DE4BE" w14:textId="77777777" w:rsidR="003A5F98" w:rsidRPr="0014590C" w:rsidRDefault="00BD09E1" w:rsidP="00BD09E1">
            <w:pPr>
              <w:spacing w:line="240" w:lineRule="exact"/>
            </w:pPr>
            <w:r w:rsidRPr="0014590C">
              <w:t>Original: English</w:t>
            </w:r>
          </w:p>
        </w:tc>
      </w:tr>
    </w:tbl>
    <w:p w14:paraId="5FB18F3B" w14:textId="77777777" w:rsidR="003A5F98" w:rsidRPr="0014590C" w:rsidRDefault="003A5F98" w:rsidP="003A5F98">
      <w:pPr>
        <w:spacing w:before="120"/>
        <w:rPr>
          <w:b/>
          <w:bCs/>
          <w:sz w:val="28"/>
          <w:szCs w:val="28"/>
        </w:rPr>
      </w:pPr>
      <w:r w:rsidRPr="0014590C">
        <w:rPr>
          <w:b/>
          <w:bCs/>
          <w:sz w:val="28"/>
          <w:szCs w:val="28"/>
        </w:rPr>
        <w:t>Economic Commission for Europe</w:t>
      </w:r>
    </w:p>
    <w:p w14:paraId="39D0A10D" w14:textId="77777777" w:rsidR="003A5F98" w:rsidRPr="0014590C" w:rsidRDefault="003A5F98" w:rsidP="003A5F98">
      <w:pPr>
        <w:spacing w:before="120"/>
        <w:rPr>
          <w:sz w:val="28"/>
          <w:szCs w:val="28"/>
        </w:rPr>
      </w:pPr>
      <w:r w:rsidRPr="0014590C">
        <w:rPr>
          <w:sz w:val="28"/>
          <w:szCs w:val="28"/>
        </w:rPr>
        <w:t>Inland Transport Committee</w:t>
      </w:r>
    </w:p>
    <w:p w14:paraId="13BF48AA" w14:textId="77777777" w:rsidR="00667296" w:rsidRPr="0014590C" w:rsidRDefault="00667296" w:rsidP="00667296">
      <w:pPr>
        <w:spacing w:before="120"/>
        <w:rPr>
          <w:b/>
          <w:bCs/>
        </w:rPr>
      </w:pPr>
      <w:r w:rsidRPr="0014590C">
        <w:rPr>
          <w:b/>
          <w:bCs/>
        </w:rPr>
        <w:t>Eightieth session</w:t>
      </w:r>
    </w:p>
    <w:p w14:paraId="2C536C8A" w14:textId="77777777" w:rsidR="00667296" w:rsidRPr="0014590C" w:rsidRDefault="00667296" w:rsidP="00667296">
      <w:pPr>
        <w:rPr>
          <w:b/>
          <w:bCs/>
        </w:rPr>
      </w:pPr>
      <w:r w:rsidRPr="0014590C">
        <w:t>Geneva, 20-23 February 2018</w:t>
      </w:r>
      <w:r w:rsidRPr="0014590C">
        <w:br/>
        <w:t>Item 5 (e) of the provisional agenda</w:t>
      </w:r>
      <w:r w:rsidRPr="0014590C">
        <w:br/>
      </w:r>
      <w:r w:rsidRPr="0014590C">
        <w:rPr>
          <w:b/>
          <w:bCs/>
        </w:rPr>
        <w:t>Strategic questions of a modal and thematic nature:</w:t>
      </w:r>
    </w:p>
    <w:p w14:paraId="1777A840" w14:textId="77777777" w:rsidR="00667296" w:rsidRPr="0014590C" w:rsidRDefault="00667296" w:rsidP="00667296">
      <w:pPr>
        <w:rPr>
          <w:b/>
          <w:bCs/>
        </w:rPr>
      </w:pPr>
      <w:r w:rsidRPr="0014590C">
        <w:rPr>
          <w:b/>
          <w:bCs/>
        </w:rPr>
        <w:t>Rail transport</w:t>
      </w:r>
    </w:p>
    <w:p w14:paraId="647E68FA" w14:textId="77777777" w:rsidR="00B64AD3" w:rsidRPr="0014590C" w:rsidRDefault="003A5F98" w:rsidP="00B64AD3">
      <w:pPr>
        <w:pStyle w:val="HChG"/>
      </w:pPr>
      <w:r w:rsidRPr="0014590C">
        <w:tab/>
      </w:r>
      <w:r w:rsidRPr="0014590C">
        <w:tab/>
      </w:r>
      <w:r w:rsidR="0009168B" w:rsidRPr="0014590C">
        <w:t xml:space="preserve">Strategic Elements for the Working Party on Intermodal Transport and Logistics </w:t>
      </w:r>
    </w:p>
    <w:p w14:paraId="608E34D5" w14:textId="77777777" w:rsidR="00B64AD3" w:rsidRPr="0014590C" w:rsidRDefault="00B64AD3" w:rsidP="00B64AD3">
      <w:pPr>
        <w:pStyle w:val="H1G"/>
      </w:pPr>
      <w:r w:rsidRPr="0014590C">
        <w:tab/>
      </w:r>
      <w:r w:rsidRPr="0014590C">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CF53AD" w:rsidRPr="0014590C" w14:paraId="381D3575" w14:textId="77777777" w:rsidTr="000D1EE9">
        <w:trPr>
          <w:jc w:val="center"/>
        </w:trPr>
        <w:tc>
          <w:tcPr>
            <w:tcW w:w="9637" w:type="dxa"/>
            <w:tcBorders>
              <w:top w:val="single" w:sz="4" w:space="0" w:color="auto"/>
              <w:left w:val="single" w:sz="4" w:space="0" w:color="auto"/>
              <w:bottom w:val="nil"/>
              <w:right w:val="single" w:sz="4" w:space="0" w:color="auto"/>
            </w:tcBorders>
            <w:hideMark/>
          </w:tcPr>
          <w:p w14:paraId="4A8DAC71" w14:textId="77777777" w:rsidR="00CF53AD" w:rsidRPr="0014590C" w:rsidRDefault="00CF53AD" w:rsidP="000D1EE9">
            <w:pPr>
              <w:spacing w:before="240" w:after="120"/>
              <w:ind w:left="255"/>
              <w:rPr>
                <w:i/>
                <w:sz w:val="24"/>
              </w:rPr>
            </w:pPr>
            <w:r w:rsidRPr="0014590C">
              <w:rPr>
                <w:i/>
                <w:sz w:val="24"/>
              </w:rPr>
              <w:t>Summary</w:t>
            </w:r>
          </w:p>
        </w:tc>
      </w:tr>
      <w:tr w:rsidR="00CF53AD" w:rsidRPr="0014590C" w14:paraId="1E1EC26A" w14:textId="77777777" w:rsidTr="000D1EE9">
        <w:trPr>
          <w:jc w:val="center"/>
        </w:trPr>
        <w:tc>
          <w:tcPr>
            <w:tcW w:w="9637" w:type="dxa"/>
            <w:tcBorders>
              <w:top w:val="nil"/>
              <w:left w:val="single" w:sz="4" w:space="0" w:color="auto"/>
              <w:bottom w:val="nil"/>
              <w:right w:val="single" w:sz="4" w:space="0" w:color="auto"/>
            </w:tcBorders>
            <w:hideMark/>
          </w:tcPr>
          <w:p w14:paraId="53988B24" w14:textId="5FAC13E5" w:rsidR="00CF53AD" w:rsidRPr="0014590C" w:rsidRDefault="00CF53AD">
            <w:pPr>
              <w:pStyle w:val="SingleTxtG"/>
            </w:pPr>
            <w:r w:rsidRPr="0014590C">
              <w:tab/>
              <w:t xml:space="preserve">This note presents </w:t>
            </w:r>
            <w:r w:rsidR="00374057" w:rsidRPr="0014590C">
              <w:t xml:space="preserve">the key strategic elements for the Working Party on Intermodal Transport and Logistics (WP.24) </w:t>
            </w:r>
            <w:r w:rsidR="006A2137">
              <w:t xml:space="preserve">on </w:t>
            </w:r>
            <w:r w:rsidR="00374057" w:rsidRPr="0014590C">
              <w:t>develop</w:t>
            </w:r>
            <w:r w:rsidR="006A2137">
              <w:t>ing</w:t>
            </w:r>
            <w:r w:rsidR="00374057" w:rsidRPr="0014590C">
              <w:t xml:space="preserve"> a </w:t>
            </w:r>
            <w:r w:rsidRPr="0014590C">
              <w:t>strategy for 201</w:t>
            </w:r>
            <w:r w:rsidR="00374057" w:rsidRPr="0014590C">
              <w:t>9</w:t>
            </w:r>
            <w:r w:rsidRPr="0014590C">
              <w:t>-202</w:t>
            </w:r>
            <w:r w:rsidR="00374057" w:rsidRPr="0014590C">
              <w:t>3</w:t>
            </w:r>
            <w:r w:rsidR="006A2137">
              <w:t>,</w:t>
            </w:r>
            <w:r w:rsidRPr="0014590C">
              <w:t xml:space="preserve"> </w:t>
            </w:r>
            <w:r w:rsidR="00426FAA">
              <w:t xml:space="preserve">for </w:t>
            </w:r>
            <w:r w:rsidR="00374057" w:rsidRPr="0014590C">
              <w:t>adop</w:t>
            </w:r>
            <w:r w:rsidR="00DB6643">
              <w:t>t</w:t>
            </w:r>
            <w:r w:rsidR="00426FAA">
              <w:t>ion</w:t>
            </w:r>
            <w:r w:rsidR="00374057" w:rsidRPr="0014590C">
              <w:t xml:space="preserve"> by the Working Party and then by ITC if possible in 2019. The main objectives of this strategy should be the revitalization of Working Party activities having as results the increased number of countries and delegates in total participating at the Working Party sessions, the concrete outputs produced, the recognition of Working Party’s role in the implementation and achievement of</w:t>
            </w:r>
            <w:r w:rsidR="00DB6643">
              <w:t xml:space="preserve"> the</w:t>
            </w:r>
            <w:r w:rsidR="00374057" w:rsidRPr="0014590C">
              <w:t xml:space="preserve"> Sustainable Development Goals.</w:t>
            </w:r>
            <w:r w:rsidR="00B54421" w:rsidRPr="0014590C">
              <w:t xml:space="preserve"> </w:t>
            </w:r>
          </w:p>
        </w:tc>
      </w:tr>
      <w:tr w:rsidR="00CF53AD" w:rsidRPr="0014590C" w14:paraId="5003FAD3" w14:textId="77777777" w:rsidTr="000D1EE9">
        <w:trPr>
          <w:jc w:val="center"/>
        </w:trPr>
        <w:tc>
          <w:tcPr>
            <w:tcW w:w="9637" w:type="dxa"/>
            <w:tcBorders>
              <w:top w:val="nil"/>
              <w:left w:val="single" w:sz="4" w:space="0" w:color="auto"/>
              <w:bottom w:val="nil"/>
              <w:right w:val="single" w:sz="4" w:space="0" w:color="auto"/>
            </w:tcBorders>
            <w:hideMark/>
          </w:tcPr>
          <w:p w14:paraId="1D152A49" w14:textId="51B18332" w:rsidR="00CF53AD" w:rsidRPr="0014590C" w:rsidRDefault="00CF53AD">
            <w:pPr>
              <w:pStyle w:val="SingleTxtG"/>
            </w:pPr>
            <w:r w:rsidRPr="0014590C">
              <w:tab/>
              <w:t xml:space="preserve">The Committee may wish to </w:t>
            </w:r>
            <w:r w:rsidRPr="0014590C">
              <w:rPr>
                <w:b/>
              </w:rPr>
              <w:t>take note</w:t>
            </w:r>
            <w:r w:rsidRPr="0014590C">
              <w:t xml:space="preserve"> </w:t>
            </w:r>
            <w:r w:rsidR="00374057" w:rsidRPr="0014590C">
              <w:t xml:space="preserve">and provide guidance on the preparation of </w:t>
            </w:r>
            <w:r w:rsidR="006A2137">
              <w:t xml:space="preserve">the </w:t>
            </w:r>
            <w:r w:rsidR="00374057" w:rsidRPr="0014590C">
              <w:t>Working Party’s strategy.</w:t>
            </w:r>
          </w:p>
        </w:tc>
      </w:tr>
      <w:tr w:rsidR="00CF53AD" w:rsidRPr="0014590C" w14:paraId="5E6962B1" w14:textId="77777777" w:rsidTr="000D1EE9">
        <w:trPr>
          <w:jc w:val="center"/>
        </w:trPr>
        <w:tc>
          <w:tcPr>
            <w:tcW w:w="9637" w:type="dxa"/>
            <w:tcBorders>
              <w:top w:val="nil"/>
              <w:left w:val="single" w:sz="4" w:space="0" w:color="auto"/>
              <w:bottom w:val="single" w:sz="4" w:space="0" w:color="auto"/>
              <w:right w:val="single" w:sz="4" w:space="0" w:color="auto"/>
            </w:tcBorders>
          </w:tcPr>
          <w:p w14:paraId="43BA555B" w14:textId="77777777" w:rsidR="00CF53AD" w:rsidRPr="0014590C" w:rsidRDefault="00CF53AD" w:rsidP="000D1EE9"/>
        </w:tc>
      </w:tr>
    </w:tbl>
    <w:p w14:paraId="0BFC09F4" w14:textId="77777777" w:rsidR="00B64AD3" w:rsidRPr="00CC7288" w:rsidRDefault="00B64AD3" w:rsidP="005E4F69">
      <w:pPr>
        <w:pStyle w:val="HChG"/>
        <w:rPr>
          <w:lang w:bidi="th-TH"/>
        </w:rPr>
      </w:pPr>
      <w:r w:rsidRPr="00CC7288">
        <w:rPr>
          <w:lang w:bidi="th-TH"/>
        </w:rPr>
        <w:tab/>
        <w:t>I.</w:t>
      </w:r>
      <w:r w:rsidRPr="00CC7288">
        <w:rPr>
          <w:lang w:bidi="th-TH"/>
        </w:rPr>
        <w:tab/>
      </w:r>
      <w:r w:rsidR="0009168B" w:rsidRPr="005E4F69">
        <w:t>Introduction</w:t>
      </w:r>
    </w:p>
    <w:p w14:paraId="5F168D76" w14:textId="77777777" w:rsidR="00B64AD3" w:rsidRPr="00CC7288" w:rsidRDefault="00B64AD3" w:rsidP="00CE6436">
      <w:pPr>
        <w:pStyle w:val="H1G"/>
        <w:rPr>
          <w:lang w:bidi="th-TH"/>
        </w:rPr>
      </w:pPr>
      <w:r w:rsidRPr="00CC7288">
        <w:rPr>
          <w:lang w:bidi="th-TH"/>
        </w:rPr>
        <w:tab/>
        <w:t>A.</w:t>
      </w:r>
      <w:r w:rsidRPr="00CC7288">
        <w:rPr>
          <w:lang w:bidi="th-TH"/>
        </w:rPr>
        <w:tab/>
      </w:r>
      <w:r w:rsidRPr="0014590C">
        <w:t>Scope</w:t>
      </w:r>
      <w:r w:rsidRPr="00CC7288">
        <w:rPr>
          <w:lang w:bidi="th-TH"/>
        </w:rPr>
        <w:t xml:space="preserve"> </w:t>
      </w:r>
    </w:p>
    <w:p w14:paraId="7F3DCE11" w14:textId="27817A6E" w:rsidR="00E10926" w:rsidRPr="0014590C" w:rsidRDefault="00B64AD3" w:rsidP="007C5434">
      <w:pPr>
        <w:pStyle w:val="SingleTxtG"/>
        <w:rPr>
          <w:lang w:bidi="th-TH"/>
        </w:rPr>
      </w:pPr>
      <w:r w:rsidRPr="00CC7288">
        <w:rPr>
          <w:lang w:bidi="th-TH"/>
        </w:rPr>
        <w:t>1.</w:t>
      </w:r>
      <w:r w:rsidRPr="00CC7288">
        <w:rPr>
          <w:lang w:bidi="th-TH"/>
        </w:rPr>
        <w:tab/>
      </w:r>
      <w:r w:rsidR="007C5434" w:rsidRPr="0014590C">
        <w:rPr>
          <w:lang w:bidi="th-TH"/>
        </w:rPr>
        <w:t xml:space="preserve">The key strategic elements identification </w:t>
      </w:r>
      <w:r w:rsidR="0014590C">
        <w:rPr>
          <w:lang w:bidi="th-TH"/>
        </w:rPr>
        <w:t xml:space="preserve">should </w:t>
      </w:r>
      <w:r w:rsidR="007C5434" w:rsidRPr="0014590C">
        <w:rPr>
          <w:lang w:bidi="th-TH"/>
        </w:rPr>
        <w:t>evaluate the main objective</w:t>
      </w:r>
      <w:r w:rsidR="006518D3" w:rsidRPr="0014590C">
        <w:rPr>
          <w:lang w:bidi="th-TH"/>
        </w:rPr>
        <w:t>s</w:t>
      </w:r>
      <w:r w:rsidR="007C5434" w:rsidRPr="0014590C">
        <w:rPr>
          <w:lang w:bidi="th-TH"/>
        </w:rPr>
        <w:t xml:space="preserve"> of the Working Party on Intermodal Transport and Logistics, which is to </w:t>
      </w:r>
      <w:r w:rsidR="00E10926" w:rsidRPr="0014590C">
        <w:rPr>
          <w:lang w:bidi="th-TH"/>
        </w:rPr>
        <w:t xml:space="preserve">strengthen the framework for sustainable intermodal transport and logistics operations and policies in the </w:t>
      </w:r>
      <w:r w:rsidR="0014590C">
        <w:rPr>
          <w:lang w:bidi="th-TH"/>
        </w:rPr>
        <w:t>ECE</w:t>
      </w:r>
      <w:r w:rsidR="0014590C" w:rsidRPr="0014590C">
        <w:rPr>
          <w:lang w:bidi="th-TH"/>
        </w:rPr>
        <w:t xml:space="preserve"> </w:t>
      </w:r>
      <w:r w:rsidR="00E10926" w:rsidRPr="0014590C">
        <w:rPr>
          <w:lang w:bidi="th-TH"/>
        </w:rPr>
        <w:t xml:space="preserve">region and enhance cooperation </w:t>
      </w:r>
      <w:r w:rsidR="0014590C">
        <w:rPr>
          <w:lang w:bidi="th-TH"/>
        </w:rPr>
        <w:t xml:space="preserve">between the </w:t>
      </w:r>
      <w:r w:rsidR="00E10926" w:rsidRPr="0014590C">
        <w:rPr>
          <w:lang w:bidi="th-TH"/>
        </w:rPr>
        <w:t>member countries in addressing the</w:t>
      </w:r>
      <w:r w:rsidR="006A2137">
        <w:rPr>
          <w:lang w:bidi="th-TH"/>
        </w:rPr>
        <w:t xml:space="preserve"> </w:t>
      </w:r>
      <w:r w:rsidR="00E10926" w:rsidRPr="0014590C">
        <w:rPr>
          <w:lang w:bidi="th-TH"/>
        </w:rPr>
        <w:t xml:space="preserve">issues through </w:t>
      </w:r>
      <w:r w:rsidR="0014590C">
        <w:rPr>
          <w:lang w:bidi="th-TH"/>
        </w:rPr>
        <w:t xml:space="preserve">an </w:t>
      </w:r>
      <w:r w:rsidR="00E10926" w:rsidRPr="0014590C">
        <w:rPr>
          <w:lang w:bidi="th-TH"/>
        </w:rPr>
        <w:t xml:space="preserve">exchange of experiences and good practices. This includes infrastructure </w:t>
      </w:r>
      <w:r w:rsidR="00E10926" w:rsidRPr="0014590C">
        <w:rPr>
          <w:lang w:bidi="th-TH"/>
        </w:rPr>
        <w:lastRenderedPageBreak/>
        <w:t>and border crossing questions</w:t>
      </w:r>
      <w:r w:rsidR="0014590C">
        <w:rPr>
          <w:lang w:bidi="th-TH"/>
        </w:rPr>
        <w:t>,</w:t>
      </w:r>
      <w:r w:rsidR="00E10926" w:rsidRPr="0014590C">
        <w:rPr>
          <w:lang w:bidi="th-TH"/>
        </w:rPr>
        <w:t xml:space="preserve"> as well as the monitoring and updating of relevant legal instruments</w:t>
      </w:r>
      <w:r w:rsidR="0014590C">
        <w:rPr>
          <w:lang w:bidi="th-TH"/>
        </w:rPr>
        <w:t>, i.e.</w:t>
      </w:r>
      <w:r w:rsidR="00E10926" w:rsidRPr="0014590C">
        <w:rPr>
          <w:lang w:bidi="th-TH"/>
        </w:rPr>
        <w:t xml:space="preserve"> </w:t>
      </w:r>
      <w:r w:rsidR="009F5BE3" w:rsidRPr="0014590C">
        <w:t xml:space="preserve">European Agreement on Important International Combined Transport Lines and Related Installations (AGTC) and its </w:t>
      </w:r>
      <w:r w:rsidR="00013138" w:rsidRPr="0014590C">
        <w:t>protocol on inland waterways</w:t>
      </w:r>
      <w:r w:rsidR="00E10926" w:rsidRPr="0014590C">
        <w:rPr>
          <w:lang w:bidi="th-TH"/>
        </w:rPr>
        <w:t>.</w:t>
      </w:r>
    </w:p>
    <w:p w14:paraId="01175917" w14:textId="37140BD5" w:rsidR="00E10926" w:rsidRPr="0014590C" w:rsidRDefault="00E10926" w:rsidP="00E10926">
      <w:pPr>
        <w:pStyle w:val="SingleTxtG"/>
        <w:rPr>
          <w:lang w:bidi="th-TH"/>
        </w:rPr>
      </w:pPr>
      <w:r w:rsidRPr="0014590C">
        <w:rPr>
          <w:lang w:bidi="th-TH"/>
        </w:rPr>
        <w:t>2</w:t>
      </w:r>
      <w:r w:rsidR="00CE6436" w:rsidRPr="0014590C">
        <w:rPr>
          <w:lang w:bidi="th-TH"/>
        </w:rPr>
        <w:t>.</w:t>
      </w:r>
      <w:r w:rsidR="00CE6436" w:rsidRPr="0014590C">
        <w:rPr>
          <w:lang w:bidi="th-TH"/>
        </w:rPr>
        <w:tab/>
      </w:r>
      <w:r w:rsidR="007C5434" w:rsidRPr="0014590C">
        <w:rPr>
          <w:lang w:bidi="th-TH"/>
        </w:rPr>
        <w:t xml:space="preserve">The analysis </w:t>
      </w:r>
      <w:r w:rsidR="0014590C">
        <w:rPr>
          <w:lang w:bidi="th-TH"/>
        </w:rPr>
        <w:t xml:space="preserve">below </w:t>
      </w:r>
      <w:proofErr w:type="gramStart"/>
      <w:r w:rsidR="007C5434" w:rsidRPr="0014590C">
        <w:rPr>
          <w:lang w:bidi="th-TH"/>
        </w:rPr>
        <w:t>is based</w:t>
      </w:r>
      <w:proofErr w:type="gramEnd"/>
      <w:r w:rsidR="007C5434" w:rsidRPr="0014590C">
        <w:rPr>
          <w:lang w:bidi="th-TH"/>
        </w:rPr>
        <w:t xml:space="preserve"> on </w:t>
      </w:r>
      <w:r w:rsidR="0014590C" w:rsidRPr="0014590C">
        <w:rPr>
          <w:lang w:bidi="th-TH"/>
        </w:rPr>
        <w:t xml:space="preserve">quantitative and qualitative </w:t>
      </w:r>
      <w:r w:rsidR="007C5434" w:rsidRPr="0014590C">
        <w:rPr>
          <w:lang w:bidi="th-TH"/>
        </w:rPr>
        <w:t>data from</w:t>
      </w:r>
      <w:r w:rsidRPr="0014590C">
        <w:rPr>
          <w:lang w:bidi="th-TH"/>
        </w:rPr>
        <w:t xml:space="preserve"> </w:t>
      </w:r>
      <w:r w:rsidR="007C5434" w:rsidRPr="0014590C">
        <w:rPr>
          <w:lang w:bidi="th-TH"/>
        </w:rPr>
        <w:t>the period 20</w:t>
      </w:r>
      <w:r w:rsidRPr="0014590C">
        <w:rPr>
          <w:lang w:bidi="th-TH"/>
        </w:rPr>
        <w:t>10</w:t>
      </w:r>
      <w:r w:rsidR="006518D3" w:rsidRPr="0014590C">
        <w:rPr>
          <w:lang w:bidi="th-TH"/>
        </w:rPr>
        <w:t>-</w:t>
      </w:r>
      <w:r w:rsidR="007C5434" w:rsidRPr="0014590C">
        <w:rPr>
          <w:lang w:bidi="th-TH"/>
        </w:rPr>
        <w:t>201</w:t>
      </w:r>
      <w:r w:rsidRPr="0014590C">
        <w:rPr>
          <w:lang w:bidi="th-TH"/>
        </w:rPr>
        <w:t>7</w:t>
      </w:r>
      <w:r w:rsidR="007C5434" w:rsidRPr="0014590C">
        <w:rPr>
          <w:lang w:bidi="th-TH"/>
        </w:rPr>
        <w:t xml:space="preserve">. This period </w:t>
      </w:r>
      <w:proofErr w:type="gramStart"/>
      <w:r w:rsidR="007C5434" w:rsidRPr="0014590C">
        <w:rPr>
          <w:lang w:bidi="th-TH"/>
        </w:rPr>
        <w:t>was chosen</w:t>
      </w:r>
      <w:proofErr w:type="gramEnd"/>
      <w:r w:rsidR="007C5434" w:rsidRPr="0014590C">
        <w:rPr>
          <w:lang w:bidi="th-TH"/>
        </w:rPr>
        <w:t xml:space="preserve"> because the results of work of the</w:t>
      </w:r>
      <w:r w:rsidRPr="0014590C">
        <w:rPr>
          <w:lang w:bidi="th-TH"/>
        </w:rPr>
        <w:t xml:space="preserve"> </w:t>
      </w:r>
      <w:r w:rsidR="007C5434" w:rsidRPr="0014590C">
        <w:rPr>
          <w:lang w:bidi="th-TH"/>
        </w:rPr>
        <w:t xml:space="preserve">Working Party are mainly analytical and </w:t>
      </w:r>
      <w:proofErr w:type="spellStart"/>
      <w:r w:rsidR="007C5434" w:rsidRPr="0014590C">
        <w:rPr>
          <w:lang w:bidi="th-TH"/>
        </w:rPr>
        <w:t>intercountry</w:t>
      </w:r>
      <w:proofErr w:type="spellEnd"/>
      <w:r w:rsidR="007C5434" w:rsidRPr="0014590C">
        <w:rPr>
          <w:lang w:bidi="th-TH"/>
        </w:rPr>
        <w:t xml:space="preserve"> actions</w:t>
      </w:r>
      <w:r w:rsidR="0014590C">
        <w:rPr>
          <w:lang w:bidi="th-TH"/>
        </w:rPr>
        <w:t>,</w:t>
      </w:r>
      <w:r w:rsidRPr="0014590C">
        <w:rPr>
          <w:lang w:bidi="th-TH"/>
        </w:rPr>
        <w:t xml:space="preserve"> </w:t>
      </w:r>
      <w:r w:rsidR="0014590C">
        <w:rPr>
          <w:lang w:bidi="th-TH"/>
        </w:rPr>
        <w:t xml:space="preserve">i.e. </w:t>
      </w:r>
      <w:r w:rsidR="007C5434" w:rsidRPr="0014590C">
        <w:rPr>
          <w:lang w:bidi="th-TH"/>
        </w:rPr>
        <w:t xml:space="preserve">coordinated development of networks, </w:t>
      </w:r>
      <w:r w:rsidRPr="0014590C">
        <w:rPr>
          <w:lang w:bidi="th-TH"/>
        </w:rPr>
        <w:t>codes, task forces, workshops</w:t>
      </w:r>
      <w:r w:rsidR="0014590C">
        <w:rPr>
          <w:lang w:bidi="th-TH"/>
        </w:rPr>
        <w:t>, etc.</w:t>
      </w:r>
      <w:r w:rsidR="007C5434" w:rsidRPr="0014590C">
        <w:rPr>
          <w:lang w:bidi="th-TH"/>
        </w:rPr>
        <w:t>, rather than a statistically measured output and therefore input from several</w:t>
      </w:r>
      <w:r w:rsidRPr="0014590C">
        <w:rPr>
          <w:lang w:bidi="th-TH"/>
        </w:rPr>
        <w:t xml:space="preserve"> </w:t>
      </w:r>
      <w:r w:rsidR="007C5434" w:rsidRPr="0014590C">
        <w:rPr>
          <w:lang w:bidi="th-TH"/>
        </w:rPr>
        <w:t>years is needed to ensure reliable results.</w:t>
      </w:r>
    </w:p>
    <w:p w14:paraId="77C18505" w14:textId="77777777" w:rsidR="008B058E" w:rsidRPr="0014590C" w:rsidRDefault="008B058E" w:rsidP="00BC2F36">
      <w:pPr>
        <w:pStyle w:val="H1G"/>
        <w:rPr>
          <w:lang w:bidi="th-TH"/>
        </w:rPr>
      </w:pPr>
      <w:r w:rsidRPr="00CC7288">
        <w:rPr>
          <w:lang w:bidi="th-TH"/>
        </w:rPr>
        <w:tab/>
        <w:t>B.</w:t>
      </w:r>
      <w:r w:rsidRPr="00CC7288">
        <w:rPr>
          <w:lang w:bidi="th-TH"/>
        </w:rPr>
        <w:tab/>
        <w:t>Methodology</w:t>
      </w:r>
    </w:p>
    <w:p w14:paraId="5618FD76" w14:textId="5628CA65" w:rsidR="00E10926" w:rsidRPr="0014590C" w:rsidRDefault="00BC2F36" w:rsidP="0062656D">
      <w:pPr>
        <w:pStyle w:val="SingleTxtG"/>
        <w:rPr>
          <w:lang w:bidi="th-TH"/>
        </w:rPr>
      </w:pPr>
      <w:r w:rsidRPr="0014590C">
        <w:rPr>
          <w:lang w:bidi="th-TH"/>
        </w:rPr>
        <w:t>3.</w:t>
      </w:r>
      <w:r w:rsidRPr="0014590C">
        <w:rPr>
          <w:lang w:bidi="th-TH"/>
        </w:rPr>
        <w:tab/>
      </w:r>
      <w:r w:rsidR="00E10926" w:rsidRPr="0014590C">
        <w:rPr>
          <w:lang w:bidi="th-TH"/>
        </w:rPr>
        <w:t>The methodology</w:t>
      </w:r>
      <w:r w:rsidR="0014590C">
        <w:rPr>
          <w:lang w:bidi="th-TH"/>
        </w:rPr>
        <w:t>, i.e.</w:t>
      </w:r>
      <w:r w:rsidR="00E10926" w:rsidRPr="0014590C">
        <w:rPr>
          <w:lang w:bidi="th-TH"/>
        </w:rPr>
        <w:t xml:space="preserve"> </w:t>
      </w:r>
      <w:r w:rsidR="0014590C">
        <w:rPr>
          <w:lang w:bidi="th-TH"/>
        </w:rPr>
        <w:t xml:space="preserve">a </w:t>
      </w:r>
      <w:r w:rsidR="00E10926" w:rsidRPr="0014590C">
        <w:rPr>
          <w:lang w:bidi="th-TH"/>
        </w:rPr>
        <w:t>historical review</w:t>
      </w:r>
      <w:r w:rsidR="006518D3" w:rsidRPr="0014590C">
        <w:rPr>
          <w:lang w:bidi="th-TH"/>
        </w:rPr>
        <w:t xml:space="preserve"> including data collection</w:t>
      </w:r>
      <w:r w:rsidR="0014590C">
        <w:rPr>
          <w:lang w:bidi="th-TH"/>
        </w:rPr>
        <w:t>,</w:t>
      </w:r>
      <w:r w:rsidR="006518D3" w:rsidRPr="0014590C">
        <w:rPr>
          <w:lang w:bidi="th-TH"/>
        </w:rPr>
        <w:t xml:space="preserve"> and</w:t>
      </w:r>
      <w:r w:rsidR="00E10926" w:rsidRPr="0014590C">
        <w:rPr>
          <w:lang w:bidi="th-TH"/>
        </w:rPr>
        <w:t xml:space="preserve"> strategic analysis</w:t>
      </w:r>
      <w:r w:rsidR="0014590C">
        <w:rPr>
          <w:lang w:bidi="th-TH"/>
        </w:rPr>
        <w:t xml:space="preserve">, </w:t>
      </w:r>
      <w:r w:rsidR="00E10926" w:rsidRPr="0014590C">
        <w:rPr>
          <w:lang w:bidi="th-TH"/>
        </w:rPr>
        <w:t>evaluate in parallel</w:t>
      </w:r>
      <w:r w:rsidR="0062656D" w:rsidRPr="0014590C">
        <w:rPr>
          <w:lang w:bidi="th-TH"/>
        </w:rPr>
        <w:t xml:space="preserve"> </w:t>
      </w:r>
      <w:r w:rsidR="00E10926" w:rsidRPr="0014590C">
        <w:rPr>
          <w:lang w:bidi="th-TH"/>
        </w:rPr>
        <w:t xml:space="preserve">the degree to which the </w:t>
      </w:r>
      <w:r w:rsidR="00A22372">
        <w:rPr>
          <w:lang w:bidi="th-TH"/>
        </w:rPr>
        <w:t>Working Party</w:t>
      </w:r>
      <w:r w:rsidR="00A22372" w:rsidRPr="0014590C">
        <w:rPr>
          <w:lang w:bidi="th-TH"/>
        </w:rPr>
        <w:t xml:space="preserve"> </w:t>
      </w:r>
      <w:r w:rsidR="00E10926" w:rsidRPr="0014590C">
        <w:rPr>
          <w:lang w:bidi="th-TH"/>
        </w:rPr>
        <w:t xml:space="preserve">has contributed to (a) </w:t>
      </w:r>
      <w:r w:rsidR="0062656D" w:rsidRPr="0014590C">
        <w:rPr>
          <w:lang w:bidi="th-TH"/>
        </w:rPr>
        <w:t>strengthen</w:t>
      </w:r>
      <w:r w:rsidR="0014590C">
        <w:rPr>
          <w:lang w:bidi="th-TH"/>
        </w:rPr>
        <w:t>ing</w:t>
      </w:r>
      <w:r w:rsidR="0062656D" w:rsidRPr="0014590C">
        <w:rPr>
          <w:lang w:bidi="th-TH"/>
        </w:rPr>
        <w:t xml:space="preserve"> the framework for sustainable intermodal transport and logistics operations and policies in the region</w:t>
      </w:r>
      <w:r w:rsidR="00E10926" w:rsidRPr="0014590C">
        <w:rPr>
          <w:lang w:bidi="th-TH"/>
        </w:rPr>
        <w:t>; and (b)</w:t>
      </w:r>
      <w:r w:rsidR="0062656D" w:rsidRPr="0014590C">
        <w:rPr>
          <w:lang w:bidi="th-TH"/>
        </w:rPr>
        <w:t xml:space="preserve"> </w:t>
      </w:r>
      <w:r w:rsidR="0014590C" w:rsidRPr="0014590C">
        <w:rPr>
          <w:lang w:bidi="th-TH"/>
        </w:rPr>
        <w:t>enhanc</w:t>
      </w:r>
      <w:r w:rsidR="0014590C">
        <w:rPr>
          <w:lang w:bidi="th-TH"/>
        </w:rPr>
        <w:t>ing</w:t>
      </w:r>
      <w:r w:rsidR="0014590C" w:rsidRPr="0014590C">
        <w:rPr>
          <w:lang w:bidi="th-TH"/>
        </w:rPr>
        <w:t xml:space="preserve"> </w:t>
      </w:r>
      <w:r w:rsidR="0062656D" w:rsidRPr="0014590C">
        <w:rPr>
          <w:lang w:bidi="th-TH"/>
        </w:rPr>
        <w:t xml:space="preserve">the cooperation </w:t>
      </w:r>
      <w:r w:rsidR="00991745">
        <w:rPr>
          <w:lang w:bidi="th-TH"/>
        </w:rPr>
        <w:t xml:space="preserve">between </w:t>
      </w:r>
      <w:r w:rsidR="0014590C">
        <w:rPr>
          <w:lang w:bidi="th-TH"/>
        </w:rPr>
        <w:t>ECE</w:t>
      </w:r>
      <w:r w:rsidR="0062656D" w:rsidRPr="0014590C">
        <w:rPr>
          <w:lang w:bidi="th-TH"/>
        </w:rPr>
        <w:t xml:space="preserve"> member countries in the exchange of experiences and good practices. </w:t>
      </w:r>
    </w:p>
    <w:p w14:paraId="17C08BC9" w14:textId="299B6997" w:rsidR="00E10926" w:rsidRPr="0014590C" w:rsidRDefault="0062656D" w:rsidP="0062656D">
      <w:pPr>
        <w:pStyle w:val="SingleTxtG"/>
        <w:rPr>
          <w:lang w:bidi="th-TH"/>
        </w:rPr>
      </w:pPr>
      <w:proofErr w:type="gramStart"/>
      <w:r w:rsidRPr="0014590C">
        <w:rPr>
          <w:lang w:bidi="th-TH"/>
        </w:rPr>
        <w:t>4</w:t>
      </w:r>
      <w:r w:rsidR="00E10926" w:rsidRPr="0014590C">
        <w:rPr>
          <w:lang w:bidi="th-TH"/>
        </w:rPr>
        <w:t>.</w:t>
      </w:r>
      <w:r w:rsidR="00BC2F36" w:rsidRPr="0014590C">
        <w:rPr>
          <w:lang w:bidi="th-TH"/>
        </w:rPr>
        <w:tab/>
      </w:r>
      <w:r w:rsidR="00E10926" w:rsidRPr="0014590C">
        <w:rPr>
          <w:lang w:bidi="th-TH"/>
        </w:rPr>
        <w:t xml:space="preserve">This </w:t>
      </w:r>
      <w:r w:rsidR="00426FAA" w:rsidRPr="0014590C">
        <w:rPr>
          <w:lang w:bidi="th-TH"/>
        </w:rPr>
        <w:t xml:space="preserve">methodology </w:t>
      </w:r>
      <w:r w:rsidR="00991745" w:rsidRPr="0014590C">
        <w:rPr>
          <w:lang w:bidi="th-TH"/>
        </w:rPr>
        <w:t>has two main advantages</w:t>
      </w:r>
      <w:r w:rsidR="00E10926" w:rsidRPr="0014590C">
        <w:rPr>
          <w:lang w:bidi="th-TH"/>
        </w:rPr>
        <w:t>: (a) analys</w:t>
      </w:r>
      <w:r w:rsidR="0014590C">
        <w:rPr>
          <w:lang w:bidi="th-TH"/>
        </w:rPr>
        <w:t>i</w:t>
      </w:r>
      <w:r w:rsidR="00E10926" w:rsidRPr="0014590C">
        <w:rPr>
          <w:lang w:bidi="th-TH"/>
        </w:rPr>
        <w:t xml:space="preserve">s </w:t>
      </w:r>
      <w:r w:rsidR="0014590C">
        <w:rPr>
          <w:lang w:bidi="th-TH"/>
        </w:rPr>
        <w:t xml:space="preserve">of </w:t>
      </w:r>
      <w:r w:rsidR="00E10926" w:rsidRPr="0014590C">
        <w:rPr>
          <w:lang w:bidi="th-TH"/>
        </w:rPr>
        <w:t>the extern</w:t>
      </w:r>
      <w:r w:rsidRPr="0014590C">
        <w:rPr>
          <w:lang w:bidi="th-TH"/>
        </w:rPr>
        <w:t>al environment in which WP.24</w:t>
      </w:r>
      <w:r w:rsidR="00E10926" w:rsidRPr="0014590C">
        <w:rPr>
          <w:lang w:bidi="th-TH"/>
        </w:rPr>
        <w:t xml:space="preserve"> has</w:t>
      </w:r>
      <w:r w:rsidRPr="0014590C">
        <w:rPr>
          <w:lang w:bidi="th-TH"/>
        </w:rPr>
        <w:t xml:space="preserve"> operat</w:t>
      </w:r>
      <w:r w:rsidR="00426FAA">
        <w:rPr>
          <w:lang w:bidi="th-TH"/>
        </w:rPr>
        <w:t>ed</w:t>
      </w:r>
      <w:r w:rsidRPr="0014590C">
        <w:rPr>
          <w:lang w:bidi="th-TH"/>
        </w:rPr>
        <w:t xml:space="preserve"> over the last seven years, strategically positioning the Working Party and evaluating the impact on its clients (governments); and (b) measuring the outputs </w:t>
      </w:r>
      <w:r w:rsidR="00426FAA">
        <w:rPr>
          <w:lang w:bidi="th-TH"/>
        </w:rPr>
        <w:t xml:space="preserve">that </w:t>
      </w:r>
      <w:r w:rsidRPr="0014590C">
        <w:rPr>
          <w:lang w:bidi="th-TH"/>
        </w:rPr>
        <w:t xml:space="preserve">the Working Party </w:t>
      </w:r>
      <w:r w:rsidR="00426FAA">
        <w:rPr>
          <w:lang w:bidi="th-TH"/>
        </w:rPr>
        <w:t xml:space="preserve">has </w:t>
      </w:r>
      <w:r w:rsidRPr="0014590C">
        <w:rPr>
          <w:lang w:bidi="th-TH"/>
        </w:rPr>
        <w:t>produced for the seven years, thus obtaining first</w:t>
      </w:r>
      <w:r w:rsidR="00FF09BA" w:rsidRPr="0014590C">
        <w:rPr>
          <w:lang w:bidi="th-TH"/>
        </w:rPr>
        <w:t>-</w:t>
      </w:r>
      <w:r w:rsidRPr="0014590C">
        <w:rPr>
          <w:lang w:bidi="th-TH"/>
        </w:rPr>
        <w:t>hand information on operational restrictions to ensure a complete, fair and unbiased assessment.</w:t>
      </w:r>
      <w:proofErr w:type="gramEnd"/>
    </w:p>
    <w:p w14:paraId="50BF516B" w14:textId="77777777" w:rsidR="00CD0FDF" w:rsidRPr="00CC7288" w:rsidRDefault="00BC0CF9" w:rsidP="00BC2F36">
      <w:pPr>
        <w:pStyle w:val="HChG"/>
        <w:rPr>
          <w:lang w:bidi="th-TH"/>
        </w:rPr>
      </w:pPr>
      <w:r w:rsidRPr="00CC7288">
        <w:rPr>
          <w:lang w:bidi="th-TH"/>
        </w:rPr>
        <w:tab/>
      </w:r>
      <w:r w:rsidR="002D53E6" w:rsidRPr="00CC7288">
        <w:rPr>
          <w:lang w:bidi="th-TH"/>
        </w:rPr>
        <w:t>II.</w:t>
      </w:r>
      <w:r w:rsidR="00EB1266" w:rsidRPr="00CC7288">
        <w:rPr>
          <w:lang w:bidi="th-TH"/>
        </w:rPr>
        <w:tab/>
      </w:r>
      <w:r w:rsidRPr="00CC7288">
        <w:rPr>
          <w:lang w:bidi="th-TH"/>
        </w:rPr>
        <w:t>Findings</w:t>
      </w:r>
    </w:p>
    <w:p w14:paraId="56A366F0" w14:textId="77777777" w:rsidR="00C53011" w:rsidRPr="00CC7288" w:rsidRDefault="00C53011" w:rsidP="00BC2F36">
      <w:pPr>
        <w:pStyle w:val="H1G"/>
        <w:rPr>
          <w:lang w:bidi="th-TH"/>
        </w:rPr>
      </w:pPr>
      <w:r w:rsidRPr="00CC7288">
        <w:rPr>
          <w:lang w:bidi="th-TH"/>
        </w:rPr>
        <w:tab/>
      </w:r>
      <w:r w:rsidR="001439AF" w:rsidRPr="00CC7288">
        <w:rPr>
          <w:lang w:bidi="th-TH"/>
        </w:rPr>
        <w:t>A</w:t>
      </w:r>
      <w:r w:rsidRPr="00CC7288">
        <w:rPr>
          <w:lang w:bidi="th-TH"/>
        </w:rPr>
        <w:t>.</w:t>
      </w:r>
      <w:r w:rsidRPr="00CC7288">
        <w:rPr>
          <w:lang w:bidi="th-TH"/>
        </w:rPr>
        <w:tab/>
        <w:t>Historical Review</w:t>
      </w:r>
    </w:p>
    <w:p w14:paraId="55B0E2B2" w14:textId="3557516C" w:rsidR="00C53011" w:rsidRPr="0014590C" w:rsidRDefault="00BC2F36" w:rsidP="00C53011">
      <w:pPr>
        <w:pStyle w:val="SingleTxtG"/>
        <w:rPr>
          <w:lang w:bidi="th-TH"/>
        </w:rPr>
      </w:pPr>
      <w:r w:rsidRPr="00CC7288">
        <w:rPr>
          <w:lang w:bidi="th-TH"/>
        </w:rPr>
        <w:t>5.</w:t>
      </w:r>
      <w:r w:rsidRPr="00CC7288">
        <w:rPr>
          <w:lang w:bidi="th-TH"/>
        </w:rPr>
        <w:tab/>
      </w:r>
      <w:r w:rsidR="00C53011" w:rsidRPr="0014590C">
        <w:rPr>
          <w:lang w:bidi="th-TH"/>
        </w:rPr>
        <w:t xml:space="preserve">The historical review </w:t>
      </w:r>
      <w:r w:rsidR="00426FAA" w:rsidRPr="0014590C">
        <w:rPr>
          <w:lang w:bidi="th-TH"/>
        </w:rPr>
        <w:t>assess</w:t>
      </w:r>
      <w:r w:rsidR="00426FAA">
        <w:rPr>
          <w:lang w:bidi="th-TH"/>
        </w:rPr>
        <w:t>ed</w:t>
      </w:r>
      <w:r w:rsidR="00426FAA" w:rsidRPr="0014590C">
        <w:rPr>
          <w:lang w:bidi="th-TH"/>
        </w:rPr>
        <w:t xml:space="preserve"> </w:t>
      </w:r>
      <w:r w:rsidR="00C53011" w:rsidRPr="0014590C">
        <w:rPr>
          <w:lang w:bidi="th-TH"/>
        </w:rPr>
        <w:t xml:space="preserve">to what extent topics discussed by WP.24 corresponded with </w:t>
      </w:r>
      <w:r w:rsidR="0014590C" w:rsidRPr="0014590C">
        <w:rPr>
          <w:lang w:bidi="th-TH"/>
        </w:rPr>
        <w:t>pan</w:t>
      </w:r>
      <w:r w:rsidR="0014590C">
        <w:rPr>
          <w:lang w:bidi="th-TH"/>
        </w:rPr>
        <w:t>-</w:t>
      </w:r>
      <w:r w:rsidR="006E3A2E" w:rsidRPr="0014590C">
        <w:rPr>
          <w:lang w:bidi="th-TH"/>
        </w:rPr>
        <w:t>European</w:t>
      </w:r>
      <w:r w:rsidR="00C53011" w:rsidRPr="0014590C">
        <w:rPr>
          <w:lang w:bidi="th-TH"/>
        </w:rPr>
        <w:t xml:space="preserve"> intermodal transport trends identified during the 2010</w:t>
      </w:r>
      <w:r w:rsidR="00FF09BA" w:rsidRPr="0014590C">
        <w:rPr>
          <w:lang w:bidi="th-TH"/>
        </w:rPr>
        <w:t>-</w:t>
      </w:r>
      <w:r w:rsidR="00C53011" w:rsidRPr="0014590C">
        <w:rPr>
          <w:lang w:bidi="th-TH"/>
        </w:rPr>
        <w:t xml:space="preserve">2017 period. </w:t>
      </w:r>
      <w:r w:rsidR="00B978DD">
        <w:rPr>
          <w:lang w:bidi="th-TH"/>
        </w:rPr>
        <w:t>The a</w:t>
      </w:r>
      <w:r w:rsidR="00C53011" w:rsidRPr="0014590C">
        <w:rPr>
          <w:lang w:bidi="th-TH"/>
        </w:rPr>
        <w:t xml:space="preserve">ctions decided upon by the Working Party and </w:t>
      </w:r>
      <w:r w:rsidR="00B978DD">
        <w:rPr>
          <w:lang w:bidi="th-TH"/>
        </w:rPr>
        <w:t xml:space="preserve">the </w:t>
      </w:r>
      <w:r w:rsidR="00C53011" w:rsidRPr="0014590C">
        <w:rPr>
          <w:lang w:bidi="th-TH"/>
        </w:rPr>
        <w:t>countr</w:t>
      </w:r>
      <w:r w:rsidR="0014590C">
        <w:rPr>
          <w:lang w:bidi="th-TH"/>
        </w:rPr>
        <w:t>y</w:t>
      </w:r>
      <w:r w:rsidR="00C53011" w:rsidRPr="0014590C">
        <w:rPr>
          <w:lang w:bidi="th-TH"/>
        </w:rPr>
        <w:t xml:space="preserve"> response</w:t>
      </w:r>
      <w:r w:rsidR="0014590C">
        <w:rPr>
          <w:lang w:bidi="th-TH"/>
        </w:rPr>
        <w:t>s</w:t>
      </w:r>
      <w:r w:rsidR="00C53011" w:rsidRPr="0014590C">
        <w:rPr>
          <w:lang w:bidi="th-TH"/>
        </w:rPr>
        <w:t xml:space="preserve"> to these actions </w:t>
      </w:r>
      <w:proofErr w:type="gramStart"/>
      <w:r w:rsidR="00B978DD">
        <w:rPr>
          <w:lang w:bidi="th-TH"/>
        </w:rPr>
        <w:t>were</w:t>
      </w:r>
      <w:r w:rsidR="00B978DD" w:rsidRPr="0014590C">
        <w:rPr>
          <w:lang w:bidi="th-TH"/>
        </w:rPr>
        <w:t xml:space="preserve"> </w:t>
      </w:r>
      <w:r w:rsidR="00C53011" w:rsidRPr="0014590C">
        <w:rPr>
          <w:lang w:bidi="th-TH"/>
        </w:rPr>
        <w:t>evaluated</w:t>
      </w:r>
      <w:proofErr w:type="gramEnd"/>
      <w:r w:rsidR="00C53011" w:rsidRPr="0014590C">
        <w:rPr>
          <w:lang w:bidi="th-TH"/>
        </w:rPr>
        <w:t xml:space="preserve">. The objectives of the historical review are to: </w:t>
      </w:r>
    </w:p>
    <w:p w14:paraId="7DF5BAE0" w14:textId="77777777" w:rsidR="00C53011" w:rsidRPr="0014590C" w:rsidRDefault="00EB1266" w:rsidP="00EB1266">
      <w:pPr>
        <w:pStyle w:val="SingleTxtG"/>
        <w:rPr>
          <w:lang w:bidi="th-TH"/>
        </w:rPr>
      </w:pPr>
      <w:r w:rsidRPr="0014590C">
        <w:rPr>
          <w:lang w:bidi="th-TH"/>
        </w:rPr>
        <w:tab/>
        <w:t>(a)</w:t>
      </w:r>
      <w:r w:rsidRPr="0014590C">
        <w:rPr>
          <w:lang w:bidi="th-TH"/>
        </w:rPr>
        <w:tab/>
      </w:r>
      <w:r w:rsidR="00C53011" w:rsidRPr="0014590C">
        <w:rPr>
          <w:lang w:bidi="th-TH"/>
        </w:rPr>
        <w:t xml:space="preserve">Evaluate the degree to which WP.24 was able to identify current intermodal transport trends and developments; </w:t>
      </w:r>
    </w:p>
    <w:p w14:paraId="570F1903" w14:textId="71DB64E9" w:rsidR="00C53011" w:rsidRPr="0014590C" w:rsidRDefault="00EB1266" w:rsidP="00EB1266">
      <w:pPr>
        <w:pStyle w:val="SingleTxtG"/>
        <w:rPr>
          <w:lang w:bidi="th-TH"/>
        </w:rPr>
      </w:pPr>
      <w:r w:rsidRPr="0014590C">
        <w:rPr>
          <w:lang w:bidi="th-TH"/>
        </w:rPr>
        <w:tab/>
        <w:t>(b)</w:t>
      </w:r>
      <w:r w:rsidRPr="0014590C">
        <w:rPr>
          <w:lang w:bidi="th-TH"/>
        </w:rPr>
        <w:tab/>
      </w:r>
      <w:r w:rsidR="00C53011" w:rsidRPr="0014590C">
        <w:rPr>
          <w:lang w:bidi="th-TH"/>
        </w:rPr>
        <w:t xml:space="preserve">Evaluate </w:t>
      </w:r>
      <w:r w:rsidR="0014590C">
        <w:rPr>
          <w:lang w:bidi="th-TH"/>
        </w:rPr>
        <w:t xml:space="preserve">the </w:t>
      </w:r>
      <w:r w:rsidR="00C53011" w:rsidRPr="0014590C">
        <w:rPr>
          <w:lang w:bidi="th-TH"/>
        </w:rPr>
        <w:t xml:space="preserve">response </w:t>
      </w:r>
      <w:r w:rsidR="0014590C">
        <w:rPr>
          <w:lang w:bidi="th-TH"/>
        </w:rPr>
        <w:t xml:space="preserve">of </w:t>
      </w:r>
      <w:r w:rsidR="0014590C" w:rsidRPr="001A4FD2">
        <w:rPr>
          <w:lang w:bidi="th-TH"/>
        </w:rPr>
        <w:t xml:space="preserve">WP.24 </w:t>
      </w:r>
      <w:r w:rsidR="00C53011" w:rsidRPr="0014590C">
        <w:rPr>
          <w:lang w:bidi="th-TH"/>
        </w:rPr>
        <w:t xml:space="preserve">to these transport trends and developments; </w:t>
      </w:r>
      <w:r w:rsidR="00B978DD">
        <w:rPr>
          <w:lang w:bidi="th-TH"/>
        </w:rPr>
        <w:t>and</w:t>
      </w:r>
    </w:p>
    <w:p w14:paraId="793F68D2" w14:textId="75471B99" w:rsidR="00BC0CF9" w:rsidRPr="00CC7288" w:rsidRDefault="00EB1266" w:rsidP="00EB1266">
      <w:pPr>
        <w:pStyle w:val="SingleTxtG"/>
        <w:rPr>
          <w:lang w:bidi="th-TH"/>
        </w:rPr>
      </w:pPr>
      <w:r w:rsidRPr="0014590C">
        <w:rPr>
          <w:lang w:bidi="th-TH"/>
        </w:rPr>
        <w:tab/>
      </w:r>
      <w:proofErr w:type="gramStart"/>
      <w:r w:rsidRPr="0014590C">
        <w:rPr>
          <w:lang w:bidi="th-TH"/>
        </w:rPr>
        <w:t>(c)</w:t>
      </w:r>
      <w:r w:rsidRPr="0014590C">
        <w:rPr>
          <w:lang w:bidi="th-TH"/>
        </w:rPr>
        <w:tab/>
      </w:r>
      <w:r w:rsidR="0014590C">
        <w:rPr>
          <w:lang w:bidi="th-TH"/>
        </w:rPr>
        <w:t>Q</w:t>
      </w:r>
      <w:r w:rsidR="0014590C" w:rsidRPr="001A4FD2">
        <w:rPr>
          <w:lang w:bidi="th-TH"/>
        </w:rPr>
        <w:t>ualitative and quantitative</w:t>
      </w:r>
      <w:r w:rsidR="0014590C">
        <w:rPr>
          <w:lang w:bidi="th-TH"/>
        </w:rPr>
        <w:t xml:space="preserve"> an</w:t>
      </w:r>
      <w:r w:rsidR="00C53011" w:rsidRPr="0014590C">
        <w:rPr>
          <w:lang w:bidi="th-TH"/>
        </w:rPr>
        <w:t>alyse</w:t>
      </w:r>
      <w:r w:rsidR="00B978DD">
        <w:rPr>
          <w:lang w:bidi="th-TH"/>
        </w:rPr>
        <w:t>s</w:t>
      </w:r>
      <w:r w:rsidR="00C53011" w:rsidRPr="0014590C">
        <w:rPr>
          <w:lang w:bidi="th-TH"/>
        </w:rPr>
        <w:t xml:space="preserve"> </w:t>
      </w:r>
      <w:r w:rsidR="0014590C">
        <w:rPr>
          <w:lang w:bidi="th-TH"/>
        </w:rPr>
        <w:t xml:space="preserve">of </w:t>
      </w:r>
      <w:r w:rsidR="00C53011" w:rsidRPr="0014590C">
        <w:rPr>
          <w:lang w:bidi="th-TH"/>
        </w:rPr>
        <w:t xml:space="preserve">the responses and </w:t>
      </w:r>
      <w:r w:rsidRPr="0014590C">
        <w:rPr>
          <w:lang w:bidi="th-TH"/>
        </w:rPr>
        <w:t xml:space="preserve">activities </w:t>
      </w:r>
      <w:bookmarkStart w:id="0" w:name="_GoBack"/>
      <w:bookmarkEnd w:id="0"/>
      <w:r w:rsidRPr="0014590C">
        <w:rPr>
          <w:lang w:bidi="th-TH"/>
        </w:rPr>
        <w:t>undertaken.</w:t>
      </w:r>
      <w:proofErr w:type="gramEnd"/>
    </w:p>
    <w:p w14:paraId="10A52D3D" w14:textId="3BDC1C5F" w:rsidR="00BC0CF9" w:rsidRPr="0014590C" w:rsidRDefault="00EB1266" w:rsidP="00C53011">
      <w:pPr>
        <w:pStyle w:val="SingleTxtG"/>
        <w:rPr>
          <w:lang w:bidi="th-TH"/>
        </w:rPr>
      </w:pPr>
      <w:r w:rsidRPr="00CC7288">
        <w:rPr>
          <w:lang w:bidi="th-TH"/>
        </w:rPr>
        <w:t>6.</w:t>
      </w:r>
      <w:r w:rsidRPr="00CC7288">
        <w:rPr>
          <w:lang w:bidi="th-TH"/>
        </w:rPr>
        <w:tab/>
      </w:r>
      <w:r w:rsidR="00C53011" w:rsidRPr="0014590C">
        <w:rPr>
          <w:lang w:bidi="th-TH"/>
        </w:rPr>
        <w:t xml:space="preserve">Figure </w:t>
      </w:r>
      <w:r w:rsidR="00FF09BA" w:rsidRPr="0014590C">
        <w:rPr>
          <w:lang w:bidi="th-TH"/>
        </w:rPr>
        <w:t>1</w:t>
      </w:r>
      <w:r w:rsidR="00C53011" w:rsidRPr="0014590C">
        <w:rPr>
          <w:lang w:bidi="th-TH"/>
        </w:rPr>
        <w:t xml:space="preserve"> illustrates the </w:t>
      </w:r>
      <w:r w:rsidR="0014590C">
        <w:rPr>
          <w:lang w:bidi="th-TH"/>
        </w:rPr>
        <w:t>pan-Eu</w:t>
      </w:r>
      <w:r w:rsidR="00C53011" w:rsidRPr="0014590C">
        <w:rPr>
          <w:lang w:bidi="th-TH"/>
        </w:rPr>
        <w:t xml:space="preserve">ropean intermodal transport trends and the topics </w:t>
      </w:r>
      <w:r w:rsidR="003F4012" w:rsidRPr="0014590C">
        <w:rPr>
          <w:lang w:bidi="th-TH"/>
        </w:rPr>
        <w:t xml:space="preserve">addressed </w:t>
      </w:r>
      <w:r w:rsidR="0014590C">
        <w:rPr>
          <w:lang w:bidi="th-TH"/>
        </w:rPr>
        <w:t>at</w:t>
      </w:r>
      <w:r w:rsidR="0014590C" w:rsidRPr="0014590C">
        <w:rPr>
          <w:lang w:bidi="th-TH"/>
        </w:rPr>
        <w:t xml:space="preserve"> </w:t>
      </w:r>
      <w:r w:rsidR="00C53011" w:rsidRPr="0014590C">
        <w:rPr>
          <w:lang w:bidi="th-TH"/>
        </w:rPr>
        <w:t xml:space="preserve">WP.24 </w:t>
      </w:r>
      <w:r w:rsidR="003F4012" w:rsidRPr="0014590C">
        <w:rPr>
          <w:lang w:bidi="th-TH"/>
        </w:rPr>
        <w:t xml:space="preserve">workshops </w:t>
      </w:r>
      <w:r w:rsidR="0014590C">
        <w:rPr>
          <w:lang w:bidi="th-TH"/>
        </w:rPr>
        <w:t xml:space="preserve">for </w:t>
      </w:r>
      <w:r w:rsidR="00C53011" w:rsidRPr="0014590C">
        <w:rPr>
          <w:lang w:bidi="th-TH"/>
        </w:rPr>
        <w:t xml:space="preserve">the </w:t>
      </w:r>
      <w:proofErr w:type="gramStart"/>
      <w:r w:rsidR="0014590C">
        <w:rPr>
          <w:lang w:bidi="th-TH"/>
        </w:rPr>
        <w:t xml:space="preserve">time </w:t>
      </w:r>
      <w:r w:rsidR="00C53011" w:rsidRPr="0014590C">
        <w:rPr>
          <w:lang w:bidi="th-TH"/>
        </w:rPr>
        <w:t>period</w:t>
      </w:r>
      <w:proofErr w:type="gramEnd"/>
      <w:r w:rsidR="00C53011" w:rsidRPr="0014590C">
        <w:rPr>
          <w:lang w:bidi="th-TH"/>
        </w:rPr>
        <w:t>.</w:t>
      </w:r>
    </w:p>
    <w:p w14:paraId="2BC534D5" w14:textId="77777777" w:rsidR="00043148" w:rsidRPr="0014590C" w:rsidRDefault="00043148" w:rsidP="00B466BE">
      <w:pPr>
        <w:pStyle w:val="SingleTxtG"/>
        <w:keepNext/>
        <w:keepLines/>
        <w:spacing w:after="0"/>
      </w:pPr>
      <w:r w:rsidRPr="0014590C">
        <w:lastRenderedPageBreak/>
        <w:t xml:space="preserve">Figure 1 </w:t>
      </w:r>
    </w:p>
    <w:p w14:paraId="4788A7A5" w14:textId="06393D8F" w:rsidR="00164C3F" w:rsidRPr="0014590C" w:rsidRDefault="00977E8B" w:rsidP="00B466BE">
      <w:pPr>
        <w:pStyle w:val="SingleTxtG"/>
        <w:keepNext/>
        <w:keepLines/>
        <w:rPr>
          <w:b/>
        </w:rPr>
      </w:pPr>
      <w:r w:rsidRPr="0014590C">
        <w:rPr>
          <w:b/>
        </w:rPr>
        <w:t>Pan</w:t>
      </w:r>
      <w:r>
        <w:rPr>
          <w:b/>
        </w:rPr>
        <w:t>-</w:t>
      </w:r>
      <w:r w:rsidR="00043148" w:rsidRPr="0014590C">
        <w:rPr>
          <w:b/>
        </w:rPr>
        <w:t>European intermodal transport trends v</w:t>
      </w:r>
      <w:r w:rsidR="00A22372">
        <w:rPr>
          <w:b/>
        </w:rPr>
        <w:t>ersu</w:t>
      </w:r>
      <w:r w:rsidR="00043148" w:rsidRPr="0014590C">
        <w:rPr>
          <w:b/>
        </w:rPr>
        <w:t>s workshops organized by WP.24</w:t>
      </w:r>
    </w:p>
    <w:p w14:paraId="60943DBB" w14:textId="77777777" w:rsidR="00EB1266" w:rsidRPr="0014590C" w:rsidRDefault="00043148" w:rsidP="00B466BE">
      <w:pPr>
        <w:pStyle w:val="SingleTxtG"/>
        <w:keepNext/>
        <w:keepLines/>
        <w:rPr>
          <w:lang w:bidi="th-TH"/>
        </w:rPr>
      </w:pPr>
      <w:r w:rsidRPr="00DB6643">
        <w:rPr>
          <w:noProof/>
          <w:lang w:val="en-US"/>
        </w:rPr>
        <w:drawing>
          <wp:inline distT="0" distB="0" distL="0" distR="0" wp14:anchorId="76F9CE11" wp14:editId="4FEE757E">
            <wp:extent cx="5320985" cy="1505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836" b="2922"/>
                    <a:stretch/>
                  </pic:blipFill>
                  <pic:spPr bwMode="auto">
                    <a:xfrm>
                      <a:off x="0" y="0"/>
                      <a:ext cx="5368953" cy="1519340"/>
                    </a:xfrm>
                    <a:prstGeom prst="rect">
                      <a:avLst/>
                    </a:prstGeom>
                    <a:noFill/>
                    <a:ln>
                      <a:noFill/>
                    </a:ln>
                    <a:extLst>
                      <a:ext uri="{53640926-AAD7-44D8-BBD7-CCE9431645EC}">
                        <a14:shadowObscured xmlns:a14="http://schemas.microsoft.com/office/drawing/2010/main"/>
                      </a:ext>
                    </a:extLst>
                  </pic:spPr>
                </pic:pic>
              </a:graphicData>
            </a:graphic>
          </wp:inline>
        </w:drawing>
      </w:r>
    </w:p>
    <w:p w14:paraId="32111224" w14:textId="5CFB50A4" w:rsidR="00043148" w:rsidRPr="0014590C" w:rsidRDefault="00043148" w:rsidP="00AE2A18">
      <w:pPr>
        <w:spacing w:after="240"/>
        <w:ind w:left="1134" w:right="1134" w:firstLine="170"/>
        <w:jc w:val="both"/>
        <w:rPr>
          <w:sz w:val="18"/>
          <w:szCs w:val="18"/>
        </w:rPr>
      </w:pPr>
      <w:r w:rsidRPr="0014590C">
        <w:rPr>
          <w:i/>
          <w:sz w:val="18"/>
          <w:szCs w:val="18"/>
        </w:rPr>
        <w:t>Source</w:t>
      </w:r>
      <w:r w:rsidRPr="0014590C">
        <w:rPr>
          <w:sz w:val="18"/>
          <w:szCs w:val="18"/>
        </w:rPr>
        <w:t xml:space="preserve">: </w:t>
      </w:r>
      <w:r w:rsidR="0014590C">
        <w:rPr>
          <w:sz w:val="18"/>
          <w:szCs w:val="18"/>
        </w:rPr>
        <w:t>ECE</w:t>
      </w:r>
      <w:r w:rsidRPr="0014590C">
        <w:rPr>
          <w:sz w:val="18"/>
          <w:szCs w:val="18"/>
        </w:rPr>
        <w:t xml:space="preserve"> Transport Division</w:t>
      </w:r>
    </w:p>
    <w:p w14:paraId="53F1B56F" w14:textId="06B3C051" w:rsidR="001C0D1E" w:rsidRPr="0014590C" w:rsidRDefault="00043148" w:rsidP="00AE2A18">
      <w:pPr>
        <w:pStyle w:val="SingleTxtG"/>
        <w:rPr>
          <w:lang w:bidi="th-TH"/>
        </w:rPr>
      </w:pPr>
      <w:r w:rsidRPr="0014590C">
        <w:rPr>
          <w:lang w:bidi="th-TH"/>
        </w:rPr>
        <w:t>7.</w:t>
      </w:r>
      <w:r w:rsidR="001C0D1E" w:rsidRPr="0014590C">
        <w:rPr>
          <w:lang w:bidi="th-TH"/>
        </w:rPr>
        <w:tab/>
        <w:t>The blue or left part of the graph illustrates the main intermodal transport topics for the period 2010</w:t>
      </w:r>
      <w:r w:rsidR="00C82C27" w:rsidRPr="0014590C">
        <w:rPr>
          <w:lang w:bidi="th-TH"/>
        </w:rPr>
        <w:t>-</w:t>
      </w:r>
      <w:r w:rsidR="001C0D1E" w:rsidRPr="0014590C">
        <w:rPr>
          <w:lang w:bidi="th-TH"/>
        </w:rPr>
        <w:t xml:space="preserve">2017 at the </w:t>
      </w:r>
      <w:r w:rsidR="0014590C">
        <w:rPr>
          <w:lang w:bidi="th-TH"/>
        </w:rPr>
        <w:t>pan-Eu</w:t>
      </w:r>
      <w:r w:rsidR="001C0D1E" w:rsidRPr="0014590C">
        <w:rPr>
          <w:lang w:bidi="th-TH"/>
        </w:rPr>
        <w:t xml:space="preserve">ropean level. These </w:t>
      </w:r>
      <w:proofErr w:type="gramStart"/>
      <w:r w:rsidR="001C0D1E" w:rsidRPr="0014590C">
        <w:rPr>
          <w:lang w:bidi="th-TH"/>
        </w:rPr>
        <w:t>were discussed</w:t>
      </w:r>
      <w:proofErr w:type="gramEnd"/>
      <w:r w:rsidR="001C0D1E" w:rsidRPr="0014590C">
        <w:rPr>
          <w:lang w:bidi="th-TH"/>
        </w:rPr>
        <w:t xml:space="preserve"> in meetings </w:t>
      </w:r>
      <w:r w:rsidR="00F468CB">
        <w:rPr>
          <w:lang w:bidi="th-TH"/>
        </w:rPr>
        <w:t>organiz</w:t>
      </w:r>
      <w:r w:rsidR="001C0D1E" w:rsidRPr="0014590C">
        <w:rPr>
          <w:lang w:bidi="th-TH"/>
        </w:rPr>
        <w:t xml:space="preserve">ed by the relevant main international or regional transport organizations. Since we should ensure an objective selection of what </w:t>
      </w:r>
      <w:proofErr w:type="gramStart"/>
      <w:r w:rsidR="001C0D1E" w:rsidRPr="0014590C">
        <w:rPr>
          <w:lang w:bidi="th-TH"/>
        </w:rPr>
        <w:t>can be considered</w:t>
      </w:r>
      <w:proofErr w:type="gramEnd"/>
      <w:r w:rsidR="001C0D1E" w:rsidRPr="0014590C">
        <w:rPr>
          <w:lang w:bidi="th-TH"/>
        </w:rPr>
        <w:t xml:space="preserve"> as “main </w:t>
      </w:r>
      <w:r w:rsidR="0014590C">
        <w:rPr>
          <w:lang w:bidi="th-TH"/>
        </w:rPr>
        <w:t>pan-Eu</w:t>
      </w:r>
      <w:r w:rsidR="001C0D1E" w:rsidRPr="0014590C">
        <w:rPr>
          <w:lang w:bidi="th-TH"/>
        </w:rPr>
        <w:t>ropean intermodal transport topics” for comparison purposes, the above-mentioned method was considered the most reliable.</w:t>
      </w:r>
    </w:p>
    <w:p w14:paraId="7ACA52AA" w14:textId="64A6CFBF" w:rsidR="00C53011" w:rsidRPr="0014590C" w:rsidRDefault="001C0D1E" w:rsidP="001C0D1E">
      <w:pPr>
        <w:pStyle w:val="SingleTxtG"/>
        <w:rPr>
          <w:lang w:bidi="th-TH"/>
        </w:rPr>
      </w:pPr>
      <w:r w:rsidRPr="0014590C">
        <w:rPr>
          <w:lang w:bidi="th-TH"/>
        </w:rPr>
        <w:t>8</w:t>
      </w:r>
      <w:r w:rsidR="00043148" w:rsidRPr="0014590C">
        <w:rPr>
          <w:lang w:bidi="th-TH"/>
        </w:rPr>
        <w:t>.</w:t>
      </w:r>
      <w:r w:rsidRPr="0014590C">
        <w:rPr>
          <w:lang w:bidi="th-TH"/>
        </w:rPr>
        <w:tab/>
        <w:t xml:space="preserve">The green or right part of the graph illustrates the main topics discussed during WP.24 workshops organized during the same period. In all cases (or years) the Working Party initiated or considered subjects that were </w:t>
      </w:r>
      <w:r w:rsidR="003F4012" w:rsidRPr="0014590C">
        <w:rPr>
          <w:lang w:bidi="th-TH"/>
        </w:rPr>
        <w:t xml:space="preserve">more or less </w:t>
      </w:r>
      <w:r w:rsidRPr="0014590C">
        <w:rPr>
          <w:lang w:bidi="th-TH"/>
        </w:rPr>
        <w:t>related to intermodal transport trends and topics of major interest in that particular period.</w:t>
      </w:r>
      <w:r w:rsidR="003F4012" w:rsidRPr="0014590C">
        <w:rPr>
          <w:lang w:bidi="th-TH"/>
        </w:rPr>
        <w:t xml:space="preserve"> For instance</w:t>
      </w:r>
      <w:r w:rsidR="00DE5470">
        <w:rPr>
          <w:lang w:bidi="th-TH"/>
        </w:rPr>
        <w:t>,</w:t>
      </w:r>
      <w:r w:rsidR="003F4012" w:rsidRPr="0014590C">
        <w:rPr>
          <w:lang w:bidi="th-TH"/>
        </w:rPr>
        <w:t xml:space="preserve"> some topics such as the infrastructure pricing, the electronic data interchange, the intermodal transport corridors or the integrated infrastructure </w:t>
      </w:r>
      <w:proofErr w:type="gramStart"/>
      <w:r w:rsidR="003F4012" w:rsidRPr="0014590C">
        <w:rPr>
          <w:lang w:bidi="th-TH"/>
        </w:rPr>
        <w:t>were not addressed</w:t>
      </w:r>
      <w:proofErr w:type="gramEnd"/>
      <w:r w:rsidR="003F4012" w:rsidRPr="0014590C">
        <w:rPr>
          <w:lang w:bidi="th-TH"/>
        </w:rPr>
        <w:t xml:space="preserve">. </w:t>
      </w:r>
    </w:p>
    <w:p w14:paraId="3ED240D0" w14:textId="6984A9F0" w:rsidR="00C53011" w:rsidRPr="0014590C" w:rsidRDefault="00043148" w:rsidP="001C0D1E">
      <w:pPr>
        <w:pStyle w:val="SingleTxtG"/>
        <w:rPr>
          <w:lang w:bidi="th-TH"/>
        </w:rPr>
      </w:pPr>
      <w:r w:rsidRPr="0014590C">
        <w:rPr>
          <w:lang w:bidi="th-TH"/>
        </w:rPr>
        <w:t>9.</w:t>
      </w:r>
      <w:r w:rsidR="001C0D1E" w:rsidRPr="0014590C">
        <w:rPr>
          <w:lang w:bidi="th-TH"/>
        </w:rPr>
        <w:tab/>
        <w:t xml:space="preserve">Figure </w:t>
      </w:r>
      <w:r w:rsidR="00FF09BA" w:rsidRPr="0014590C">
        <w:rPr>
          <w:lang w:bidi="th-TH"/>
        </w:rPr>
        <w:t>2</w:t>
      </w:r>
      <w:r w:rsidR="001C0D1E" w:rsidRPr="0014590C">
        <w:rPr>
          <w:lang w:bidi="th-TH"/>
        </w:rPr>
        <w:t xml:space="preserve"> illustrates the number of countries, </w:t>
      </w:r>
      <w:r w:rsidR="00FF09BA" w:rsidRPr="0014590C">
        <w:rPr>
          <w:lang w:bidi="th-TH"/>
        </w:rPr>
        <w:t xml:space="preserve">the </w:t>
      </w:r>
      <w:r w:rsidR="001C0D1E" w:rsidRPr="0014590C">
        <w:rPr>
          <w:lang w:bidi="th-TH"/>
        </w:rPr>
        <w:t xml:space="preserve">total number of delegates and </w:t>
      </w:r>
      <w:r w:rsidR="00FF09BA" w:rsidRPr="0014590C">
        <w:rPr>
          <w:lang w:bidi="th-TH"/>
        </w:rPr>
        <w:t xml:space="preserve">the </w:t>
      </w:r>
      <w:r w:rsidR="001C0D1E" w:rsidRPr="0014590C">
        <w:rPr>
          <w:lang w:bidi="th-TH"/>
        </w:rPr>
        <w:t xml:space="preserve">number of speakers during the </w:t>
      </w:r>
      <w:r w:rsidR="00A04A59">
        <w:rPr>
          <w:lang w:bidi="th-TH"/>
        </w:rPr>
        <w:t>w</w:t>
      </w:r>
      <w:r w:rsidR="001C0D1E" w:rsidRPr="0014590C">
        <w:rPr>
          <w:lang w:bidi="th-TH"/>
        </w:rPr>
        <w:t>orkshops organized by the Working Party</w:t>
      </w:r>
      <w:r w:rsidR="00AE2A18" w:rsidRPr="0014590C">
        <w:rPr>
          <w:lang w:bidi="th-TH"/>
        </w:rPr>
        <w:t xml:space="preserve"> over the </w:t>
      </w:r>
      <w:r w:rsidR="00DE5470">
        <w:rPr>
          <w:lang w:bidi="th-TH"/>
        </w:rPr>
        <w:t>pe</w:t>
      </w:r>
      <w:r w:rsidR="00DB6643">
        <w:rPr>
          <w:lang w:bidi="th-TH"/>
        </w:rPr>
        <w:t>r</w:t>
      </w:r>
      <w:r w:rsidR="00DE5470">
        <w:rPr>
          <w:lang w:bidi="th-TH"/>
        </w:rPr>
        <w:t>iod</w:t>
      </w:r>
      <w:r w:rsidR="00AE2A18" w:rsidRPr="0014590C">
        <w:rPr>
          <w:lang w:bidi="th-TH"/>
        </w:rPr>
        <w:t>.</w:t>
      </w:r>
    </w:p>
    <w:p w14:paraId="230D4B8C" w14:textId="77777777" w:rsidR="00AE2A18" w:rsidRPr="0014590C" w:rsidRDefault="00AE2A18" w:rsidP="00AE2A18">
      <w:pPr>
        <w:pStyle w:val="SingleTxtG"/>
        <w:spacing w:after="0"/>
      </w:pPr>
      <w:r w:rsidRPr="0014590C">
        <w:t xml:space="preserve">Figure 2 </w:t>
      </w:r>
    </w:p>
    <w:p w14:paraId="5018077C" w14:textId="2178599F" w:rsidR="00AE2A18" w:rsidRPr="0014590C" w:rsidRDefault="00AE2A18" w:rsidP="001C0D1E">
      <w:pPr>
        <w:pStyle w:val="SingleTxtG"/>
        <w:rPr>
          <w:b/>
        </w:rPr>
      </w:pPr>
      <w:r w:rsidRPr="0014590C">
        <w:rPr>
          <w:b/>
        </w:rPr>
        <w:t xml:space="preserve">Number of countries, total number of delegates and number of speakers </w:t>
      </w:r>
      <w:r w:rsidR="00F468CB" w:rsidRPr="0014590C">
        <w:rPr>
          <w:b/>
        </w:rPr>
        <w:t>participat</w:t>
      </w:r>
      <w:r w:rsidR="00F468CB">
        <w:rPr>
          <w:b/>
        </w:rPr>
        <w:t>ing</w:t>
      </w:r>
      <w:r w:rsidR="00F468CB" w:rsidRPr="0014590C">
        <w:rPr>
          <w:b/>
        </w:rPr>
        <w:t xml:space="preserve"> </w:t>
      </w:r>
      <w:r w:rsidRPr="0014590C">
        <w:rPr>
          <w:b/>
        </w:rPr>
        <w:t>at WP.24 sessions</w:t>
      </w:r>
    </w:p>
    <w:p w14:paraId="44E400C8" w14:textId="77777777" w:rsidR="00AE2A18" w:rsidRPr="0014590C" w:rsidRDefault="00AE2A18" w:rsidP="001C0D1E">
      <w:pPr>
        <w:pStyle w:val="SingleTxtG"/>
        <w:rPr>
          <w:lang w:bidi="th-TH"/>
        </w:rPr>
      </w:pPr>
      <w:r w:rsidRPr="00DB6643">
        <w:rPr>
          <w:noProof/>
          <w:lang w:val="en-US"/>
        </w:rPr>
        <w:drawing>
          <wp:inline distT="0" distB="0" distL="0" distR="0" wp14:anchorId="490F65FC" wp14:editId="6EC84338">
            <wp:extent cx="4098135" cy="24634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8876" cy="2469877"/>
                    </a:xfrm>
                    <a:prstGeom prst="rect">
                      <a:avLst/>
                    </a:prstGeom>
                    <a:noFill/>
                  </pic:spPr>
                </pic:pic>
              </a:graphicData>
            </a:graphic>
          </wp:inline>
        </w:drawing>
      </w:r>
    </w:p>
    <w:p w14:paraId="79FEBF3C" w14:textId="2112DECA" w:rsidR="00AE2A18" w:rsidRPr="0014590C" w:rsidRDefault="00AE2A18" w:rsidP="00AE2A18">
      <w:pPr>
        <w:spacing w:after="240"/>
        <w:ind w:left="1134" w:right="1134" w:firstLine="170"/>
        <w:jc w:val="both"/>
        <w:rPr>
          <w:sz w:val="18"/>
          <w:szCs w:val="18"/>
        </w:rPr>
      </w:pPr>
      <w:r w:rsidRPr="0014590C">
        <w:rPr>
          <w:i/>
          <w:sz w:val="18"/>
          <w:szCs w:val="18"/>
        </w:rPr>
        <w:t>Source</w:t>
      </w:r>
      <w:r w:rsidRPr="0014590C">
        <w:rPr>
          <w:sz w:val="18"/>
          <w:szCs w:val="18"/>
        </w:rPr>
        <w:t xml:space="preserve">: </w:t>
      </w:r>
      <w:r w:rsidR="0014590C">
        <w:rPr>
          <w:sz w:val="18"/>
          <w:szCs w:val="18"/>
        </w:rPr>
        <w:t>ECE</w:t>
      </w:r>
      <w:r w:rsidRPr="0014590C">
        <w:rPr>
          <w:sz w:val="18"/>
          <w:szCs w:val="18"/>
        </w:rPr>
        <w:t xml:space="preserve"> Transport Division</w:t>
      </w:r>
    </w:p>
    <w:p w14:paraId="3CFB650C" w14:textId="35787D79" w:rsidR="001C0D1E" w:rsidRPr="0014590C" w:rsidRDefault="00FD64D5" w:rsidP="001C0D1E">
      <w:pPr>
        <w:pStyle w:val="SingleTxtG"/>
        <w:rPr>
          <w:lang w:bidi="th-TH"/>
        </w:rPr>
      </w:pPr>
      <w:r w:rsidRPr="0014590C">
        <w:rPr>
          <w:lang w:bidi="th-TH"/>
        </w:rPr>
        <w:lastRenderedPageBreak/>
        <w:t>10.</w:t>
      </w:r>
      <w:r w:rsidRPr="0014590C">
        <w:rPr>
          <w:lang w:bidi="th-TH"/>
        </w:rPr>
        <w:tab/>
      </w:r>
      <w:r w:rsidR="00E06195" w:rsidRPr="0014590C">
        <w:rPr>
          <w:lang w:bidi="th-TH"/>
        </w:rPr>
        <w:t xml:space="preserve">It is clear from </w:t>
      </w:r>
      <w:r w:rsidR="00F468CB">
        <w:rPr>
          <w:lang w:bidi="th-TH"/>
        </w:rPr>
        <w:t xml:space="preserve">figure 2 </w:t>
      </w:r>
      <w:r w:rsidR="00E06195" w:rsidRPr="0014590C">
        <w:rPr>
          <w:lang w:bidi="th-TH"/>
        </w:rPr>
        <w:t xml:space="preserve">that in 2017 </w:t>
      </w:r>
      <w:r w:rsidR="00F468CB" w:rsidRPr="0014590C">
        <w:rPr>
          <w:lang w:bidi="th-TH"/>
        </w:rPr>
        <w:t>whe</w:t>
      </w:r>
      <w:r w:rsidR="00F468CB">
        <w:rPr>
          <w:lang w:bidi="th-TH"/>
        </w:rPr>
        <w:t>n</w:t>
      </w:r>
      <w:r w:rsidR="00F468CB" w:rsidRPr="0014590C">
        <w:rPr>
          <w:lang w:bidi="th-TH"/>
        </w:rPr>
        <w:t xml:space="preserve"> </w:t>
      </w:r>
      <w:r w:rsidR="00E06195" w:rsidRPr="0014590C">
        <w:rPr>
          <w:lang w:bidi="th-TH"/>
        </w:rPr>
        <w:t xml:space="preserve">the secretariat </w:t>
      </w:r>
      <w:r w:rsidR="00FF09BA" w:rsidRPr="0014590C">
        <w:rPr>
          <w:lang w:bidi="th-TH"/>
        </w:rPr>
        <w:t>undertook efforts</w:t>
      </w:r>
      <w:r w:rsidR="00E06195" w:rsidRPr="0014590C">
        <w:rPr>
          <w:lang w:bidi="th-TH"/>
        </w:rPr>
        <w:t xml:space="preserve"> to revitalize the Working Party session </w:t>
      </w:r>
      <w:r w:rsidR="00F468CB">
        <w:rPr>
          <w:lang w:bidi="th-TH"/>
        </w:rPr>
        <w:t xml:space="preserve">that </w:t>
      </w:r>
      <w:r w:rsidR="00E06195" w:rsidRPr="0014590C">
        <w:rPr>
          <w:lang w:bidi="th-TH"/>
        </w:rPr>
        <w:t xml:space="preserve">the </w:t>
      </w:r>
      <w:r w:rsidR="00F468CB">
        <w:rPr>
          <w:lang w:bidi="th-TH"/>
        </w:rPr>
        <w:t>g</w:t>
      </w:r>
      <w:r w:rsidR="00F468CB" w:rsidRPr="0014590C">
        <w:rPr>
          <w:lang w:bidi="th-TH"/>
        </w:rPr>
        <w:t xml:space="preserve">overnments </w:t>
      </w:r>
      <w:r w:rsidR="00E06195" w:rsidRPr="0014590C">
        <w:rPr>
          <w:lang w:bidi="th-TH"/>
        </w:rPr>
        <w:t>responded</w:t>
      </w:r>
      <w:r w:rsidR="00FF09BA" w:rsidRPr="0014590C">
        <w:rPr>
          <w:lang w:bidi="th-TH"/>
        </w:rPr>
        <w:t xml:space="preserve"> to the efforts</w:t>
      </w:r>
      <w:r w:rsidR="00E06195" w:rsidRPr="0014590C">
        <w:rPr>
          <w:lang w:bidi="th-TH"/>
        </w:rPr>
        <w:t>.</w:t>
      </w:r>
      <w:r w:rsidR="00B54421" w:rsidRPr="0014590C">
        <w:rPr>
          <w:lang w:bidi="th-TH"/>
        </w:rPr>
        <w:t xml:space="preserve"> </w:t>
      </w:r>
      <w:r w:rsidR="005066EE" w:rsidRPr="0014590C">
        <w:t xml:space="preserve">During this year’s </w:t>
      </w:r>
      <w:proofErr w:type="gramStart"/>
      <w:r w:rsidR="005066EE" w:rsidRPr="0014590C">
        <w:t>session</w:t>
      </w:r>
      <w:proofErr w:type="gramEnd"/>
      <w:r w:rsidR="005066EE" w:rsidRPr="0014590C">
        <w:t xml:space="preserve"> there was an eighty per cent increase on the number of countries (eighteen compar</w:t>
      </w:r>
      <w:r w:rsidR="00DE5470">
        <w:t>ed</w:t>
      </w:r>
      <w:r w:rsidR="005066EE" w:rsidRPr="0014590C">
        <w:t xml:space="preserve"> to an average of ten for the last three years). </w:t>
      </w:r>
      <w:proofErr w:type="gramStart"/>
      <w:r w:rsidR="005066EE" w:rsidRPr="0014590C">
        <w:t>Also</w:t>
      </w:r>
      <w:proofErr w:type="gramEnd"/>
      <w:r w:rsidR="005066EE" w:rsidRPr="0014590C">
        <w:t xml:space="preserve">, there was a seventy per cent increase </w:t>
      </w:r>
      <w:r w:rsidR="00DE5470">
        <w:t>i</w:t>
      </w:r>
      <w:r w:rsidR="00DE5470" w:rsidRPr="0014590C">
        <w:t xml:space="preserve">n </w:t>
      </w:r>
      <w:r w:rsidR="005066EE" w:rsidRPr="0014590C">
        <w:t>the number of participants (</w:t>
      </w:r>
      <w:r w:rsidR="00A22372">
        <w:t xml:space="preserve">54 </w:t>
      </w:r>
      <w:r w:rsidR="005066EE" w:rsidRPr="0014590C">
        <w:t xml:space="preserve">participants this year </w:t>
      </w:r>
      <w:r w:rsidR="00DE5470" w:rsidRPr="0014590C">
        <w:t>compar</w:t>
      </w:r>
      <w:r w:rsidR="00DE5470">
        <w:t>ed</w:t>
      </w:r>
      <w:r w:rsidR="00DE5470" w:rsidRPr="0014590C">
        <w:t xml:space="preserve"> </w:t>
      </w:r>
      <w:r w:rsidR="005066EE" w:rsidRPr="0014590C">
        <w:t xml:space="preserve">to an average of </w:t>
      </w:r>
      <w:r w:rsidR="00A22372">
        <w:t xml:space="preserve">31 </w:t>
      </w:r>
      <w:r w:rsidR="005066EE" w:rsidRPr="0014590C">
        <w:t xml:space="preserve">for the last three years). Furthermore, there was a </w:t>
      </w:r>
      <w:r w:rsidR="00A22372">
        <w:t xml:space="preserve">95 </w:t>
      </w:r>
      <w:r w:rsidR="005066EE" w:rsidRPr="0014590C">
        <w:t>per cent increase on the number of speakers at the workshop (</w:t>
      </w:r>
      <w:r w:rsidR="00A22372">
        <w:t xml:space="preserve">13 </w:t>
      </w:r>
      <w:r w:rsidR="005066EE" w:rsidRPr="0014590C">
        <w:t>speakers this year comparing to an average of six speakers for the last three years). However, the secretariat pointed out that further efforts are needed in order to further increase the number of countries and the total number of participants attending the sessions. Concrete outputs, new agenda items, daily workshops and a session that should last three days are some of the actions proposed by the secretariat.</w:t>
      </w:r>
    </w:p>
    <w:p w14:paraId="136047C4" w14:textId="77777777" w:rsidR="001C0D1E" w:rsidRPr="0014590C" w:rsidRDefault="00506CF6" w:rsidP="00506CF6">
      <w:pPr>
        <w:pStyle w:val="H1G"/>
        <w:rPr>
          <w:lang w:bidi="th-TH"/>
        </w:rPr>
      </w:pPr>
      <w:r w:rsidRPr="00CC7288">
        <w:rPr>
          <w:lang w:bidi="th-TH"/>
        </w:rPr>
        <w:tab/>
        <w:t>B.</w:t>
      </w:r>
      <w:r w:rsidRPr="00CC7288">
        <w:rPr>
          <w:lang w:bidi="th-TH"/>
        </w:rPr>
        <w:tab/>
        <w:t>P.E.S.T. Analysis</w:t>
      </w:r>
    </w:p>
    <w:p w14:paraId="6FADEBD6" w14:textId="2C037FA4" w:rsidR="00506CF6" w:rsidRPr="0014590C" w:rsidRDefault="00506CF6" w:rsidP="00506CF6">
      <w:pPr>
        <w:pStyle w:val="SingleTxtG"/>
        <w:rPr>
          <w:lang w:bidi="th-TH"/>
        </w:rPr>
      </w:pPr>
      <w:r w:rsidRPr="0014590C">
        <w:rPr>
          <w:lang w:bidi="th-TH"/>
        </w:rPr>
        <w:t>11.</w:t>
      </w:r>
      <w:r w:rsidRPr="0014590C">
        <w:rPr>
          <w:lang w:bidi="th-TH"/>
        </w:rPr>
        <w:tab/>
        <w:t>The Political</w:t>
      </w:r>
      <w:r w:rsidR="00F468CB">
        <w:rPr>
          <w:lang w:bidi="th-TH"/>
        </w:rPr>
        <w:t>,</w:t>
      </w:r>
      <w:r w:rsidRPr="0014590C">
        <w:rPr>
          <w:lang w:bidi="th-TH"/>
        </w:rPr>
        <w:t xml:space="preserve"> Environmental</w:t>
      </w:r>
      <w:r w:rsidR="00F468CB">
        <w:rPr>
          <w:lang w:bidi="th-TH"/>
        </w:rPr>
        <w:t>,</w:t>
      </w:r>
      <w:r w:rsidRPr="0014590C">
        <w:rPr>
          <w:lang w:bidi="th-TH"/>
        </w:rPr>
        <w:t xml:space="preserve"> Social and Technological analysis will help identify</w:t>
      </w:r>
      <w:r w:rsidR="00013138">
        <w:rPr>
          <w:lang w:bidi="th-TH"/>
        </w:rPr>
        <w:t xml:space="preserve"> </w:t>
      </w:r>
      <w:r w:rsidRPr="0014590C">
        <w:rPr>
          <w:lang w:bidi="th-TH"/>
        </w:rPr>
        <w:t xml:space="preserve">the environment in which WP.24 operates </w:t>
      </w:r>
      <w:r w:rsidR="00013138">
        <w:rPr>
          <w:lang w:bidi="th-TH"/>
        </w:rPr>
        <w:t xml:space="preserve">and </w:t>
      </w:r>
      <w:r w:rsidRPr="0014590C">
        <w:rPr>
          <w:lang w:bidi="th-TH"/>
        </w:rPr>
        <w:t>the drivers of activity and change.</w:t>
      </w:r>
    </w:p>
    <w:p w14:paraId="7E3D7570" w14:textId="2A236874" w:rsidR="00506CF6" w:rsidRPr="0014590C" w:rsidRDefault="00506CF6" w:rsidP="00506CF6">
      <w:pPr>
        <w:pStyle w:val="SingleTxtG"/>
        <w:rPr>
          <w:lang w:bidi="th-TH"/>
        </w:rPr>
      </w:pPr>
      <w:r w:rsidRPr="0014590C">
        <w:rPr>
          <w:lang w:bidi="th-TH"/>
        </w:rPr>
        <w:t>12.</w:t>
      </w:r>
      <w:r w:rsidRPr="0014590C">
        <w:rPr>
          <w:lang w:bidi="th-TH"/>
        </w:rPr>
        <w:tab/>
        <w:t xml:space="preserve">Political </w:t>
      </w:r>
      <w:r w:rsidR="00F468CB">
        <w:rPr>
          <w:lang w:bidi="th-TH"/>
        </w:rPr>
        <w:t>e</w:t>
      </w:r>
      <w:r w:rsidR="00F468CB" w:rsidRPr="0014590C">
        <w:rPr>
          <w:lang w:bidi="th-TH"/>
        </w:rPr>
        <w:t>nvironment</w:t>
      </w:r>
      <w:r w:rsidR="00F468CB">
        <w:rPr>
          <w:lang w:bidi="th-TH"/>
        </w:rPr>
        <w:t>:</w:t>
      </w:r>
      <w:r w:rsidRPr="0014590C">
        <w:rPr>
          <w:lang w:bidi="th-TH"/>
        </w:rPr>
        <w:t xml:space="preserve"> Working Party operates under the Inland Transport Committee to which the Transport Division acts as the secretariat. </w:t>
      </w:r>
      <w:r w:rsidR="00FF09BA" w:rsidRPr="0014590C">
        <w:rPr>
          <w:lang w:bidi="th-TH"/>
        </w:rPr>
        <w:t>ECE</w:t>
      </w:r>
      <w:r w:rsidRPr="0014590C">
        <w:rPr>
          <w:lang w:bidi="th-TH"/>
        </w:rPr>
        <w:t xml:space="preserve"> also comprises the Commonwealth of Independent States where there is a tremendous need for transport facilitation and technical assistance. This includes a geographical area where </w:t>
      </w:r>
      <w:r w:rsidR="00F468CB">
        <w:rPr>
          <w:lang w:bidi="th-TH"/>
        </w:rPr>
        <w:t>ESCAP</w:t>
      </w:r>
      <w:r w:rsidRPr="0014590C">
        <w:rPr>
          <w:lang w:bidi="th-TH"/>
        </w:rPr>
        <w:t xml:space="preserve"> is active </w:t>
      </w:r>
      <w:r w:rsidR="00013138">
        <w:rPr>
          <w:lang w:bidi="th-TH"/>
        </w:rPr>
        <w:t xml:space="preserve">in </w:t>
      </w:r>
      <w:r w:rsidRPr="0014590C">
        <w:rPr>
          <w:lang w:bidi="th-TH"/>
        </w:rPr>
        <w:t>various projects and initiatives</w:t>
      </w:r>
      <w:r w:rsidR="00013138">
        <w:rPr>
          <w:lang w:bidi="th-TH"/>
        </w:rPr>
        <w:t>,</w:t>
      </w:r>
      <w:r w:rsidRPr="0014590C">
        <w:rPr>
          <w:lang w:bidi="th-TH"/>
        </w:rPr>
        <w:t xml:space="preserve"> especially on </w:t>
      </w:r>
      <w:r w:rsidR="00F468CB">
        <w:rPr>
          <w:lang w:bidi="th-TH"/>
        </w:rPr>
        <w:t>i</w:t>
      </w:r>
      <w:r w:rsidRPr="0014590C">
        <w:rPr>
          <w:lang w:bidi="th-TH"/>
        </w:rPr>
        <w:t xml:space="preserve">ntermodal </w:t>
      </w:r>
      <w:r w:rsidR="00F468CB">
        <w:rPr>
          <w:lang w:bidi="th-TH"/>
        </w:rPr>
        <w:t>t</w:t>
      </w:r>
      <w:r w:rsidRPr="0014590C">
        <w:rPr>
          <w:lang w:bidi="th-TH"/>
        </w:rPr>
        <w:t xml:space="preserve">ransport including the dry ports agreement. Funding does not appear to be as scarce for </w:t>
      </w:r>
      <w:r w:rsidR="00F468CB">
        <w:rPr>
          <w:lang w:bidi="th-TH"/>
        </w:rPr>
        <w:t>ESCAP</w:t>
      </w:r>
      <w:r w:rsidRPr="0014590C">
        <w:rPr>
          <w:lang w:bidi="th-TH"/>
        </w:rPr>
        <w:t xml:space="preserve"> as for </w:t>
      </w:r>
      <w:r w:rsidR="0014590C">
        <w:rPr>
          <w:lang w:bidi="th-TH"/>
        </w:rPr>
        <w:t>ECE</w:t>
      </w:r>
      <w:r w:rsidRPr="0014590C">
        <w:rPr>
          <w:lang w:bidi="th-TH"/>
        </w:rPr>
        <w:t>, and for this reason the former is more project oriented in that area than the latter.</w:t>
      </w:r>
    </w:p>
    <w:p w14:paraId="16CF3DE7" w14:textId="6F9C441A" w:rsidR="001C0D1E" w:rsidRPr="0014590C" w:rsidRDefault="00506CF6" w:rsidP="00AF6A76">
      <w:pPr>
        <w:pStyle w:val="SingleTxtG"/>
        <w:rPr>
          <w:lang w:bidi="th-TH"/>
        </w:rPr>
      </w:pPr>
      <w:r w:rsidRPr="0014590C">
        <w:rPr>
          <w:lang w:bidi="th-TH"/>
        </w:rPr>
        <w:t>13.</w:t>
      </w:r>
      <w:r w:rsidR="00AE2A18" w:rsidRPr="0014590C">
        <w:rPr>
          <w:lang w:bidi="th-TH"/>
        </w:rPr>
        <w:tab/>
      </w:r>
      <w:r w:rsidRPr="0014590C">
        <w:rPr>
          <w:lang w:bidi="th-TH"/>
        </w:rPr>
        <w:t xml:space="preserve">The main competitive advantage of the ECE Transport Division is the 57 international transport conventions and agreements </w:t>
      </w:r>
      <w:r w:rsidR="00013138">
        <w:rPr>
          <w:lang w:bidi="th-TH"/>
        </w:rPr>
        <w:t xml:space="preserve">that </w:t>
      </w:r>
      <w:r w:rsidRPr="0014590C">
        <w:rPr>
          <w:lang w:bidi="th-TH"/>
        </w:rPr>
        <w:t xml:space="preserve">it administers. Although WP.24 provides the secretariat for the administrative committee of </w:t>
      </w:r>
      <w:r w:rsidR="00791F8C">
        <w:rPr>
          <w:lang w:bidi="th-TH"/>
        </w:rPr>
        <w:t xml:space="preserve">the </w:t>
      </w:r>
      <w:r w:rsidRPr="0014590C">
        <w:rPr>
          <w:lang w:bidi="th-TH"/>
        </w:rPr>
        <w:t xml:space="preserve">AGTC agreement and its protocol on </w:t>
      </w:r>
      <w:r w:rsidR="00F468CB">
        <w:rPr>
          <w:lang w:bidi="th-TH"/>
        </w:rPr>
        <w:t>i</w:t>
      </w:r>
      <w:r w:rsidR="00F468CB" w:rsidRPr="0014590C">
        <w:rPr>
          <w:lang w:bidi="th-TH"/>
        </w:rPr>
        <w:t xml:space="preserve">nland </w:t>
      </w:r>
      <w:r w:rsidR="00F468CB">
        <w:rPr>
          <w:lang w:bidi="th-TH"/>
        </w:rPr>
        <w:t>w</w:t>
      </w:r>
      <w:r w:rsidRPr="0014590C">
        <w:rPr>
          <w:lang w:bidi="th-TH"/>
        </w:rPr>
        <w:t>aterways</w:t>
      </w:r>
      <w:r w:rsidR="00013138">
        <w:rPr>
          <w:lang w:bidi="th-TH"/>
        </w:rPr>
        <w:t>,</w:t>
      </w:r>
      <w:r w:rsidRPr="0014590C">
        <w:rPr>
          <w:lang w:bidi="th-TH"/>
        </w:rPr>
        <w:t xml:space="preserve"> </w:t>
      </w:r>
      <w:r w:rsidR="00AF6A76" w:rsidRPr="0014590C">
        <w:rPr>
          <w:lang w:bidi="th-TH"/>
        </w:rPr>
        <w:t xml:space="preserve">only some of the contracting parties participate at the administrative committee sessions (7-8 out of 32 contracting parties). </w:t>
      </w:r>
    </w:p>
    <w:p w14:paraId="27869645" w14:textId="58ED7FCC" w:rsidR="00AF6A76" w:rsidRPr="0014590C" w:rsidRDefault="00AF6A76" w:rsidP="00AF6A76">
      <w:pPr>
        <w:pStyle w:val="SingleTxtG"/>
        <w:rPr>
          <w:lang w:bidi="th-TH"/>
        </w:rPr>
      </w:pPr>
      <w:r w:rsidRPr="0014590C">
        <w:rPr>
          <w:lang w:bidi="th-TH"/>
        </w:rPr>
        <w:t>14</w:t>
      </w:r>
      <w:r w:rsidR="00AE2A18" w:rsidRPr="0014590C">
        <w:rPr>
          <w:lang w:bidi="th-TH"/>
        </w:rPr>
        <w:t>.</w:t>
      </w:r>
      <w:r w:rsidRPr="0014590C">
        <w:rPr>
          <w:lang w:bidi="th-TH"/>
        </w:rPr>
        <w:tab/>
        <w:t>Economic environment</w:t>
      </w:r>
      <w:r w:rsidR="00F468CB">
        <w:rPr>
          <w:lang w:bidi="th-TH"/>
        </w:rPr>
        <w:t>:</w:t>
      </w:r>
      <w:r w:rsidRPr="0014590C">
        <w:rPr>
          <w:lang w:bidi="th-TH"/>
        </w:rPr>
        <w:t xml:space="preserve"> Reduced budgets at all levels affect the work of WP.24 directly and indirectly: it means fewer delegates at the meetings, less funds for projects and travelling, less publications, and fewer possibilities to obtain external funds. </w:t>
      </w:r>
    </w:p>
    <w:p w14:paraId="713F9640" w14:textId="0961A9AC" w:rsidR="00AF6A76" w:rsidRPr="0014590C" w:rsidRDefault="00AE2A18" w:rsidP="00AF6A76">
      <w:pPr>
        <w:pStyle w:val="SingleTxtG"/>
        <w:rPr>
          <w:lang w:bidi="th-TH"/>
        </w:rPr>
      </w:pPr>
      <w:r w:rsidRPr="0014590C">
        <w:rPr>
          <w:lang w:bidi="th-TH"/>
        </w:rPr>
        <w:t>15.</w:t>
      </w:r>
      <w:r w:rsidR="00AF6A76" w:rsidRPr="0014590C">
        <w:rPr>
          <w:lang w:bidi="th-TH"/>
        </w:rPr>
        <w:tab/>
        <w:t xml:space="preserve">Social </w:t>
      </w:r>
      <w:r w:rsidR="00791F8C">
        <w:rPr>
          <w:lang w:bidi="th-TH"/>
        </w:rPr>
        <w:t>e</w:t>
      </w:r>
      <w:r w:rsidR="00791F8C" w:rsidRPr="0014590C">
        <w:rPr>
          <w:lang w:bidi="th-TH"/>
        </w:rPr>
        <w:t>nvironment</w:t>
      </w:r>
      <w:r w:rsidR="00F468CB">
        <w:rPr>
          <w:lang w:bidi="th-TH"/>
        </w:rPr>
        <w:t xml:space="preserve">: </w:t>
      </w:r>
      <w:r w:rsidR="00AF6A76" w:rsidRPr="0014590C">
        <w:rPr>
          <w:lang w:bidi="th-TH"/>
        </w:rPr>
        <w:t xml:space="preserve">ECE </w:t>
      </w:r>
      <w:r w:rsidR="00FF09BA" w:rsidRPr="0014590C">
        <w:rPr>
          <w:lang w:bidi="th-TH"/>
        </w:rPr>
        <w:t>m</w:t>
      </w:r>
      <w:r w:rsidR="00AF6A76" w:rsidRPr="0014590C">
        <w:rPr>
          <w:lang w:bidi="th-TH"/>
        </w:rPr>
        <w:t>ember States represent a colourful cultural, developmental, economical and historical mosaic. Their needs, priorities, and opportunities greatly differ.</w:t>
      </w:r>
      <w:r w:rsidR="009C0DD2" w:rsidRPr="0014590C">
        <w:rPr>
          <w:lang w:bidi="th-TH"/>
        </w:rPr>
        <w:t xml:space="preserve"> </w:t>
      </w:r>
      <w:proofErr w:type="gramStart"/>
      <w:r w:rsidR="009C0DD2" w:rsidRPr="0014590C">
        <w:rPr>
          <w:lang w:bidi="th-TH"/>
        </w:rPr>
        <w:t xml:space="preserve">For instance, </w:t>
      </w:r>
      <w:r w:rsidR="00AF6A76" w:rsidRPr="0014590C">
        <w:rPr>
          <w:lang w:bidi="th-TH"/>
        </w:rPr>
        <w:t xml:space="preserve">the development of intermodal transport corridors </w:t>
      </w:r>
      <w:r w:rsidR="00791F8C">
        <w:rPr>
          <w:lang w:bidi="th-TH"/>
        </w:rPr>
        <w:t xml:space="preserve">in </w:t>
      </w:r>
      <w:r w:rsidR="00AF6A76" w:rsidRPr="0014590C">
        <w:rPr>
          <w:lang w:bidi="th-TH"/>
        </w:rPr>
        <w:t>Europe and Asia or the development of national master plan on freight transport and logistics.</w:t>
      </w:r>
      <w:proofErr w:type="gramEnd"/>
      <w:r w:rsidR="00AF6A76" w:rsidRPr="0014590C">
        <w:rPr>
          <w:lang w:bidi="th-TH"/>
        </w:rPr>
        <w:t xml:space="preserve"> Different needs, ways of doing business, interoperability issues as well as technological differences are all different challenges that should be addressed. </w:t>
      </w:r>
    </w:p>
    <w:p w14:paraId="2F741681" w14:textId="3E6E9FB3" w:rsidR="001C0D1E" w:rsidRPr="0014590C" w:rsidRDefault="009C0DD2" w:rsidP="009C0DD2">
      <w:pPr>
        <w:pStyle w:val="SingleTxtG"/>
        <w:rPr>
          <w:lang w:bidi="th-TH"/>
        </w:rPr>
      </w:pPr>
      <w:r w:rsidRPr="0014590C">
        <w:rPr>
          <w:lang w:bidi="th-TH"/>
        </w:rPr>
        <w:t>16</w:t>
      </w:r>
      <w:r w:rsidR="00AE2A18" w:rsidRPr="0014590C">
        <w:rPr>
          <w:lang w:bidi="th-TH"/>
        </w:rPr>
        <w:t>.</w:t>
      </w:r>
      <w:r w:rsidR="00AE2A18" w:rsidRPr="0014590C">
        <w:rPr>
          <w:lang w:bidi="th-TH"/>
        </w:rPr>
        <w:tab/>
      </w:r>
      <w:r w:rsidR="00AF6A76" w:rsidRPr="0014590C">
        <w:rPr>
          <w:lang w:bidi="th-TH"/>
        </w:rPr>
        <w:t xml:space="preserve">Technological </w:t>
      </w:r>
      <w:r w:rsidR="00791F8C">
        <w:rPr>
          <w:lang w:bidi="th-TH"/>
        </w:rPr>
        <w:t>e</w:t>
      </w:r>
      <w:r w:rsidR="00AF6A76" w:rsidRPr="0014590C">
        <w:rPr>
          <w:lang w:bidi="th-TH"/>
        </w:rPr>
        <w:t>nvironment</w:t>
      </w:r>
      <w:r w:rsidR="00F468CB">
        <w:rPr>
          <w:lang w:bidi="th-TH"/>
        </w:rPr>
        <w:t>:</w:t>
      </w:r>
      <w:r w:rsidR="00AF6A76" w:rsidRPr="0014590C">
        <w:rPr>
          <w:lang w:bidi="th-TH"/>
        </w:rPr>
        <w:t xml:space="preserve"> Technological innovation is a key driver of</w:t>
      </w:r>
      <w:r w:rsidRPr="0014590C">
        <w:rPr>
          <w:lang w:bidi="th-TH"/>
        </w:rPr>
        <w:t xml:space="preserve"> </w:t>
      </w:r>
      <w:r w:rsidR="00AF6A76" w:rsidRPr="0014590C">
        <w:rPr>
          <w:lang w:bidi="th-TH"/>
        </w:rPr>
        <w:t>change and operational efficiency. The only technological application that WP.</w:t>
      </w:r>
      <w:r w:rsidRPr="0014590C">
        <w:rPr>
          <w:lang w:bidi="th-TH"/>
        </w:rPr>
        <w:t xml:space="preserve">24 </w:t>
      </w:r>
      <w:r w:rsidR="00AF6A76" w:rsidRPr="0014590C">
        <w:rPr>
          <w:lang w:bidi="th-TH"/>
        </w:rPr>
        <w:t>takes advantage of is a website. No other applications are used. For more effective</w:t>
      </w:r>
      <w:r w:rsidRPr="0014590C">
        <w:rPr>
          <w:lang w:bidi="th-TH"/>
        </w:rPr>
        <w:t xml:space="preserve"> </w:t>
      </w:r>
      <w:r w:rsidR="00AF6A76" w:rsidRPr="0014590C">
        <w:rPr>
          <w:lang w:bidi="th-TH"/>
        </w:rPr>
        <w:t>and efficient functioning, the Working Party should take advantage of specialized</w:t>
      </w:r>
      <w:r w:rsidRPr="0014590C">
        <w:rPr>
          <w:lang w:bidi="th-TH"/>
        </w:rPr>
        <w:t xml:space="preserve"> </w:t>
      </w:r>
      <w:r w:rsidR="00AF6A76" w:rsidRPr="0014590C">
        <w:rPr>
          <w:lang w:bidi="th-TH"/>
        </w:rPr>
        <w:t>applications both for its regular work‐related communications as well as</w:t>
      </w:r>
      <w:r w:rsidRPr="0014590C">
        <w:rPr>
          <w:lang w:bidi="th-TH"/>
        </w:rPr>
        <w:t xml:space="preserve"> </w:t>
      </w:r>
      <w:r w:rsidR="00AF6A76" w:rsidRPr="0014590C">
        <w:rPr>
          <w:lang w:bidi="th-TH"/>
        </w:rPr>
        <w:t>administrative procedures which so far have been based on traditional methods of</w:t>
      </w:r>
      <w:r w:rsidRPr="0014590C">
        <w:rPr>
          <w:lang w:bidi="th-TH"/>
        </w:rPr>
        <w:t xml:space="preserve"> </w:t>
      </w:r>
      <w:r w:rsidR="00AF6A76" w:rsidRPr="0014590C">
        <w:rPr>
          <w:lang w:bidi="th-TH"/>
        </w:rPr>
        <w:t>doing business. The opportunities to expand its use of technological applications are</w:t>
      </w:r>
      <w:r w:rsidRPr="0014590C">
        <w:rPr>
          <w:lang w:bidi="th-TH"/>
        </w:rPr>
        <w:t xml:space="preserve"> </w:t>
      </w:r>
      <w:r w:rsidR="00AF6A76" w:rsidRPr="0014590C">
        <w:rPr>
          <w:lang w:bidi="th-TH"/>
        </w:rPr>
        <w:t>great, especially for WP.</w:t>
      </w:r>
      <w:r w:rsidRPr="0014590C">
        <w:rPr>
          <w:lang w:bidi="th-TH"/>
        </w:rPr>
        <w:t>24</w:t>
      </w:r>
      <w:r w:rsidR="00AF6A76" w:rsidRPr="0014590C">
        <w:rPr>
          <w:lang w:bidi="th-TH"/>
        </w:rPr>
        <w:t xml:space="preserve"> that aims to strengthen its position as </w:t>
      </w:r>
      <w:r w:rsidRPr="0014590C">
        <w:rPr>
          <w:lang w:bidi="th-TH"/>
        </w:rPr>
        <w:t xml:space="preserve">the Working Party that brings together all other infrastructure Working Parties. </w:t>
      </w:r>
    </w:p>
    <w:p w14:paraId="13901314" w14:textId="77777777" w:rsidR="00E36357" w:rsidRPr="0014590C" w:rsidRDefault="00E36357" w:rsidP="00E36357">
      <w:pPr>
        <w:pStyle w:val="H1G"/>
        <w:rPr>
          <w:lang w:bidi="th-TH"/>
        </w:rPr>
      </w:pPr>
      <w:r w:rsidRPr="00CC7288">
        <w:rPr>
          <w:lang w:bidi="th-TH"/>
        </w:rPr>
        <w:lastRenderedPageBreak/>
        <w:tab/>
      </w:r>
      <w:r w:rsidR="00DF312A" w:rsidRPr="00CC7288">
        <w:rPr>
          <w:lang w:bidi="th-TH"/>
        </w:rPr>
        <w:t>C</w:t>
      </w:r>
      <w:r w:rsidRPr="00CC7288">
        <w:rPr>
          <w:lang w:bidi="th-TH"/>
        </w:rPr>
        <w:t>.</w:t>
      </w:r>
      <w:r w:rsidRPr="00CC7288">
        <w:rPr>
          <w:lang w:bidi="th-TH"/>
        </w:rPr>
        <w:tab/>
      </w:r>
      <w:r w:rsidR="00EF37A5" w:rsidRPr="00CC7288">
        <w:rPr>
          <w:lang w:bidi="th-TH"/>
        </w:rPr>
        <w:t>S.W.O.T.</w:t>
      </w:r>
      <w:r w:rsidRPr="00CC7288">
        <w:rPr>
          <w:lang w:bidi="th-TH"/>
        </w:rPr>
        <w:t xml:space="preserve"> Analysis</w:t>
      </w:r>
    </w:p>
    <w:p w14:paraId="1938B34B" w14:textId="77777777" w:rsidR="00C53011" w:rsidRPr="0014590C" w:rsidRDefault="00AE2A18" w:rsidP="002B5CA3">
      <w:pPr>
        <w:pStyle w:val="SingleTxtG"/>
        <w:rPr>
          <w:lang w:bidi="th-TH"/>
        </w:rPr>
      </w:pPr>
      <w:r w:rsidRPr="0014590C">
        <w:rPr>
          <w:lang w:bidi="th-TH"/>
        </w:rPr>
        <w:t>17.</w:t>
      </w:r>
      <w:r w:rsidR="00EF37A5" w:rsidRPr="0014590C">
        <w:rPr>
          <w:lang w:bidi="th-TH"/>
        </w:rPr>
        <w:tab/>
      </w:r>
      <w:r w:rsidR="002B5CA3" w:rsidRPr="0014590C">
        <w:rPr>
          <w:lang w:bidi="th-TH"/>
        </w:rPr>
        <w:t xml:space="preserve">The SWOT analysis could help at this stage to identify the strengths, weaknesses, opportunities, and threats that the Working Party faces in order to have a clearer picture of the current conditions and design a strategy that will concretely contribute to Working Party’s revitalization.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845DB5" w:rsidRPr="0014590C" w14:paraId="10A58175" w14:textId="77777777" w:rsidTr="00AE2A18">
        <w:trPr>
          <w:tblHeader/>
        </w:trPr>
        <w:tc>
          <w:tcPr>
            <w:tcW w:w="4927" w:type="dxa"/>
            <w:tcBorders>
              <w:top w:val="single" w:sz="4" w:space="0" w:color="auto"/>
              <w:bottom w:val="single" w:sz="12" w:space="0" w:color="auto"/>
            </w:tcBorders>
            <w:shd w:val="clear" w:color="auto" w:fill="auto"/>
            <w:vAlign w:val="bottom"/>
          </w:tcPr>
          <w:p w14:paraId="2F431399" w14:textId="2B47B31D" w:rsidR="002B5CA3" w:rsidRPr="0014590C" w:rsidRDefault="00791F8C" w:rsidP="00AE2A18">
            <w:pPr>
              <w:pStyle w:val="SingleTxtG"/>
              <w:suppressAutoHyphens w:val="0"/>
              <w:spacing w:before="80" w:after="80" w:line="200" w:lineRule="exact"/>
              <w:ind w:left="0" w:right="113"/>
              <w:jc w:val="left"/>
              <w:rPr>
                <w:i/>
                <w:sz w:val="16"/>
                <w:lang w:bidi="th-TH"/>
              </w:rPr>
            </w:pPr>
            <w:r w:rsidRPr="0014590C">
              <w:rPr>
                <w:i/>
                <w:sz w:val="16"/>
                <w:lang w:bidi="th-TH"/>
              </w:rPr>
              <w:t>Strengths</w:t>
            </w:r>
          </w:p>
        </w:tc>
        <w:tc>
          <w:tcPr>
            <w:tcW w:w="4928" w:type="dxa"/>
            <w:tcBorders>
              <w:top w:val="single" w:sz="4" w:space="0" w:color="auto"/>
              <w:bottom w:val="single" w:sz="12" w:space="0" w:color="auto"/>
            </w:tcBorders>
            <w:shd w:val="clear" w:color="auto" w:fill="auto"/>
            <w:vAlign w:val="bottom"/>
          </w:tcPr>
          <w:p w14:paraId="3B5395C5" w14:textId="7510AB5B" w:rsidR="002B5CA3" w:rsidRPr="0014590C" w:rsidRDefault="00791F8C" w:rsidP="00AE2A18">
            <w:pPr>
              <w:pStyle w:val="SingleTxtG"/>
              <w:suppressAutoHyphens w:val="0"/>
              <w:spacing w:before="80" w:after="80" w:line="200" w:lineRule="exact"/>
              <w:ind w:left="0" w:right="113"/>
              <w:jc w:val="left"/>
              <w:rPr>
                <w:i/>
                <w:sz w:val="16"/>
                <w:lang w:bidi="th-TH"/>
              </w:rPr>
            </w:pPr>
            <w:r w:rsidRPr="0014590C">
              <w:rPr>
                <w:i/>
                <w:sz w:val="16"/>
                <w:lang w:bidi="th-TH"/>
              </w:rPr>
              <w:t>Weaknesses</w:t>
            </w:r>
          </w:p>
        </w:tc>
      </w:tr>
      <w:tr w:rsidR="00845DB5" w:rsidRPr="0014590C" w14:paraId="752D9DB7" w14:textId="77777777" w:rsidTr="00B54421">
        <w:tc>
          <w:tcPr>
            <w:tcW w:w="4927" w:type="dxa"/>
            <w:tcBorders>
              <w:top w:val="single" w:sz="12" w:space="0" w:color="auto"/>
              <w:bottom w:val="single" w:sz="4" w:space="0" w:color="auto"/>
            </w:tcBorders>
            <w:shd w:val="clear" w:color="auto" w:fill="auto"/>
          </w:tcPr>
          <w:p w14:paraId="386425A5" w14:textId="77777777" w:rsidR="002B5CA3" w:rsidRPr="0014590C" w:rsidRDefault="00AE2A18" w:rsidP="00AE2A18">
            <w:pPr>
              <w:pStyle w:val="SingleTxtG"/>
              <w:suppressAutoHyphens w:val="0"/>
              <w:spacing w:before="40" w:line="220" w:lineRule="exact"/>
              <w:ind w:left="0" w:right="113"/>
              <w:jc w:val="left"/>
              <w:rPr>
                <w:lang w:bidi="th-TH"/>
              </w:rPr>
            </w:pPr>
            <w:r w:rsidRPr="0014590C">
              <w:rPr>
                <w:lang w:bidi="th-TH"/>
              </w:rPr>
              <w:t>(a)</w:t>
            </w:r>
            <w:r w:rsidRPr="0014590C">
              <w:rPr>
                <w:lang w:bidi="th-TH"/>
              </w:rPr>
              <w:tab/>
            </w:r>
            <w:r w:rsidR="002B5CA3" w:rsidRPr="0014590C">
              <w:rPr>
                <w:lang w:bidi="th-TH"/>
              </w:rPr>
              <w:t>The diversity of</w:t>
            </w:r>
            <w:r w:rsidR="00B54421" w:rsidRPr="0014590C">
              <w:rPr>
                <w:lang w:bidi="th-TH"/>
              </w:rPr>
              <w:t xml:space="preserve"> </w:t>
            </w:r>
            <w:r w:rsidR="002B5CA3" w:rsidRPr="0014590C">
              <w:rPr>
                <w:lang w:bidi="th-TH"/>
              </w:rPr>
              <w:t xml:space="preserve">ECE member States is a great advantage not only because it offers a wealth of best practices in </w:t>
            </w:r>
            <w:r w:rsidR="00A04A59" w:rsidRPr="0014590C">
              <w:rPr>
                <w:lang w:bidi="th-TH"/>
              </w:rPr>
              <w:t xml:space="preserve">intermodal transport and logistics </w:t>
            </w:r>
            <w:r w:rsidR="002B5CA3" w:rsidRPr="0014590C">
              <w:rPr>
                <w:lang w:bidi="th-TH"/>
              </w:rPr>
              <w:t>but also because it leaves a lot of opportunities for implementation of these best practices;</w:t>
            </w:r>
          </w:p>
          <w:p w14:paraId="7504F0FF" w14:textId="77777777" w:rsidR="002B5CA3" w:rsidRPr="0014590C" w:rsidRDefault="00AE2A18" w:rsidP="00AE2A18">
            <w:pPr>
              <w:pStyle w:val="SingleTxtG"/>
              <w:suppressAutoHyphens w:val="0"/>
              <w:spacing w:before="40" w:line="220" w:lineRule="exact"/>
              <w:ind w:left="0" w:right="113"/>
              <w:jc w:val="left"/>
              <w:rPr>
                <w:lang w:bidi="th-TH"/>
              </w:rPr>
            </w:pPr>
            <w:r w:rsidRPr="0014590C">
              <w:rPr>
                <w:lang w:bidi="th-TH"/>
              </w:rPr>
              <w:t>(b)</w:t>
            </w:r>
            <w:r w:rsidRPr="0014590C">
              <w:rPr>
                <w:lang w:bidi="th-TH"/>
              </w:rPr>
              <w:tab/>
            </w:r>
            <w:proofErr w:type="spellStart"/>
            <w:r w:rsidR="00845DB5" w:rsidRPr="0014590C">
              <w:rPr>
                <w:lang w:bidi="th-TH"/>
              </w:rPr>
              <w:t>Intermodality</w:t>
            </w:r>
            <w:proofErr w:type="spellEnd"/>
            <w:r w:rsidR="00845DB5" w:rsidRPr="0014590C">
              <w:rPr>
                <w:lang w:bidi="th-TH"/>
              </w:rPr>
              <w:t xml:space="preserve"> is in the heart of sustainable development goals and sustainable transport. The WP has not benefit</w:t>
            </w:r>
            <w:r w:rsidR="00F2454C" w:rsidRPr="0014590C">
              <w:rPr>
                <w:lang w:bidi="th-TH"/>
              </w:rPr>
              <w:t xml:space="preserve"> yet from this unique advantage.</w:t>
            </w:r>
          </w:p>
        </w:tc>
        <w:tc>
          <w:tcPr>
            <w:tcW w:w="4928" w:type="dxa"/>
            <w:tcBorders>
              <w:top w:val="single" w:sz="12" w:space="0" w:color="auto"/>
              <w:bottom w:val="single" w:sz="4" w:space="0" w:color="auto"/>
            </w:tcBorders>
            <w:shd w:val="clear" w:color="auto" w:fill="auto"/>
          </w:tcPr>
          <w:p w14:paraId="599E6078" w14:textId="77777777" w:rsidR="002B5CA3" w:rsidRPr="0014590C" w:rsidRDefault="00AE2A18" w:rsidP="00AE2A18">
            <w:pPr>
              <w:pStyle w:val="SingleTxtG"/>
              <w:suppressAutoHyphens w:val="0"/>
              <w:spacing w:before="40" w:line="220" w:lineRule="exact"/>
              <w:ind w:left="0" w:right="113"/>
              <w:jc w:val="left"/>
              <w:rPr>
                <w:lang w:bidi="th-TH"/>
              </w:rPr>
            </w:pPr>
            <w:r w:rsidRPr="0014590C">
              <w:rPr>
                <w:lang w:bidi="th-TH"/>
              </w:rPr>
              <w:t>(a)</w:t>
            </w:r>
            <w:r w:rsidRPr="0014590C">
              <w:rPr>
                <w:lang w:bidi="th-TH"/>
              </w:rPr>
              <w:tab/>
            </w:r>
            <w:r w:rsidR="002B5CA3" w:rsidRPr="0014590C">
              <w:rPr>
                <w:lang w:bidi="th-TH"/>
              </w:rPr>
              <w:t>Several of the other Working Parties have global membership, or recognition which is not the case for WP.24;</w:t>
            </w:r>
          </w:p>
          <w:p w14:paraId="2BE7C2EC" w14:textId="77777777" w:rsidR="00845DB5" w:rsidRPr="0014590C" w:rsidRDefault="00AE2A18" w:rsidP="00AE2A18">
            <w:pPr>
              <w:pStyle w:val="SingleTxtG"/>
              <w:suppressAutoHyphens w:val="0"/>
              <w:spacing w:before="40" w:line="220" w:lineRule="exact"/>
              <w:ind w:left="0" w:right="113"/>
              <w:jc w:val="left"/>
              <w:rPr>
                <w:lang w:bidi="th-TH"/>
              </w:rPr>
            </w:pPr>
            <w:r w:rsidRPr="0014590C">
              <w:rPr>
                <w:lang w:bidi="th-TH"/>
              </w:rPr>
              <w:t>(b)</w:t>
            </w:r>
            <w:r w:rsidRPr="0014590C">
              <w:rPr>
                <w:lang w:bidi="th-TH"/>
              </w:rPr>
              <w:tab/>
            </w:r>
            <w:r w:rsidR="00845DB5" w:rsidRPr="0014590C">
              <w:rPr>
                <w:lang w:bidi="th-TH"/>
              </w:rPr>
              <w:t>There is no systematic collaboration with the other WPs of the Division to receive continuous feedback about critical issues and c</w:t>
            </w:r>
            <w:r w:rsidR="00F2454C" w:rsidRPr="0014590C">
              <w:rPr>
                <w:lang w:bidi="th-TH"/>
              </w:rPr>
              <w:t>hallenges in their line of work.</w:t>
            </w:r>
          </w:p>
        </w:tc>
      </w:tr>
      <w:tr w:rsidR="00845DB5" w:rsidRPr="0014590C" w14:paraId="28F965AF" w14:textId="77777777" w:rsidTr="00B54421">
        <w:tc>
          <w:tcPr>
            <w:tcW w:w="4927" w:type="dxa"/>
            <w:tcBorders>
              <w:top w:val="single" w:sz="4" w:space="0" w:color="auto"/>
              <w:bottom w:val="single" w:sz="12" w:space="0" w:color="auto"/>
            </w:tcBorders>
            <w:shd w:val="clear" w:color="auto" w:fill="auto"/>
          </w:tcPr>
          <w:p w14:paraId="72086858" w14:textId="72631678" w:rsidR="002B5CA3" w:rsidRPr="0014590C" w:rsidRDefault="00791F8C" w:rsidP="00AE2A18">
            <w:pPr>
              <w:pStyle w:val="SingleTxtG"/>
              <w:suppressAutoHyphens w:val="0"/>
              <w:spacing w:before="80" w:after="80" w:line="200" w:lineRule="exact"/>
              <w:ind w:left="0" w:right="113"/>
              <w:jc w:val="left"/>
              <w:rPr>
                <w:i/>
                <w:sz w:val="16"/>
                <w:lang w:bidi="th-TH"/>
              </w:rPr>
            </w:pPr>
            <w:r w:rsidRPr="0014590C">
              <w:rPr>
                <w:i/>
                <w:sz w:val="16"/>
                <w:lang w:bidi="th-TH"/>
              </w:rPr>
              <w:t>Opportunities</w:t>
            </w:r>
          </w:p>
        </w:tc>
        <w:tc>
          <w:tcPr>
            <w:tcW w:w="4928" w:type="dxa"/>
            <w:tcBorders>
              <w:top w:val="single" w:sz="4" w:space="0" w:color="auto"/>
              <w:bottom w:val="single" w:sz="12" w:space="0" w:color="auto"/>
            </w:tcBorders>
            <w:shd w:val="clear" w:color="auto" w:fill="auto"/>
          </w:tcPr>
          <w:p w14:paraId="4797E357" w14:textId="6DF58D3C" w:rsidR="002B5CA3" w:rsidRPr="0014590C" w:rsidRDefault="00791F8C" w:rsidP="00AE2A18">
            <w:pPr>
              <w:pStyle w:val="SingleTxtG"/>
              <w:suppressAutoHyphens w:val="0"/>
              <w:spacing w:before="80" w:after="80" w:line="200" w:lineRule="exact"/>
              <w:ind w:left="0" w:right="113"/>
              <w:jc w:val="left"/>
              <w:rPr>
                <w:i/>
                <w:sz w:val="16"/>
                <w:lang w:bidi="th-TH"/>
              </w:rPr>
            </w:pPr>
            <w:r w:rsidRPr="0014590C">
              <w:rPr>
                <w:i/>
                <w:sz w:val="16"/>
                <w:lang w:bidi="th-TH"/>
              </w:rPr>
              <w:t>Threats</w:t>
            </w:r>
          </w:p>
        </w:tc>
      </w:tr>
      <w:tr w:rsidR="00845DB5" w:rsidRPr="0014590C" w14:paraId="5DE0C61B" w14:textId="77777777" w:rsidTr="00B54421">
        <w:tc>
          <w:tcPr>
            <w:tcW w:w="4927" w:type="dxa"/>
            <w:tcBorders>
              <w:top w:val="single" w:sz="12" w:space="0" w:color="auto"/>
            </w:tcBorders>
            <w:shd w:val="clear" w:color="auto" w:fill="auto"/>
          </w:tcPr>
          <w:p w14:paraId="02BEC5B1" w14:textId="77777777" w:rsidR="002B5CA3" w:rsidRPr="0014590C" w:rsidRDefault="00AE2A18" w:rsidP="00AE2A18">
            <w:pPr>
              <w:pStyle w:val="SingleTxtG"/>
              <w:suppressAutoHyphens w:val="0"/>
              <w:spacing w:before="40" w:line="220" w:lineRule="exact"/>
              <w:ind w:left="0" w:right="113"/>
              <w:jc w:val="left"/>
              <w:rPr>
                <w:lang w:bidi="th-TH"/>
              </w:rPr>
            </w:pPr>
            <w:r w:rsidRPr="0014590C">
              <w:rPr>
                <w:lang w:bidi="th-TH"/>
              </w:rPr>
              <w:t>(a)</w:t>
            </w:r>
            <w:r w:rsidRPr="0014590C">
              <w:rPr>
                <w:lang w:bidi="th-TH"/>
              </w:rPr>
              <w:tab/>
            </w:r>
            <w:r w:rsidR="002B5CA3" w:rsidRPr="0014590C">
              <w:rPr>
                <w:lang w:bidi="th-TH"/>
              </w:rPr>
              <w:t>There are many topics that the market considers them as “hot” such as the liability of the different international agreements, the lack of one intermodal convention, the</w:t>
            </w:r>
            <w:r w:rsidR="00B54421" w:rsidRPr="0014590C">
              <w:rPr>
                <w:lang w:bidi="th-TH"/>
              </w:rPr>
              <w:t xml:space="preserve"> </w:t>
            </w:r>
            <w:r w:rsidR="002B5CA3" w:rsidRPr="0014590C">
              <w:rPr>
                <w:lang w:bidi="th-TH"/>
              </w:rPr>
              <w:t>electronic documents or the electronic data interchange, the city logistics, the passengers intermodal challenges that the Working Party</w:t>
            </w:r>
            <w:r w:rsidR="00F2454C" w:rsidRPr="0014590C">
              <w:rPr>
                <w:lang w:bidi="th-TH"/>
              </w:rPr>
              <w:t xml:space="preserve"> does not address at the moment</w:t>
            </w:r>
            <w:r w:rsidR="00F2454C" w:rsidRPr="0014590C">
              <w:t>;</w:t>
            </w:r>
          </w:p>
          <w:p w14:paraId="6BB2C5FB" w14:textId="77777777" w:rsidR="002B5CA3" w:rsidRPr="0014590C" w:rsidRDefault="00AE2A18" w:rsidP="00AE2A18">
            <w:pPr>
              <w:pStyle w:val="SingleTxtG"/>
              <w:suppressAutoHyphens w:val="0"/>
              <w:spacing w:before="40" w:line="220" w:lineRule="exact"/>
              <w:ind w:left="0" w:right="113"/>
              <w:jc w:val="left"/>
              <w:rPr>
                <w:lang w:bidi="th-TH"/>
              </w:rPr>
            </w:pPr>
            <w:r w:rsidRPr="0014590C">
              <w:rPr>
                <w:lang w:bidi="th-TH"/>
              </w:rPr>
              <w:t>(b)</w:t>
            </w:r>
            <w:r w:rsidRPr="0014590C">
              <w:rPr>
                <w:lang w:bidi="th-TH"/>
              </w:rPr>
              <w:tab/>
            </w:r>
            <w:r w:rsidR="002B5CA3" w:rsidRPr="0014590C">
              <w:rPr>
                <w:lang w:bidi="th-TH"/>
              </w:rPr>
              <w:t xml:space="preserve">The CTU Code could be a tool that could bring </w:t>
            </w:r>
            <w:r w:rsidR="00FF09BA" w:rsidRPr="0014590C">
              <w:rPr>
                <w:lang w:bidi="th-TH"/>
              </w:rPr>
              <w:t>more</w:t>
            </w:r>
            <w:r w:rsidR="002B5CA3" w:rsidRPr="0014590C">
              <w:rPr>
                <w:lang w:bidi="th-TH"/>
              </w:rPr>
              <w:t xml:space="preserve"> recognition to Working Party;</w:t>
            </w:r>
          </w:p>
          <w:p w14:paraId="44620E3E" w14:textId="77777777" w:rsidR="00845DB5" w:rsidRPr="0014590C" w:rsidRDefault="00AE2A18" w:rsidP="00AE2A18">
            <w:pPr>
              <w:pStyle w:val="SingleTxtG"/>
              <w:suppressAutoHyphens w:val="0"/>
              <w:spacing w:before="40" w:line="220" w:lineRule="exact"/>
              <w:ind w:left="0" w:right="113"/>
              <w:jc w:val="left"/>
              <w:rPr>
                <w:lang w:bidi="th-TH"/>
              </w:rPr>
            </w:pPr>
            <w:r w:rsidRPr="0014590C">
              <w:rPr>
                <w:lang w:bidi="th-TH"/>
              </w:rPr>
              <w:t>(c)</w:t>
            </w:r>
            <w:r w:rsidRPr="0014590C">
              <w:rPr>
                <w:lang w:bidi="th-TH"/>
              </w:rPr>
              <w:tab/>
            </w:r>
            <w:r w:rsidR="002B5CA3" w:rsidRPr="0014590C">
              <w:rPr>
                <w:lang w:bidi="th-TH"/>
              </w:rPr>
              <w:t>Opportunities exist to create better synergies with the results of work in other Working Parties of the Division, especially</w:t>
            </w:r>
            <w:r w:rsidR="00845DB5" w:rsidRPr="0014590C">
              <w:rPr>
                <w:lang w:bidi="th-TH"/>
              </w:rPr>
              <w:t xml:space="preserve"> </w:t>
            </w:r>
            <w:r w:rsidR="002B5CA3" w:rsidRPr="0014590C">
              <w:rPr>
                <w:lang w:bidi="th-TH"/>
              </w:rPr>
              <w:t>concerning policy oriented development in</w:t>
            </w:r>
            <w:r w:rsidR="00845DB5" w:rsidRPr="0014590C">
              <w:rPr>
                <w:lang w:bidi="th-TH"/>
              </w:rPr>
              <w:t xml:space="preserve"> </w:t>
            </w:r>
            <w:r w:rsidR="002B5CA3" w:rsidRPr="0014590C">
              <w:rPr>
                <w:lang w:bidi="th-TH"/>
              </w:rPr>
              <w:t>their areas of work. This should be</w:t>
            </w:r>
            <w:r w:rsidR="00845DB5" w:rsidRPr="0014590C">
              <w:rPr>
                <w:lang w:bidi="th-TH"/>
              </w:rPr>
              <w:t xml:space="preserve"> </w:t>
            </w:r>
            <w:r w:rsidR="002B5CA3" w:rsidRPr="0014590C">
              <w:rPr>
                <w:lang w:bidi="th-TH"/>
              </w:rPr>
              <w:t>capitalised on and better used by WP.</w:t>
            </w:r>
            <w:r w:rsidR="00845DB5" w:rsidRPr="0014590C">
              <w:rPr>
                <w:lang w:bidi="th-TH"/>
              </w:rPr>
              <w:t>24</w:t>
            </w:r>
            <w:r w:rsidR="00FF09BA" w:rsidRPr="0014590C">
              <w:rPr>
                <w:lang w:bidi="th-TH"/>
              </w:rPr>
              <w:t>;</w:t>
            </w:r>
          </w:p>
          <w:p w14:paraId="00C94C33" w14:textId="2EE18EDE" w:rsidR="00845DB5" w:rsidRPr="0014590C" w:rsidRDefault="00AE2A18" w:rsidP="00AE2A18">
            <w:pPr>
              <w:pStyle w:val="SingleTxtG"/>
              <w:suppressAutoHyphens w:val="0"/>
              <w:spacing w:before="40" w:line="220" w:lineRule="exact"/>
              <w:ind w:left="0" w:right="113"/>
              <w:jc w:val="left"/>
              <w:rPr>
                <w:lang w:bidi="th-TH"/>
              </w:rPr>
            </w:pPr>
            <w:r w:rsidRPr="0014590C">
              <w:rPr>
                <w:lang w:bidi="th-TH"/>
              </w:rPr>
              <w:t>(d)</w:t>
            </w:r>
            <w:r w:rsidRPr="0014590C">
              <w:rPr>
                <w:lang w:bidi="th-TH"/>
              </w:rPr>
              <w:tab/>
            </w:r>
            <w:r w:rsidR="00845DB5" w:rsidRPr="0014590C">
              <w:rPr>
                <w:lang w:bidi="th-TH"/>
              </w:rPr>
              <w:t>The heritage of this WP should be capitalised on and transformed into new projects, publications, research papers,</w:t>
            </w:r>
            <w:r w:rsidR="0014590C">
              <w:rPr>
                <w:lang w:bidi="th-TH"/>
              </w:rPr>
              <w:t xml:space="preserve"> etc.</w:t>
            </w:r>
            <w:r w:rsidR="00F2454C" w:rsidRPr="0014590C">
              <w:t>;</w:t>
            </w:r>
          </w:p>
          <w:p w14:paraId="457CF4AD" w14:textId="77777777" w:rsidR="002B5CA3" w:rsidRPr="0014590C" w:rsidRDefault="00AE2A18" w:rsidP="00AE2A18">
            <w:pPr>
              <w:pStyle w:val="SingleTxtG"/>
              <w:suppressAutoHyphens w:val="0"/>
              <w:spacing w:before="40" w:line="220" w:lineRule="exact"/>
              <w:ind w:left="0" w:right="113"/>
              <w:jc w:val="left"/>
              <w:rPr>
                <w:lang w:bidi="th-TH"/>
              </w:rPr>
            </w:pPr>
            <w:r w:rsidRPr="0014590C">
              <w:rPr>
                <w:lang w:bidi="th-TH"/>
              </w:rPr>
              <w:t>(e)</w:t>
            </w:r>
            <w:r w:rsidRPr="0014590C">
              <w:rPr>
                <w:lang w:bidi="th-TH"/>
              </w:rPr>
              <w:tab/>
            </w:r>
            <w:r w:rsidR="00845DB5" w:rsidRPr="0014590C">
              <w:rPr>
                <w:lang w:bidi="th-TH"/>
              </w:rPr>
              <w:t>Original data and economic analysis on intermodal transport should be created. Original trends should be published. Working teams should therefore be created, with experts for every subject, to create a source of original thinking and data.</w:t>
            </w:r>
          </w:p>
        </w:tc>
        <w:tc>
          <w:tcPr>
            <w:tcW w:w="4928" w:type="dxa"/>
            <w:tcBorders>
              <w:top w:val="single" w:sz="12" w:space="0" w:color="auto"/>
            </w:tcBorders>
            <w:shd w:val="clear" w:color="auto" w:fill="auto"/>
          </w:tcPr>
          <w:p w14:paraId="65C37ADF" w14:textId="77777777" w:rsidR="002B5CA3" w:rsidRPr="0014590C" w:rsidRDefault="00AE2A18" w:rsidP="00AE2A18">
            <w:pPr>
              <w:pStyle w:val="SingleTxtG"/>
              <w:suppressAutoHyphens w:val="0"/>
              <w:spacing w:before="40" w:line="220" w:lineRule="exact"/>
              <w:ind w:left="0" w:right="113"/>
              <w:jc w:val="left"/>
              <w:rPr>
                <w:lang w:bidi="th-TH"/>
              </w:rPr>
            </w:pPr>
            <w:r w:rsidRPr="0014590C">
              <w:rPr>
                <w:lang w:bidi="th-TH"/>
              </w:rPr>
              <w:t>(a)</w:t>
            </w:r>
            <w:r w:rsidRPr="0014590C">
              <w:rPr>
                <w:lang w:bidi="th-TH"/>
              </w:rPr>
              <w:tab/>
            </w:r>
            <w:r w:rsidR="00845DB5" w:rsidRPr="0014590C">
              <w:rPr>
                <w:lang w:bidi="th-TH"/>
              </w:rPr>
              <w:t>Threat that from the point of view of the Governments, WP.24 agenda is not relevant enough that they can support;</w:t>
            </w:r>
          </w:p>
          <w:p w14:paraId="174DA324" w14:textId="77777777" w:rsidR="00845DB5" w:rsidRPr="0014590C" w:rsidRDefault="00AE2A18" w:rsidP="00AE2A18">
            <w:pPr>
              <w:pStyle w:val="SingleTxtG"/>
              <w:suppressAutoHyphens w:val="0"/>
              <w:spacing w:before="40" w:line="220" w:lineRule="exact"/>
              <w:ind w:left="0" w:right="113"/>
              <w:jc w:val="left"/>
              <w:rPr>
                <w:lang w:bidi="th-TH"/>
              </w:rPr>
            </w:pPr>
            <w:r w:rsidRPr="0014590C">
              <w:rPr>
                <w:lang w:bidi="th-TH"/>
              </w:rPr>
              <w:t>(b)</w:t>
            </w:r>
            <w:r w:rsidRPr="0014590C">
              <w:rPr>
                <w:lang w:bidi="th-TH"/>
              </w:rPr>
              <w:tab/>
            </w:r>
            <w:r w:rsidR="00845DB5" w:rsidRPr="0014590C">
              <w:rPr>
                <w:lang w:bidi="th-TH"/>
              </w:rPr>
              <w:t xml:space="preserve">There is no working connection </w:t>
            </w:r>
            <w:r w:rsidR="00A04A59" w:rsidRPr="0014590C">
              <w:rPr>
                <w:lang w:bidi="th-TH"/>
              </w:rPr>
              <w:t xml:space="preserve">between international governmental and non- governmental </w:t>
            </w:r>
            <w:r w:rsidR="00DF312A" w:rsidRPr="0014590C">
              <w:rPr>
                <w:lang w:bidi="th-TH"/>
              </w:rPr>
              <w:t xml:space="preserve">organizations and the WP.24. </w:t>
            </w:r>
            <w:r w:rsidR="00845DB5" w:rsidRPr="0014590C">
              <w:rPr>
                <w:lang w:bidi="th-TH"/>
              </w:rPr>
              <w:t>This connection is needed to provide</w:t>
            </w:r>
            <w:r w:rsidR="00DF312A" w:rsidRPr="0014590C">
              <w:rPr>
                <w:lang w:bidi="th-TH"/>
              </w:rPr>
              <w:t xml:space="preserve"> </w:t>
            </w:r>
            <w:r w:rsidR="00845DB5" w:rsidRPr="0014590C">
              <w:rPr>
                <w:lang w:bidi="th-TH"/>
              </w:rPr>
              <w:t>intellectual input and fundamental research</w:t>
            </w:r>
            <w:r w:rsidR="00DF312A" w:rsidRPr="0014590C">
              <w:rPr>
                <w:lang w:bidi="th-TH"/>
              </w:rPr>
              <w:t xml:space="preserve"> </w:t>
            </w:r>
            <w:r w:rsidR="00845DB5" w:rsidRPr="0014590C">
              <w:rPr>
                <w:lang w:bidi="th-TH"/>
              </w:rPr>
              <w:t>for further analysis and policy debate</w:t>
            </w:r>
            <w:r w:rsidR="00DF312A" w:rsidRPr="0014590C">
              <w:rPr>
                <w:lang w:bidi="th-TH"/>
              </w:rPr>
              <w:t xml:space="preserve"> as well as to enhance the agenda of the WP</w:t>
            </w:r>
            <w:r w:rsidR="00845DB5" w:rsidRPr="0014590C">
              <w:rPr>
                <w:lang w:bidi="th-TH"/>
              </w:rPr>
              <w:t>;</w:t>
            </w:r>
          </w:p>
          <w:p w14:paraId="187865A9" w14:textId="1E3297B8" w:rsidR="00DF312A" w:rsidRPr="0014590C" w:rsidRDefault="00AE2A18" w:rsidP="00AE2A18">
            <w:pPr>
              <w:pStyle w:val="SingleTxtG"/>
              <w:suppressAutoHyphens w:val="0"/>
              <w:spacing w:before="40" w:line="220" w:lineRule="exact"/>
              <w:ind w:left="0" w:right="113"/>
              <w:jc w:val="left"/>
              <w:rPr>
                <w:lang w:bidi="th-TH"/>
              </w:rPr>
            </w:pPr>
            <w:r w:rsidRPr="0014590C">
              <w:rPr>
                <w:lang w:bidi="th-TH"/>
              </w:rPr>
              <w:t>(c)</w:t>
            </w:r>
            <w:r w:rsidRPr="0014590C">
              <w:rPr>
                <w:lang w:bidi="th-TH"/>
              </w:rPr>
              <w:tab/>
            </w:r>
            <w:r w:rsidR="00DF312A" w:rsidRPr="0014590C">
              <w:rPr>
                <w:lang w:bidi="th-TH"/>
              </w:rPr>
              <w:t xml:space="preserve">Lack of sufficient funds could prevent WP.24 to organize and deliver more research studies / new tools / publications that would bring more value to </w:t>
            </w:r>
            <w:r w:rsidR="00A04A59">
              <w:rPr>
                <w:lang w:bidi="th-TH"/>
              </w:rPr>
              <w:t>g</w:t>
            </w:r>
            <w:r w:rsidR="00DF312A" w:rsidRPr="0014590C">
              <w:rPr>
                <w:lang w:bidi="th-TH"/>
              </w:rPr>
              <w:t>overnments and would eventually increase</w:t>
            </w:r>
            <w:r w:rsidR="00F2454C" w:rsidRPr="0014590C">
              <w:rPr>
                <w:lang w:bidi="th-TH"/>
              </w:rPr>
              <w:t xml:space="preserve"> participation at its sessions.</w:t>
            </w:r>
          </w:p>
        </w:tc>
      </w:tr>
    </w:tbl>
    <w:p w14:paraId="131CDF1D" w14:textId="4334E60E" w:rsidR="00BC0CF9" w:rsidRPr="00CC7288" w:rsidRDefault="00B466BE" w:rsidP="00BC0CF9">
      <w:pPr>
        <w:pStyle w:val="HChG"/>
        <w:rPr>
          <w:lang w:bidi="th-TH"/>
        </w:rPr>
      </w:pPr>
      <w:r w:rsidRPr="00CC7288">
        <w:rPr>
          <w:lang w:bidi="th-TH"/>
        </w:rPr>
        <w:lastRenderedPageBreak/>
        <w:tab/>
        <w:t>III.</w:t>
      </w:r>
      <w:r w:rsidR="00BC0CF9" w:rsidRPr="00CC7288">
        <w:rPr>
          <w:lang w:bidi="th-TH"/>
        </w:rPr>
        <w:tab/>
        <w:t xml:space="preserve">Challenges </w:t>
      </w:r>
      <w:r w:rsidR="00791F8C">
        <w:rPr>
          <w:lang w:bidi="th-TH"/>
        </w:rPr>
        <w:t xml:space="preserve">of </w:t>
      </w:r>
      <w:r w:rsidR="00BC0CF9" w:rsidRPr="00CC7288">
        <w:rPr>
          <w:lang w:bidi="th-TH"/>
        </w:rPr>
        <w:t xml:space="preserve">Intermodal Transport in different </w:t>
      </w:r>
      <w:r w:rsidR="00A04A59">
        <w:rPr>
          <w:lang w:bidi="th-TH"/>
        </w:rPr>
        <w:t xml:space="preserve">areas </w:t>
      </w:r>
      <w:r w:rsidR="00C8022C" w:rsidRPr="00CC7288">
        <w:rPr>
          <w:lang w:bidi="th-TH"/>
        </w:rPr>
        <w:t xml:space="preserve">of </w:t>
      </w:r>
      <w:r w:rsidR="00A04A59">
        <w:rPr>
          <w:lang w:bidi="th-TH"/>
        </w:rPr>
        <w:t xml:space="preserve">the </w:t>
      </w:r>
      <w:r w:rsidR="00C8022C" w:rsidRPr="00CC7288">
        <w:rPr>
          <w:lang w:bidi="th-TH"/>
        </w:rPr>
        <w:t>ECE</w:t>
      </w:r>
      <w:r w:rsidR="00A04A59">
        <w:rPr>
          <w:lang w:bidi="th-TH"/>
        </w:rPr>
        <w:t xml:space="preserve"> </w:t>
      </w:r>
      <w:proofErr w:type="gramStart"/>
      <w:r w:rsidR="00A04A59">
        <w:rPr>
          <w:lang w:bidi="th-TH"/>
        </w:rPr>
        <w:t xml:space="preserve">region </w:t>
      </w:r>
      <w:proofErr w:type="gramEnd"/>
      <w:r w:rsidRPr="00CC7288">
        <w:rPr>
          <w:rStyle w:val="FootnoteReference"/>
          <w:lang w:bidi="th-TH"/>
        </w:rPr>
        <w:footnoteReference w:id="2"/>
      </w:r>
      <w:r w:rsidR="005C48E7" w:rsidRPr="0014590C">
        <w:rPr>
          <w:sz w:val="20"/>
          <w:vertAlign w:val="superscript"/>
        </w:rPr>
        <w:t xml:space="preserve">, </w:t>
      </w:r>
      <w:r w:rsidRPr="00CC7288">
        <w:rPr>
          <w:rStyle w:val="FootnoteReference"/>
          <w:lang w:bidi="th-TH"/>
        </w:rPr>
        <w:footnoteReference w:id="3"/>
      </w:r>
      <w:r w:rsidR="005C48E7" w:rsidRPr="0014590C">
        <w:rPr>
          <w:sz w:val="20"/>
          <w:vertAlign w:val="superscript"/>
        </w:rPr>
        <w:t xml:space="preserve">, </w:t>
      </w:r>
      <w:r w:rsidRPr="00CC7288">
        <w:rPr>
          <w:rStyle w:val="FootnoteReference"/>
          <w:lang w:bidi="th-TH"/>
        </w:rPr>
        <w:footnoteReference w:id="4"/>
      </w:r>
    </w:p>
    <w:p w14:paraId="55A82530" w14:textId="7BEEF48D" w:rsidR="00B64AD3" w:rsidRPr="00CC7288" w:rsidRDefault="00DF312A" w:rsidP="00B466BE">
      <w:pPr>
        <w:pStyle w:val="SingleTxtG"/>
        <w:rPr>
          <w:lang w:bidi="th-TH"/>
        </w:rPr>
      </w:pPr>
      <w:r w:rsidRPr="00CC7288">
        <w:rPr>
          <w:lang w:bidi="th-TH"/>
        </w:rPr>
        <w:t>18</w:t>
      </w:r>
      <w:r w:rsidR="00B64AD3" w:rsidRPr="00CC7288">
        <w:rPr>
          <w:lang w:bidi="th-TH"/>
        </w:rPr>
        <w:t>.</w:t>
      </w:r>
      <w:r w:rsidR="00B64AD3" w:rsidRPr="00CC7288">
        <w:rPr>
          <w:lang w:bidi="th-TH"/>
        </w:rPr>
        <w:tab/>
      </w:r>
      <w:r w:rsidR="00BC0CF9" w:rsidRPr="00CC7288">
        <w:rPr>
          <w:lang w:bidi="th-TH"/>
        </w:rPr>
        <w:t xml:space="preserve">Intermodal </w:t>
      </w:r>
      <w:r w:rsidR="00A04A59">
        <w:rPr>
          <w:lang w:bidi="th-TH"/>
        </w:rPr>
        <w:t>t</w:t>
      </w:r>
      <w:r w:rsidR="00A04A59" w:rsidRPr="00CC7288">
        <w:rPr>
          <w:lang w:bidi="th-TH"/>
        </w:rPr>
        <w:t>ransport</w:t>
      </w:r>
      <w:r w:rsidR="00FF09BA" w:rsidRPr="00CC7288">
        <w:rPr>
          <w:lang w:bidi="th-TH"/>
        </w:rPr>
        <w:t>,</w:t>
      </w:r>
      <w:r w:rsidR="00BC0CF9" w:rsidRPr="00CC7288">
        <w:rPr>
          <w:lang w:bidi="th-TH"/>
        </w:rPr>
        <w:t xml:space="preserve"> depending on the region and its infrastructure, regulations and structure of the market</w:t>
      </w:r>
      <w:r w:rsidR="00FF09BA" w:rsidRPr="00CC7288">
        <w:rPr>
          <w:lang w:bidi="th-TH"/>
        </w:rPr>
        <w:t>,</w:t>
      </w:r>
      <w:r w:rsidR="00BC0CF9" w:rsidRPr="00CC7288">
        <w:rPr>
          <w:lang w:bidi="th-TH"/>
        </w:rPr>
        <w:t xml:space="preserve"> faces different challenges and opportunities. Following we provide a list of those challenges and opportunities that might be considered either as strategic objectives of Working Party’s strategy or could be addressed on a regular basis by the Working Party agenda, workshops</w:t>
      </w:r>
      <w:r w:rsidR="0014590C">
        <w:rPr>
          <w:lang w:bidi="th-TH"/>
        </w:rPr>
        <w:t>, etc.</w:t>
      </w:r>
    </w:p>
    <w:p w14:paraId="2EA7917C" w14:textId="49F751B1" w:rsidR="00BC0CF9" w:rsidRPr="00CC7288" w:rsidRDefault="00DF312A" w:rsidP="00B466BE">
      <w:pPr>
        <w:pStyle w:val="SingleTxtG"/>
        <w:rPr>
          <w:lang w:bidi="th-TH"/>
        </w:rPr>
      </w:pPr>
      <w:r w:rsidRPr="00CC7288">
        <w:rPr>
          <w:lang w:bidi="th-TH"/>
        </w:rPr>
        <w:t>19</w:t>
      </w:r>
      <w:r w:rsidR="00B466BE" w:rsidRPr="00CC7288">
        <w:rPr>
          <w:lang w:bidi="th-TH"/>
        </w:rPr>
        <w:t>.</w:t>
      </w:r>
      <w:r w:rsidR="00B466BE" w:rsidRPr="00CC7288">
        <w:rPr>
          <w:lang w:bidi="th-TH"/>
        </w:rPr>
        <w:tab/>
      </w:r>
      <w:r w:rsidR="00FF09BA" w:rsidRPr="00CC7288">
        <w:rPr>
          <w:lang w:bidi="th-TH"/>
        </w:rPr>
        <w:t>The m</w:t>
      </w:r>
      <w:r w:rsidR="00BC0CF9" w:rsidRPr="00CC7288">
        <w:rPr>
          <w:lang w:bidi="th-TH"/>
        </w:rPr>
        <w:t xml:space="preserve">ajor </w:t>
      </w:r>
      <w:r w:rsidR="00EF4735">
        <w:rPr>
          <w:lang w:bidi="th-TH"/>
        </w:rPr>
        <w:t>c</w:t>
      </w:r>
      <w:r w:rsidR="00BC0CF9" w:rsidRPr="00CC7288">
        <w:rPr>
          <w:lang w:bidi="th-TH"/>
        </w:rPr>
        <w:t xml:space="preserve">hallenges </w:t>
      </w:r>
      <w:r w:rsidR="00EF4735">
        <w:rPr>
          <w:lang w:bidi="th-TH"/>
        </w:rPr>
        <w:t xml:space="preserve">of </w:t>
      </w:r>
      <w:r w:rsidR="00A04A59">
        <w:rPr>
          <w:lang w:bidi="th-TH"/>
        </w:rPr>
        <w:t>intermodal transport</w:t>
      </w:r>
      <w:r w:rsidR="00EC49A2" w:rsidRPr="00CC7288">
        <w:rPr>
          <w:lang w:bidi="th-TH"/>
        </w:rPr>
        <w:t xml:space="preserve"> </w:t>
      </w:r>
      <w:r w:rsidR="00F36A91">
        <w:rPr>
          <w:lang w:bidi="th-TH"/>
        </w:rPr>
        <w:t xml:space="preserve">of relevance to member States </w:t>
      </w:r>
      <w:r w:rsidR="00EC49A2" w:rsidRPr="00CC7288">
        <w:rPr>
          <w:lang w:bidi="th-TH"/>
        </w:rPr>
        <w:t xml:space="preserve">in ECE </w:t>
      </w:r>
      <w:r w:rsidR="00BC0CF9" w:rsidRPr="00CC7288">
        <w:rPr>
          <w:lang w:bidi="th-TH"/>
        </w:rPr>
        <w:t>region</w:t>
      </w:r>
      <w:r w:rsidR="00EC49A2" w:rsidRPr="00CC7288">
        <w:rPr>
          <w:lang w:bidi="th-TH"/>
        </w:rPr>
        <w:t xml:space="preserve"> are</w:t>
      </w:r>
      <w:r w:rsidR="00BC0CF9" w:rsidRPr="00CC7288">
        <w:rPr>
          <w:lang w:bidi="th-TH"/>
        </w:rPr>
        <w:t>:</w:t>
      </w:r>
    </w:p>
    <w:p w14:paraId="6D84FCDD" w14:textId="76495B54" w:rsidR="00BC0CF9" w:rsidRPr="0014590C" w:rsidRDefault="00BE09E2" w:rsidP="00BE09E2">
      <w:pPr>
        <w:pStyle w:val="SingleTxtG"/>
      </w:pPr>
      <w:r w:rsidRPr="0014590C">
        <w:rPr>
          <w:lang w:bidi="th-TH"/>
        </w:rPr>
        <w:tab/>
        <w:t>(a)</w:t>
      </w:r>
      <w:r w:rsidRPr="0014590C">
        <w:rPr>
          <w:lang w:bidi="th-TH"/>
        </w:rPr>
        <w:tab/>
      </w:r>
      <w:r w:rsidR="00BC0CF9" w:rsidRPr="0014590C">
        <w:t xml:space="preserve">successful revision of </w:t>
      </w:r>
      <w:r w:rsidR="00EC49A2" w:rsidRPr="0014590C">
        <w:t>E</w:t>
      </w:r>
      <w:r w:rsidR="00EF4735">
        <w:t xml:space="preserve">uropean </w:t>
      </w:r>
      <w:r w:rsidR="00EC49A2" w:rsidRPr="0014590C">
        <w:t>U</w:t>
      </w:r>
      <w:r w:rsidR="00EF4735">
        <w:t>nion</w:t>
      </w:r>
      <w:r w:rsidR="00EC49A2" w:rsidRPr="0014590C">
        <w:t xml:space="preserve"> </w:t>
      </w:r>
      <w:r w:rsidR="00BC0CF9" w:rsidRPr="0014590C">
        <w:t>Directive 92/106</w:t>
      </w:r>
      <w:r w:rsidR="00A412BB" w:rsidRPr="0014590C">
        <w:t>;</w:t>
      </w:r>
    </w:p>
    <w:p w14:paraId="21E59AAE" w14:textId="6AE640E0" w:rsidR="00BC0CF9" w:rsidRPr="0014590C" w:rsidRDefault="00BE09E2" w:rsidP="00BE09E2">
      <w:pPr>
        <w:pStyle w:val="SingleTxtG"/>
      </w:pPr>
      <w:r w:rsidRPr="0014590C">
        <w:rPr>
          <w:lang w:bidi="th-TH"/>
        </w:rPr>
        <w:tab/>
      </w:r>
      <w:r w:rsidR="00F93359" w:rsidRPr="0014590C">
        <w:rPr>
          <w:lang w:bidi="th-TH"/>
        </w:rPr>
        <w:t>(b</w:t>
      </w:r>
      <w:r w:rsidRPr="0014590C">
        <w:rPr>
          <w:lang w:bidi="th-TH"/>
        </w:rPr>
        <w:t>)</w:t>
      </w:r>
      <w:r w:rsidRPr="0014590C">
        <w:rPr>
          <w:lang w:bidi="th-TH"/>
        </w:rPr>
        <w:tab/>
      </w:r>
      <w:r w:rsidR="00BC0CF9" w:rsidRPr="0014590C">
        <w:t xml:space="preserve">successful passage of the Europe on the </w:t>
      </w:r>
      <w:r w:rsidR="00A04A59">
        <w:t>m</w:t>
      </w:r>
      <w:r w:rsidR="00BC0CF9" w:rsidRPr="0014590C">
        <w:t xml:space="preserve">ove package </w:t>
      </w:r>
      <w:r w:rsidR="00C82C27" w:rsidRPr="0014590C">
        <w:t>-</w:t>
      </w:r>
      <w:r w:rsidR="00BC0CF9" w:rsidRPr="0014590C">
        <w:t xml:space="preserve"> revising the rules of road haulage with a view to effectively closing the regulatory disparities that favour road transport [closing social and work</w:t>
      </w:r>
      <w:r w:rsidR="00A04A59">
        <w:t xml:space="preserve"> </w:t>
      </w:r>
      <w:r w:rsidR="00BC0CF9" w:rsidRPr="0014590C">
        <w:t>time, as well as enforcement loopholes exploited by hauliers for cost advantage + the effective implementation of the user-pays principle when it comes to road tolling]</w:t>
      </w:r>
      <w:r w:rsidR="00A412BB" w:rsidRPr="0014590C">
        <w:t>;</w:t>
      </w:r>
    </w:p>
    <w:p w14:paraId="006BCA60" w14:textId="77777777" w:rsidR="00BC0CF9" w:rsidRPr="0014590C" w:rsidRDefault="00BE09E2" w:rsidP="00BE09E2">
      <w:pPr>
        <w:pStyle w:val="SingleTxtG"/>
      </w:pPr>
      <w:r w:rsidRPr="0014590C">
        <w:rPr>
          <w:lang w:bidi="th-TH"/>
        </w:rPr>
        <w:tab/>
      </w:r>
      <w:r w:rsidR="00F93359" w:rsidRPr="0014590C">
        <w:rPr>
          <w:lang w:bidi="th-TH"/>
        </w:rPr>
        <w:t>(c</w:t>
      </w:r>
      <w:r w:rsidRPr="0014590C">
        <w:rPr>
          <w:lang w:bidi="th-TH"/>
        </w:rPr>
        <w:t>)</w:t>
      </w:r>
      <w:r w:rsidRPr="0014590C">
        <w:rPr>
          <w:lang w:bidi="th-TH"/>
        </w:rPr>
        <w:tab/>
      </w:r>
      <w:r w:rsidR="00BC0CF9" w:rsidRPr="0014590C">
        <w:t>successful amendment of the energy taxation directive 2003/96 to implement the polluter pays principle</w:t>
      </w:r>
      <w:r w:rsidR="00A412BB" w:rsidRPr="0014590C">
        <w:t>;</w:t>
      </w:r>
    </w:p>
    <w:p w14:paraId="423F6B17" w14:textId="0E8264A0" w:rsidR="00BC0CF9" w:rsidRPr="0014590C" w:rsidRDefault="00BE09E2" w:rsidP="00BE09E2">
      <w:pPr>
        <w:pStyle w:val="SingleTxtG"/>
      </w:pPr>
      <w:r w:rsidRPr="0014590C">
        <w:rPr>
          <w:lang w:bidi="th-TH"/>
        </w:rPr>
        <w:tab/>
      </w:r>
      <w:r w:rsidR="00F93359" w:rsidRPr="0014590C">
        <w:rPr>
          <w:lang w:bidi="th-TH"/>
        </w:rPr>
        <w:t>(d</w:t>
      </w:r>
      <w:r w:rsidRPr="0014590C">
        <w:rPr>
          <w:lang w:bidi="th-TH"/>
        </w:rPr>
        <w:t>)</w:t>
      </w:r>
      <w:r w:rsidRPr="0014590C">
        <w:rPr>
          <w:lang w:bidi="th-TH"/>
        </w:rPr>
        <w:tab/>
      </w:r>
      <w:r w:rsidR="00BC0CF9" w:rsidRPr="0014590C">
        <w:t>successful digitalisation initiatives in transport such as the single digital EU freight transport document, development of the web portal for rail-related service facilities, effective implementation of the modernised Customs Co</w:t>
      </w:r>
      <w:r w:rsidR="00A412BB" w:rsidRPr="0014590C">
        <w:t>de,</w:t>
      </w:r>
      <w:r w:rsidR="0014590C">
        <w:t xml:space="preserve"> etc.</w:t>
      </w:r>
      <w:r w:rsidR="00A412BB" w:rsidRPr="0014590C">
        <w:t>;</w:t>
      </w:r>
    </w:p>
    <w:p w14:paraId="15FC1D43" w14:textId="2DC95D93" w:rsidR="00BC0CF9" w:rsidRPr="0014590C" w:rsidRDefault="00BE09E2" w:rsidP="00BE09E2">
      <w:pPr>
        <w:pStyle w:val="SingleTxtG"/>
      </w:pPr>
      <w:r w:rsidRPr="0014590C">
        <w:rPr>
          <w:lang w:bidi="th-TH"/>
        </w:rPr>
        <w:tab/>
      </w:r>
      <w:r w:rsidR="00F93359" w:rsidRPr="0014590C">
        <w:rPr>
          <w:lang w:bidi="th-TH"/>
        </w:rPr>
        <w:t>(e</w:t>
      </w:r>
      <w:r w:rsidRPr="0014590C">
        <w:rPr>
          <w:lang w:bidi="th-TH"/>
        </w:rPr>
        <w:t>)</w:t>
      </w:r>
      <w:r w:rsidRPr="0014590C">
        <w:rPr>
          <w:lang w:bidi="th-TH"/>
        </w:rPr>
        <w:tab/>
      </w:r>
      <w:proofErr w:type="gramStart"/>
      <w:r w:rsidR="00FF09BA" w:rsidRPr="0014590C">
        <w:t>p</w:t>
      </w:r>
      <w:r w:rsidR="00775FCB" w:rsidRPr="0014590C">
        <w:t>reparation</w:t>
      </w:r>
      <w:proofErr w:type="gramEnd"/>
      <w:r w:rsidR="00775FCB" w:rsidRPr="0014590C">
        <w:t xml:space="preserve"> of </w:t>
      </w:r>
      <w:r w:rsidR="00A04A59">
        <w:t>r</w:t>
      </w:r>
      <w:r w:rsidR="00775FCB" w:rsidRPr="0014590C">
        <w:t xml:space="preserve">isk management and contingency plans including </w:t>
      </w:r>
      <w:r w:rsidR="00A04A59">
        <w:t>c</w:t>
      </w:r>
      <w:r w:rsidR="00775FCB" w:rsidRPr="0014590C">
        <w:t xml:space="preserve">risis management. For instance, the </w:t>
      </w:r>
      <w:proofErr w:type="spellStart"/>
      <w:r w:rsidR="00775FCB" w:rsidRPr="0014590C">
        <w:t>Rastatt</w:t>
      </w:r>
      <w:proofErr w:type="spellEnd"/>
      <w:r w:rsidR="00775FCB" w:rsidRPr="0014590C">
        <w:t xml:space="preserve"> disruption shows that there is the need to have contingency plans based on robust risk management. For each main line, there must be pre-defined alternatives, to be elaborated and constantly updated together with railway undertakings and multimodal partners;</w:t>
      </w:r>
    </w:p>
    <w:p w14:paraId="03FB525C" w14:textId="2117A287" w:rsidR="00775FCB" w:rsidRPr="0014590C" w:rsidRDefault="00BE09E2" w:rsidP="00BE09E2">
      <w:pPr>
        <w:pStyle w:val="SingleTxtG"/>
      </w:pPr>
      <w:r w:rsidRPr="0014590C">
        <w:rPr>
          <w:lang w:bidi="th-TH"/>
        </w:rPr>
        <w:tab/>
      </w:r>
      <w:r w:rsidR="00F93359" w:rsidRPr="0014590C">
        <w:rPr>
          <w:lang w:bidi="th-TH"/>
        </w:rPr>
        <w:t>(f</w:t>
      </w:r>
      <w:r w:rsidRPr="0014590C">
        <w:rPr>
          <w:lang w:bidi="th-TH"/>
        </w:rPr>
        <w:t>)</w:t>
      </w:r>
      <w:r w:rsidRPr="0014590C">
        <w:rPr>
          <w:lang w:bidi="th-TH"/>
        </w:rPr>
        <w:tab/>
      </w:r>
      <w:proofErr w:type="gramStart"/>
      <w:r w:rsidR="00FF09BA" w:rsidRPr="0014590C">
        <w:t>o</w:t>
      </w:r>
      <w:r w:rsidR="00775FCB" w:rsidRPr="0014590C">
        <w:t>vercoming</w:t>
      </w:r>
      <w:proofErr w:type="gramEnd"/>
      <w:r w:rsidR="00775FCB" w:rsidRPr="0014590C">
        <w:t xml:space="preserve"> national obstacles</w:t>
      </w:r>
      <w:r w:rsidR="00955B48">
        <w:t>:</w:t>
      </w:r>
      <w:r w:rsidR="00775FCB" w:rsidRPr="0014590C">
        <w:t xml:space="preserve"> Incompatibilities between and particularities of national rail systems result in a situation where available capacity on the rail networks of neighbouring countries cannot be used. The interoperability of the rail network must be strengthened;</w:t>
      </w:r>
    </w:p>
    <w:p w14:paraId="5B933DAE" w14:textId="22C2CB85" w:rsidR="00775FCB" w:rsidRPr="0014590C" w:rsidRDefault="00BE09E2" w:rsidP="00BE09E2">
      <w:pPr>
        <w:pStyle w:val="SingleTxtG"/>
      </w:pPr>
      <w:r w:rsidRPr="0014590C">
        <w:rPr>
          <w:lang w:bidi="th-TH"/>
        </w:rPr>
        <w:tab/>
      </w:r>
      <w:r w:rsidR="00F93359" w:rsidRPr="0014590C">
        <w:rPr>
          <w:lang w:bidi="th-TH"/>
        </w:rPr>
        <w:t>(g</w:t>
      </w:r>
      <w:r w:rsidRPr="0014590C">
        <w:rPr>
          <w:lang w:bidi="th-TH"/>
        </w:rPr>
        <w:t>)</w:t>
      </w:r>
      <w:r w:rsidRPr="0014590C">
        <w:rPr>
          <w:lang w:bidi="th-TH"/>
        </w:rPr>
        <w:tab/>
      </w:r>
      <w:r w:rsidR="00FF09BA" w:rsidRPr="0014590C">
        <w:t>i</w:t>
      </w:r>
      <w:r w:rsidR="00EC49A2" w:rsidRPr="0014590C">
        <w:t>nternational coordination of infrastructure works</w:t>
      </w:r>
      <w:r w:rsidR="00955B48">
        <w:t>:</w:t>
      </w:r>
      <w:r w:rsidR="00EC49A2" w:rsidRPr="0014590C">
        <w:t xml:space="preserve"> Line closures or restrictions, whether planned or unplanned, must be managed in such a way that they ensure viable solutions for existing traffic and limit the negative impact on the quality of service offered to the end customer;</w:t>
      </w:r>
    </w:p>
    <w:p w14:paraId="3AB22722" w14:textId="260662D1" w:rsidR="00EC49A2" w:rsidRPr="0014590C" w:rsidRDefault="00BE09E2" w:rsidP="00BE09E2">
      <w:pPr>
        <w:pStyle w:val="SingleTxtG"/>
      </w:pPr>
      <w:r w:rsidRPr="0014590C">
        <w:rPr>
          <w:lang w:bidi="th-TH"/>
        </w:rPr>
        <w:tab/>
      </w:r>
      <w:r w:rsidR="00F93359" w:rsidRPr="0014590C">
        <w:rPr>
          <w:lang w:bidi="th-TH"/>
        </w:rPr>
        <w:t>(h</w:t>
      </w:r>
      <w:r w:rsidRPr="0014590C">
        <w:rPr>
          <w:lang w:bidi="th-TH"/>
        </w:rPr>
        <w:t>)</w:t>
      </w:r>
      <w:r w:rsidRPr="0014590C">
        <w:rPr>
          <w:lang w:bidi="th-TH"/>
        </w:rPr>
        <w:tab/>
      </w:r>
      <w:r w:rsidR="00FF09BA" w:rsidRPr="0014590C">
        <w:t>o</w:t>
      </w:r>
      <w:r w:rsidR="00EC49A2" w:rsidRPr="0014590C">
        <w:t>perational cross-border management</w:t>
      </w:r>
      <w:r w:rsidR="00955B48">
        <w:t>:</w:t>
      </w:r>
      <w:r w:rsidR="00EC49A2" w:rsidRPr="0014590C">
        <w:t xml:space="preserve"> The rail freight corridors either we are referring to the European one or to the Euro-Asian ones are an excellent basis for international cooperation on rail freight services, but today they lack essential operational competences to ensure competitive rail services. </w:t>
      </w:r>
      <w:r w:rsidR="00CA281F" w:rsidRPr="0014590C">
        <w:t>Possibly, a strong operations centre, one per corridor, should be established to effectively manage long distance rail freight traffic on different networks;</w:t>
      </w:r>
    </w:p>
    <w:p w14:paraId="5F9424E8" w14:textId="381BB36A" w:rsidR="00CA281F" w:rsidRPr="0014590C" w:rsidRDefault="00BE09E2" w:rsidP="00BE09E2">
      <w:pPr>
        <w:pStyle w:val="SingleTxtG"/>
      </w:pPr>
      <w:r w:rsidRPr="0014590C">
        <w:rPr>
          <w:lang w:bidi="th-TH"/>
        </w:rPr>
        <w:lastRenderedPageBreak/>
        <w:tab/>
      </w:r>
      <w:r w:rsidR="00F93359" w:rsidRPr="0014590C">
        <w:rPr>
          <w:lang w:bidi="th-TH"/>
        </w:rPr>
        <w:t>(</w:t>
      </w:r>
      <w:proofErr w:type="spellStart"/>
      <w:r w:rsidR="00F93359" w:rsidRPr="0014590C">
        <w:rPr>
          <w:lang w:bidi="th-TH"/>
        </w:rPr>
        <w:t>i</w:t>
      </w:r>
      <w:proofErr w:type="spellEnd"/>
      <w:r w:rsidRPr="0014590C">
        <w:rPr>
          <w:lang w:bidi="th-TH"/>
        </w:rPr>
        <w:t>)</w:t>
      </w:r>
      <w:r w:rsidRPr="0014590C">
        <w:rPr>
          <w:lang w:bidi="th-TH"/>
        </w:rPr>
        <w:tab/>
      </w:r>
      <w:proofErr w:type="gramStart"/>
      <w:r w:rsidR="00FF09BA" w:rsidRPr="0014590C">
        <w:t>i</w:t>
      </w:r>
      <w:r w:rsidR="00CA281F" w:rsidRPr="0014590C">
        <w:t>ncentives</w:t>
      </w:r>
      <w:proofErr w:type="gramEnd"/>
      <w:r w:rsidR="00CA281F" w:rsidRPr="0014590C">
        <w:t xml:space="preserve"> to </w:t>
      </w:r>
      <w:r w:rsidR="004B369F">
        <w:t>minimize</w:t>
      </w:r>
      <w:r w:rsidR="00CA281F" w:rsidRPr="0014590C">
        <w:t xml:space="preserve"> the impact of disruptions on rail services. The infrastructure </w:t>
      </w:r>
      <w:r w:rsidR="00992354">
        <w:t>m</w:t>
      </w:r>
      <w:r w:rsidR="00992354" w:rsidRPr="0014590C">
        <w:t xml:space="preserve">anager </w:t>
      </w:r>
      <w:r w:rsidR="00CA281F" w:rsidRPr="0014590C">
        <w:t xml:space="preserve">must be incentivised financially to ensure better planning of infrastructure works and to find solutions that </w:t>
      </w:r>
      <w:r w:rsidR="004B369F">
        <w:t>minimize</w:t>
      </w:r>
      <w:r w:rsidR="00CA281F" w:rsidRPr="0014590C">
        <w:t xml:space="preserve"> impact on rail services and therefore limit the economic impact on their own </w:t>
      </w:r>
      <w:r w:rsidR="00F468CB">
        <w:t>organiz</w:t>
      </w:r>
      <w:r w:rsidRPr="0014590C">
        <w:t>ation</w:t>
      </w:r>
      <w:r w:rsidR="00A412BB" w:rsidRPr="0014590C">
        <w:t>;</w:t>
      </w:r>
    </w:p>
    <w:p w14:paraId="5158C527" w14:textId="19BEB051" w:rsidR="00CA281F" w:rsidRPr="0014590C" w:rsidRDefault="00BE09E2" w:rsidP="00BE09E2">
      <w:pPr>
        <w:pStyle w:val="SingleTxtG"/>
      </w:pPr>
      <w:r w:rsidRPr="0014590C">
        <w:rPr>
          <w:lang w:bidi="th-TH"/>
        </w:rPr>
        <w:tab/>
      </w:r>
      <w:r w:rsidR="00F93359" w:rsidRPr="0014590C">
        <w:rPr>
          <w:lang w:bidi="th-TH"/>
        </w:rPr>
        <w:t>(j</w:t>
      </w:r>
      <w:r w:rsidRPr="0014590C">
        <w:rPr>
          <w:lang w:bidi="th-TH"/>
        </w:rPr>
        <w:t>)</w:t>
      </w:r>
      <w:r w:rsidRPr="0014590C">
        <w:rPr>
          <w:lang w:bidi="th-TH"/>
        </w:rPr>
        <w:tab/>
      </w:r>
      <w:r w:rsidR="00FF09BA" w:rsidRPr="0014590C">
        <w:t>o</w:t>
      </w:r>
      <w:r w:rsidR="00CA281F" w:rsidRPr="0014590C">
        <w:t xml:space="preserve">ne of the main challenges while organizing intermodal transportation in the Euro-Asian connection is the improvement of the system of cross-border exchange of legally significant electronic documents of different legal instruments. The problems while performing this task </w:t>
      </w:r>
      <w:proofErr w:type="gramStart"/>
      <w:r w:rsidR="00CA281F" w:rsidRPr="0014590C">
        <w:t>are:</w:t>
      </w:r>
      <w:proofErr w:type="gramEnd"/>
      <w:r w:rsidR="00CA281F" w:rsidRPr="0014590C">
        <w:t xml:space="preserve"> </w:t>
      </w:r>
      <w:r w:rsidR="004B369F">
        <w:t>d</w:t>
      </w:r>
      <w:r w:rsidR="00CA281F" w:rsidRPr="0014590C">
        <w:t>ifferent levels of I</w:t>
      </w:r>
      <w:r w:rsidR="00A22372">
        <w:t xml:space="preserve">nformation </w:t>
      </w:r>
      <w:r w:rsidR="00CA281F" w:rsidRPr="0014590C">
        <w:t>T</w:t>
      </w:r>
      <w:r w:rsidR="00A22372">
        <w:t>echnology</w:t>
      </w:r>
      <w:r w:rsidR="00CA281F" w:rsidRPr="0014590C">
        <w:t xml:space="preserve"> systems in various countries involved in intermodal transportation. Not all interested parties are ready to switch to paperless technologies. Such an approach creates a gap in the chain of electronic workflow. According to the current practice, the paperwork of a significant part of operations is still widespread when changing means of transport in the intermodal chain. At the same time, each country has its own developing electronic workflow system and programs aimed at improvement of execution and approval processes of the document. A well-established system of interaction between all participants in the t</w:t>
      </w:r>
      <w:r w:rsidR="00A412BB" w:rsidRPr="0014590C">
        <w:t>ransportation process is needed;</w:t>
      </w:r>
    </w:p>
    <w:p w14:paraId="55904015" w14:textId="77777777" w:rsidR="00CA281F" w:rsidRPr="0014590C" w:rsidRDefault="00BE09E2" w:rsidP="00BE09E2">
      <w:pPr>
        <w:pStyle w:val="SingleTxtG"/>
      </w:pPr>
      <w:r w:rsidRPr="0014590C">
        <w:rPr>
          <w:lang w:bidi="th-TH"/>
        </w:rPr>
        <w:tab/>
        <w:t>(</w:t>
      </w:r>
      <w:r w:rsidR="00F93359" w:rsidRPr="0014590C">
        <w:rPr>
          <w:lang w:bidi="th-TH"/>
        </w:rPr>
        <w:t>k</w:t>
      </w:r>
      <w:r w:rsidRPr="0014590C">
        <w:rPr>
          <w:lang w:bidi="th-TH"/>
        </w:rPr>
        <w:t>)</w:t>
      </w:r>
      <w:r w:rsidRPr="0014590C">
        <w:rPr>
          <w:lang w:bidi="th-TH"/>
        </w:rPr>
        <w:tab/>
      </w:r>
      <w:r w:rsidR="00FF09BA" w:rsidRPr="0014590C">
        <w:t>t</w:t>
      </w:r>
      <w:r w:rsidR="00CA281F" w:rsidRPr="0014590C">
        <w:t>he development of intermodal transportation of international postal items and electronic goods</w:t>
      </w:r>
      <w:r w:rsidR="00A412BB" w:rsidRPr="0014590C">
        <w:t xml:space="preserve"> in the China-Europe connection;</w:t>
      </w:r>
    </w:p>
    <w:p w14:paraId="19F75A72" w14:textId="437EDFDA" w:rsidR="00A72484" w:rsidRPr="0014590C" w:rsidRDefault="00BE09E2" w:rsidP="00BE09E2">
      <w:pPr>
        <w:pStyle w:val="SingleTxtG"/>
      </w:pPr>
      <w:r w:rsidRPr="0014590C">
        <w:rPr>
          <w:lang w:bidi="th-TH"/>
        </w:rPr>
        <w:tab/>
      </w:r>
      <w:r w:rsidR="00F93359" w:rsidRPr="0014590C">
        <w:rPr>
          <w:lang w:bidi="th-TH"/>
        </w:rPr>
        <w:t>(l</w:t>
      </w:r>
      <w:r w:rsidRPr="0014590C">
        <w:rPr>
          <w:lang w:bidi="th-TH"/>
        </w:rPr>
        <w:t>)</w:t>
      </w:r>
      <w:r w:rsidRPr="0014590C">
        <w:rPr>
          <w:lang w:bidi="th-TH"/>
        </w:rPr>
        <w:tab/>
      </w:r>
      <w:proofErr w:type="gramStart"/>
      <w:r w:rsidR="00A72484" w:rsidRPr="0014590C">
        <w:t>the</w:t>
      </w:r>
      <w:proofErr w:type="gramEnd"/>
      <w:r w:rsidR="00A72484" w:rsidRPr="0014590C">
        <w:t xml:space="preserve"> need for reducing greenhouse gas emissions is evident and there is a demand for developing more sustainable transport systems. When sustainability is an objective of combined transport, the principle should be that the freight should be transported as far as possible with rail/inland waterways/ maritime and then distributed by road with </w:t>
      </w:r>
      <w:r w:rsidR="00A412BB" w:rsidRPr="0014590C">
        <w:t>as short distances as possible;</w:t>
      </w:r>
    </w:p>
    <w:p w14:paraId="415581B5" w14:textId="77777777" w:rsidR="00A72484" w:rsidRPr="0014590C" w:rsidRDefault="00BE09E2" w:rsidP="00BE09E2">
      <w:pPr>
        <w:pStyle w:val="SingleTxtG"/>
      </w:pPr>
      <w:r w:rsidRPr="0014590C">
        <w:rPr>
          <w:lang w:bidi="th-TH"/>
        </w:rPr>
        <w:tab/>
      </w:r>
      <w:r w:rsidR="00F93359" w:rsidRPr="0014590C">
        <w:rPr>
          <w:lang w:bidi="th-TH"/>
        </w:rPr>
        <w:t>(m</w:t>
      </w:r>
      <w:r w:rsidRPr="0014590C">
        <w:rPr>
          <w:lang w:bidi="th-TH"/>
        </w:rPr>
        <w:t>)</w:t>
      </w:r>
      <w:r w:rsidRPr="0014590C">
        <w:rPr>
          <w:lang w:bidi="th-TH"/>
        </w:rPr>
        <w:tab/>
      </w:r>
      <w:r w:rsidR="00FF09BA" w:rsidRPr="0014590C">
        <w:t>c</w:t>
      </w:r>
      <w:r w:rsidR="00A72484" w:rsidRPr="0014590C">
        <w:t>onnecting of different modes of transport into one integrated system allows to synchronize the use and control of transport modes. This interaction takes place at intermodal terminals. Therefore, the development of intermodal terminals/freight villages is crucial for the devel</w:t>
      </w:r>
      <w:r w:rsidR="00A412BB" w:rsidRPr="0014590C">
        <w:t>opment of intermodal transport;</w:t>
      </w:r>
    </w:p>
    <w:p w14:paraId="085DE2BC" w14:textId="265FE640" w:rsidR="00BC0CF9" w:rsidRPr="0014590C" w:rsidRDefault="00BE09E2" w:rsidP="00BE09E2">
      <w:pPr>
        <w:pStyle w:val="SingleTxtG"/>
        <w:rPr>
          <w:lang w:bidi="th-TH"/>
        </w:rPr>
      </w:pPr>
      <w:r w:rsidRPr="0014590C">
        <w:rPr>
          <w:lang w:bidi="th-TH"/>
        </w:rPr>
        <w:tab/>
      </w:r>
      <w:r w:rsidR="00F93359" w:rsidRPr="0014590C">
        <w:rPr>
          <w:lang w:bidi="th-TH"/>
        </w:rPr>
        <w:t>(n</w:t>
      </w:r>
      <w:r w:rsidRPr="0014590C">
        <w:rPr>
          <w:lang w:bidi="th-TH"/>
        </w:rPr>
        <w:t>)</w:t>
      </w:r>
      <w:r w:rsidRPr="0014590C">
        <w:rPr>
          <w:lang w:bidi="th-TH"/>
        </w:rPr>
        <w:tab/>
      </w:r>
      <w:r w:rsidR="00FF09BA" w:rsidRPr="0014590C">
        <w:t>m</w:t>
      </w:r>
      <w:r w:rsidR="00A72484" w:rsidRPr="0014590C">
        <w:t>inimization of logistics costs therefore the costs of the final product to the consumer. Intermodal transport as well as the intermodal terminals / freight villages create economies of scale</w:t>
      </w:r>
      <w:r w:rsidR="00413BDD" w:rsidRPr="0014590C">
        <w:t xml:space="preserve"> the so called collaborative freight management which eliminates the circulation of empty trucks/ delivery vans therefore minimizes the transportation cost per item and reduces all other transport indirect costs such air pollution, traffic</w:t>
      </w:r>
      <w:r w:rsidR="001D05AC">
        <w:t>,</w:t>
      </w:r>
      <w:r w:rsidR="00413BDD" w:rsidRPr="0014590C">
        <w:t xml:space="preserve"> etc.</w:t>
      </w:r>
    </w:p>
    <w:p w14:paraId="14D001F1" w14:textId="77777777" w:rsidR="00890CD0" w:rsidRPr="0014590C" w:rsidRDefault="00890CD0" w:rsidP="00890CD0">
      <w:pPr>
        <w:pStyle w:val="HChG"/>
        <w:keepNext w:val="0"/>
        <w:keepLines w:val="0"/>
        <w:widowControl w:val="0"/>
        <w:suppressAutoHyphens w:val="0"/>
        <w:jc w:val="both"/>
      </w:pPr>
      <w:r w:rsidRPr="0014590C">
        <w:tab/>
        <w:t>IV.</w:t>
      </w:r>
      <w:r w:rsidRPr="0014590C">
        <w:tab/>
        <w:t>Guidance by Inland Transport Committee</w:t>
      </w:r>
    </w:p>
    <w:p w14:paraId="0AE74482" w14:textId="77777777" w:rsidR="00BC0CF9" w:rsidRPr="00CC7288" w:rsidRDefault="00890CD0" w:rsidP="00890CD0">
      <w:pPr>
        <w:pStyle w:val="SingleTxtG"/>
        <w:rPr>
          <w:lang w:bidi="th-TH"/>
        </w:rPr>
      </w:pPr>
      <w:r w:rsidRPr="0014590C">
        <w:t>20.</w:t>
      </w:r>
      <w:r w:rsidRPr="0014590C">
        <w:tab/>
        <w:t>The Inland Transport Committee may wish to consider the above-mentioned information and may wish to provide guidance to the secretariat on how to elaborate and on which points should focus its efforts in order to prepare a comprehensive strategy for the Working Party.</w:t>
      </w:r>
    </w:p>
    <w:p w14:paraId="653BED6A" w14:textId="77777777" w:rsidR="00F507EC" w:rsidRPr="0014590C" w:rsidRDefault="00B64AD3" w:rsidP="007B02C2">
      <w:pPr>
        <w:pStyle w:val="SingleTxtG"/>
        <w:spacing w:after="0"/>
        <w:jc w:val="center"/>
      </w:pPr>
      <w:r w:rsidRPr="00CC7288">
        <w:rPr>
          <w:u w:val="single"/>
        </w:rPr>
        <w:tab/>
      </w:r>
      <w:r w:rsidRPr="00CC7288">
        <w:rPr>
          <w:u w:val="single"/>
        </w:rPr>
        <w:tab/>
      </w:r>
      <w:r w:rsidRPr="00CC7288">
        <w:rPr>
          <w:u w:val="single"/>
        </w:rPr>
        <w:tab/>
      </w:r>
    </w:p>
    <w:sectPr w:rsidR="00F507EC" w:rsidRPr="0014590C" w:rsidSect="003A5F98">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E048B" w14:textId="77777777" w:rsidR="00942037" w:rsidRDefault="00942037"/>
  </w:endnote>
  <w:endnote w:type="continuationSeparator" w:id="0">
    <w:p w14:paraId="6D38CE8A" w14:textId="77777777" w:rsidR="00942037" w:rsidRDefault="00942037"/>
  </w:endnote>
  <w:endnote w:type="continuationNotice" w:id="1">
    <w:p w14:paraId="58EDF398" w14:textId="77777777" w:rsidR="00942037" w:rsidRDefault="0094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8686D" w14:textId="269D18E5"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AF4EE1">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7AA5E" w14:textId="7B6FF53F"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AF4EE1">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83D76" w14:textId="77777777" w:rsidR="00942037" w:rsidRPr="000B175B" w:rsidRDefault="00942037" w:rsidP="000B175B">
      <w:pPr>
        <w:tabs>
          <w:tab w:val="right" w:pos="2155"/>
        </w:tabs>
        <w:spacing w:after="80"/>
        <w:ind w:left="680"/>
        <w:rPr>
          <w:u w:val="single"/>
        </w:rPr>
      </w:pPr>
      <w:r>
        <w:rPr>
          <w:u w:val="single"/>
        </w:rPr>
        <w:tab/>
      </w:r>
    </w:p>
  </w:footnote>
  <w:footnote w:type="continuationSeparator" w:id="0">
    <w:p w14:paraId="0621A92A" w14:textId="77777777" w:rsidR="00942037" w:rsidRPr="00FC68B7" w:rsidRDefault="00942037" w:rsidP="00FC68B7">
      <w:pPr>
        <w:tabs>
          <w:tab w:val="left" w:pos="2155"/>
        </w:tabs>
        <w:spacing w:after="80"/>
        <w:ind w:left="680"/>
        <w:rPr>
          <w:u w:val="single"/>
        </w:rPr>
      </w:pPr>
      <w:r>
        <w:rPr>
          <w:u w:val="single"/>
        </w:rPr>
        <w:tab/>
      </w:r>
    </w:p>
  </w:footnote>
  <w:footnote w:type="continuationNotice" w:id="1">
    <w:p w14:paraId="036BFB2E" w14:textId="77777777" w:rsidR="00942037" w:rsidRDefault="00942037"/>
  </w:footnote>
  <w:footnote w:id="2">
    <w:p w14:paraId="455DE380" w14:textId="755E9285" w:rsidR="00B466BE" w:rsidRPr="00B466BE" w:rsidRDefault="00B466BE" w:rsidP="00B466BE">
      <w:pPr>
        <w:pStyle w:val="FootnoteText"/>
        <w:widowControl w:val="0"/>
        <w:tabs>
          <w:tab w:val="clear" w:pos="1021"/>
          <w:tab w:val="right" w:pos="1020"/>
        </w:tabs>
        <w:rPr>
          <w:lang w:val="en-US"/>
        </w:rPr>
      </w:pPr>
      <w:r>
        <w:tab/>
      </w:r>
      <w:r>
        <w:rPr>
          <w:rStyle w:val="FootnoteReference"/>
        </w:rPr>
        <w:footnoteRef/>
      </w:r>
      <w:r>
        <w:tab/>
      </w:r>
      <w:r w:rsidRPr="00FF09BA">
        <w:t xml:space="preserve">Mr. Ralf-Charley </w:t>
      </w:r>
      <w:proofErr w:type="spellStart"/>
      <w:r w:rsidRPr="00FF09BA">
        <w:t>Schultze</w:t>
      </w:r>
      <w:proofErr w:type="spellEnd"/>
      <w:r w:rsidRPr="00FF09BA">
        <w:t>, President, International Union of Combined Road</w:t>
      </w:r>
      <w:r w:rsidR="004B369F">
        <w:t>-</w:t>
      </w:r>
      <w:r w:rsidRPr="00FF09BA">
        <w:t>Rail Transport Companies (UIRR)</w:t>
      </w:r>
      <w:r>
        <w:t xml:space="preserve">, </w:t>
      </w:r>
      <w:hyperlink r:id="rId1" w:history="1">
        <w:r w:rsidR="00EF4735" w:rsidRPr="00B7785E">
          <w:rPr>
            <w:rStyle w:val="Hyperlink"/>
          </w:rPr>
          <w:t>www.unece.org/fileadmin/DAM/trans/doc/2017/wp24/Schultze.pdf</w:t>
        </w:r>
      </w:hyperlink>
    </w:p>
  </w:footnote>
  <w:footnote w:id="3">
    <w:p w14:paraId="3DED8A3E" w14:textId="77777777" w:rsidR="00B466BE" w:rsidRPr="00B466BE" w:rsidRDefault="00B466BE" w:rsidP="00B466BE">
      <w:pPr>
        <w:pStyle w:val="FootnoteText"/>
        <w:widowControl w:val="0"/>
        <w:tabs>
          <w:tab w:val="clear" w:pos="1021"/>
          <w:tab w:val="right" w:pos="1020"/>
        </w:tabs>
        <w:rPr>
          <w:lang w:val="en-US"/>
        </w:rPr>
      </w:pPr>
      <w:r>
        <w:tab/>
      </w:r>
      <w:r>
        <w:rPr>
          <w:rStyle w:val="FootnoteReference"/>
        </w:rPr>
        <w:footnoteRef/>
      </w:r>
      <w:r>
        <w:tab/>
      </w:r>
      <w:r w:rsidRPr="00FF09BA">
        <w:t xml:space="preserve">Ms. Natalia </w:t>
      </w:r>
      <w:proofErr w:type="spellStart"/>
      <w:r w:rsidR="004B369F" w:rsidRPr="00FF09BA">
        <w:t>Stepanova</w:t>
      </w:r>
      <w:proofErr w:type="spellEnd"/>
      <w:r w:rsidR="004B369F" w:rsidRPr="00FF09BA">
        <w:t xml:space="preserve">, </w:t>
      </w:r>
      <w:r w:rsidRPr="00FF09BA">
        <w:t>Deputy Secretary General, Coordinating Council on Trans-Siberian Transportation (CCTT)</w:t>
      </w:r>
    </w:p>
  </w:footnote>
  <w:footnote w:id="4">
    <w:p w14:paraId="5CDD3B7F" w14:textId="482800D6" w:rsidR="00B466BE" w:rsidRPr="00B466BE" w:rsidRDefault="00B466BE" w:rsidP="00B466BE">
      <w:pPr>
        <w:pStyle w:val="FootnoteText"/>
        <w:widowControl w:val="0"/>
        <w:tabs>
          <w:tab w:val="clear" w:pos="1021"/>
          <w:tab w:val="right" w:pos="1020"/>
        </w:tabs>
        <w:rPr>
          <w:lang w:val="en-US"/>
        </w:rPr>
      </w:pPr>
      <w:r>
        <w:tab/>
      </w:r>
      <w:r>
        <w:rPr>
          <w:rStyle w:val="FootnoteReference"/>
        </w:rPr>
        <w:footnoteRef/>
      </w:r>
      <w:r>
        <w:tab/>
      </w:r>
      <w:r w:rsidRPr="00FF09BA">
        <w:t xml:space="preserve">Mr. Manuel Francisco </w:t>
      </w:r>
      <w:proofErr w:type="spellStart"/>
      <w:r w:rsidR="004B369F" w:rsidRPr="00FF09BA">
        <w:t>Martínez</w:t>
      </w:r>
      <w:proofErr w:type="spellEnd"/>
      <w:r w:rsidR="004B369F" w:rsidRPr="00FF09BA">
        <w:t xml:space="preserve"> Torres</w:t>
      </w:r>
      <w:r w:rsidRPr="00FF09BA">
        <w:t xml:space="preserve">, </w:t>
      </w:r>
      <w:r w:rsidR="004B369F" w:rsidRPr="00FF09BA">
        <w:t>Secretary</w:t>
      </w:r>
      <w:r w:rsidR="004B369F">
        <w:t>-</w:t>
      </w:r>
      <w:r w:rsidRPr="00FF09BA">
        <w:t>General</w:t>
      </w:r>
      <w:r w:rsidR="004B369F">
        <w:t>,</w:t>
      </w:r>
      <w:r w:rsidRPr="00FF09BA">
        <w:t xml:space="preserve"> </w:t>
      </w:r>
      <w:proofErr w:type="spellStart"/>
      <w:r w:rsidRPr="00FF09BA">
        <w:t>Europlatforms</w:t>
      </w:r>
      <w:proofErr w:type="spellEnd"/>
      <w:r w:rsidRPr="00FF09BA">
        <w:t xml:space="preserve"> / Director Algeciras Logistic Area, Red </w:t>
      </w:r>
      <w:proofErr w:type="spellStart"/>
      <w:r w:rsidRPr="00FF09BA">
        <w:t>Logistica</w:t>
      </w:r>
      <w:proofErr w:type="spellEnd"/>
      <w:r w:rsidRPr="00FF09BA">
        <w:t xml:space="preserve"> de </w:t>
      </w:r>
      <w:proofErr w:type="spellStart"/>
      <w:r w:rsidRPr="00FF09BA">
        <w:t>Andalucia</w:t>
      </w:r>
      <w:proofErr w:type="spellEnd"/>
      <w:r w:rsidRPr="00FF09BA">
        <w:t>, Spain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56588" w14:textId="77777777" w:rsidR="003A5F98" w:rsidRPr="003A5F98" w:rsidRDefault="003A5F98">
    <w:pPr>
      <w:pStyle w:val="Header"/>
    </w:pPr>
    <w:r>
      <w:t>ECE/TRANS/201</w:t>
    </w:r>
    <w:r w:rsidR="00897DF2">
      <w:t>8</w:t>
    </w:r>
    <w:r>
      <w:t>/</w:t>
    </w:r>
    <w:r w:rsidR="00646BFB">
      <w:t>1</w:t>
    </w:r>
    <w:r w:rsidR="0009168B">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56F8E" w14:textId="77777777" w:rsidR="003A5F98" w:rsidRPr="003A5F98" w:rsidRDefault="003A5F98" w:rsidP="003A5F98">
    <w:pPr>
      <w:pStyle w:val="Header"/>
      <w:jc w:val="right"/>
    </w:pPr>
    <w:r>
      <w:t>ECE/TRANS/201</w:t>
    </w:r>
    <w:r w:rsidR="0009168B">
      <w:t>8</w:t>
    </w:r>
    <w:r>
      <w:t>/</w:t>
    </w:r>
    <w:r w:rsidR="00646BFB">
      <w:t>1</w:t>
    </w:r>
    <w:r w:rsidR="0009168B">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7C0E4D"/>
    <w:multiLevelType w:val="hybridMultilevel"/>
    <w:tmpl w:val="5E9AA1D6"/>
    <w:lvl w:ilvl="0" w:tplc="040C0017">
      <w:start w:val="1"/>
      <w:numFmt w:val="low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2">
    <w:nsid w:val="05A81D28"/>
    <w:multiLevelType w:val="hybridMultilevel"/>
    <w:tmpl w:val="5C7087A4"/>
    <w:lvl w:ilvl="0" w:tplc="040C0017">
      <w:start w:val="1"/>
      <w:numFmt w:val="low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nsid w:val="096474AA"/>
    <w:multiLevelType w:val="hybridMultilevel"/>
    <w:tmpl w:val="E04EA52C"/>
    <w:lvl w:ilvl="0" w:tplc="574A0D7E">
      <w:start w:val="1"/>
      <w:numFmt w:val="bullet"/>
      <w:lvlText w:val=""/>
      <w:lvlJc w:val="left"/>
      <w:pPr>
        <w:ind w:left="2421" w:hanging="360"/>
      </w:pPr>
      <w:rPr>
        <w:rFonts w:ascii="Symbol" w:hAnsi="Symbol" w:hint="default"/>
        <w:color w:val="auto"/>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nsid w:val="14DD03D9"/>
    <w:multiLevelType w:val="hybridMultilevel"/>
    <w:tmpl w:val="1DCC827A"/>
    <w:lvl w:ilvl="0" w:tplc="52D2AF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5F4545B"/>
    <w:multiLevelType w:val="hybridMultilevel"/>
    <w:tmpl w:val="1E3C2ACC"/>
    <w:lvl w:ilvl="0" w:tplc="040C0017">
      <w:start w:val="1"/>
      <w:numFmt w:val="low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6">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E136A9E"/>
    <w:multiLevelType w:val="hybridMultilevel"/>
    <w:tmpl w:val="5F68A470"/>
    <w:lvl w:ilvl="0" w:tplc="2EBADD9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8D3F86"/>
    <w:multiLevelType w:val="hybridMultilevel"/>
    <w:tmpl w:val="8CC26C0E"/>
    <w:lvl w:ilvl="0" w:tplc="52D2AF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863746E"/>
    <w:multiLevelType w:val="hybridMultilevel"/>
    <w:tmpl w:val="A4B09812"/>
    <w:lvl w:ilvl="0" w:tplc="040C0017">
      <w:start w:val="1"/>
      <w:numFmt w:val="low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4">
    <w:nsid w:val="39D55E3D"/>
    <w:multiLevelType w:val="hybridMultilevel"/>
    <w:tmpl w:val="7506098A"/>
    <w:lvl w:ilvl="0" w:tplc="040C0017">
      <w:start w:val="1"/>
      <w:numFmt w:val="low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5">
    <w:nsid w:val="50C963CA"/>
    <w:multiLevelType w:val="hybridMultilevel"/>
    <w:tmpl w:val="1DCC827A"/>
    <w:lvl w:ilvl="0" w:tplc="52D2AF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B87E51"/>
    <w:multiLevelType w:val="hybridMultilevel"/>
    <w:tmpl w:val="1194D48C"/>
    <w:lvl w:ilvl="0" w:tplc="334A0B34">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nsid w:val="6491587E"/>
    <w:multiLevelType w:val="hybridMultilevel"/>
    <w:tmpl w:val="10A01624"/>
    <w:lvl w:ilvl="0" w:tplc="040C0017">
      <w:start w:val="1"/>
      <w:numFmt w:val="low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9BE58CB"/>
    <w:multiLevelType w:val="hybridMultilevel"/>
    <w:tmpl w:val="8CC26C0E"/>
    <w:lvl w:ilvl="0" w:tplc="52D2AF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B551EC"/>
    <w:multiLevelType w:val="hybridMultilevel"/>
    <w:tmpl w:val="3D1E18AC"/>
    <w:lvl w:ilvl="0" w:tplc="040C0017">
      <w:start w:val="1"/>
      <w:numFmt w:val="low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1">
    <w:nsid w:val="6C874D90"/>
    <w:multiLevelType w:val="hybridMultilevel"/>
    <w:tmpl w:val="26A60D80"/>
    <w:lvl w:ilvl="0" w:tplc="040C0017">
      <w:start w:val="1"/>
      <w:numFmt w:val="low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2">
    <w:nsid w:val="74C27869"/>
    <w:multiLevelType w:val="hybridMultilevel"/>
    <w:tmpl w:val="0966EFDA"/>
    <w:lvl w:ilvl="0" w:tplc="260CF484">
      <w:start w:val="1"/>
      <w:numFmt w:val="low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6"/>
  </w:num>
  <w:num w:numId="15">
    <w:abstractNumId w:val="22"/>
  </w:num>
  <w:num w:numId="16">
    <w:abstractNumId w:val="17"/>
  </w:num>
  <w:num w:numId="17">
    <w:abstractNumId w:val="28"/>
  </w:num>
  <w:num w:numId="18">
    <w:abstractNumId w:val="33"/>
  </w:num>
  <w:num w:numId="19">
    <w:abstractNumId w:val="13"/>
  </w:num>
  <w:num w:numId="20">
    <w:abstractNumId w:val="26"/>
  </w:num>
  <w:num w:numId="21">
    <w:abstractNumId w:val="30"/>
  </w:num>
  <w:num w:numId="22">
    <w:abstractNumId w:val="32"/>
  </w:num>
  <w:num w:numId="23">
    <w:abstractNumId w:val="27"/>
  </w:num>
  <w:num w:numId="24">
    <w:abstractNumId w:val="31"/>
  </w:num>
  <w:num w:numId="25">
    <w:abstractNumId w:val="24"/>
  </w:num>
  <w:num w:numId="26">
    <w:abstractNumId w:val="23"/>
  </w:num>
  <w:num w:numId="27">
    <w:abstractNumId w:val="11"/>
  </w:num>
  <w:num w:numId="28">
    <w:abstractNumId w:val="15"/>
  </w:num>
  <w:num w:numId="29">
    <w:abstractNumId w:val="12"/>
  </w:num>
  <w:num w:numId="30">
    <w:abstractNumId w:val="18"/>
  </w:num>
  <w:num w:numId="31">
    <w:abstractNumId w:val="29"/>
  </w:num>
  <w:num w:numId="32">
    <w:abstractNumId w:val="20"/>
  </w:num>
  <w:num w:numId="33">
    <w:abstractNumId w:val="25"/>
  </w:num>
  <w:num w:numId="34">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Georgiadis">
    <w15:presenceInfo w15:providerId="None" w15:userId="George Georgiadis"/>
  </w15:person>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13138"/>
    <w:rsid w:val="00027624"/>
    <w:rsid w:val="00043148"/>
    <w:rsid w:val="00050F6B"/>
    <w:rsid w:val="000678CD"/>
    <w:rsid w:val="000713A8"/>
    <w:rsid w:val="00072C8C"/>
    <w:rsid w:val="00081582"/>
    <w:rsid w:val="00081CE0"/>
    <w:rsid w:val="00084D30"/>
    <w:rsid w:val="00090320"/>
    <w:rsid w:val="0009168B"/>
    <w:rsid w:val="0009219B"/>
    <w:rsid w:val="000931C0"/>
    <w:rsid w:val="000A2E09"/>
    <w:rsid w:val="000B175B"/>
    <w:rsid w:val="000B3A0F"/>
    <w:rsid w:val="000C0A19"/>
    <w:rsid w:val="000E0415"/>
    <w:rsid w:val="000F7715"/>
    <w:rsid w:val="00105E1D"/>
    <w:rsid w:val="00132864"/>
    <w:rsid w:val="00137F53"/>
    <w:rsid w:val="001439AF"/>
    <w:rsid w:val="0014590C"/>
    <w:rsid w:val="00156B99"/>
    <w:rsid w:val="00162439"/>
    <w:rsid w:val="00164C3F"/>
    <w:rsid w:val="00166124"/>
    <w:rsid w:val="00184DDA"/>
    <w:rsid w:val="001900CD"/>
    <w:rsid w:val="001A0452"/>
    <w:rsid w:val="001B4B04"/>
    <w:rsid w:val="001B5875"/>
    <w:rsid w:val="001C0D1E"/>
    <w:rsid w:val="001C4B9C"/>
    <w:rsid w:val="001C6663"/>
    <w:rsid w:val="001C7895"/>
    <w:rsid w:val="001D05AC"/>
    <w:rsid w:val="001D26DF"/>
    <w:rsid w:val="001F1599"/>
    <w:rsid w:val="001F19C4"/>
    <w:rsid w:val="002043F0"/>
    <w:rsid w:val="00211E0B"/>
    <w:rsid w:val="00232575"/>
    <w:rsid w:val="00247258"/>
    <w:rsid w:val="00257CAC"/>
    <w:rsid w:val="00271C1F"/>
    <w:rsid w:val="0027237A"/>
    <w:rsid w:val="00277EEA"/>
    <w:rsid w:val="002974E9"/>
    <w:rsid w:val="002A7F94"/>
    <w:rsid w:val="002B109A"/>
    <w:rsid w:val="002B5CA3"/>
    <w:rsid w:val="002C3D2B"/>
    <w:rsid w:val="002C6D45"/>
    <w:rsid w:val="002D53E6"/>
    <w:rsid w:val="002D6E53"/>
    <w:rsid w:val="002F046D"/>
    <w:rsid w:val="002F4A5C"/>
    <w:rsid w:val="002F50C2"/>
    <w:rsid w:val="002F6C7D"/>
    <w:rsid w:val="00301764"/>
    <w:rsid w:val="00313B47"/>
    <w:rsid w:val="003229D8"/>
    <w:rsid w:val="0032474C"/>
    <w:rsid w:val="00336C97"/>
    <w:rsid w:val="00337F88"/>
    <w:rsid w:val="00342432"/>
    <w:rsid w:val="003442BC"/>
    <w:rsid w:val="0035223F"/>
    <w:rsid w:val="00352D4B"/>
    <w:rsid w:val="00354AE8"/>
    <w:rsid w:val="0035638C"/>
    <w:rsid w:val="003672C4"/>
    <w:rsid w:val="0037307F"/>
    <w:rsid w:val="00374057"/>
    <w:rsid w:val="003A46BB"/>
    <w:rsid w:val="003A4EC7"/>
    <w:rsid w:val="003A5F98"/>
    <w:rsid w:val="003A7295"/>
    <w:rsid w:val="003B14BC"/>
    <w:rsid w:val="003B1F60"/>
    <w:rsid w:val="003C2CC4"/>
    <w:rsid w:val="003D4B23"/>
    <w:rsid w:val="003E278A"/>
    <w:rsid w:val="003F4012"/>
    <w:rsid w:val="00413520"/>
    <w:rsid w:val="00413BDD"/>
    <w:rsid w:val="00416054"/>
    <w:rsid w:val="00426FAA"/>
    <w:rsid w:val="004325CB"/>
    <w:rsid w:val="00440A07"/>
    <w:rsid w:val="00462880"/>
    <w:rsid w:val="00476F24"/>
    <w:rsid w:val="00493BD0"/>
    <w:rsid w:val="004975C6"/>
    <w:rsid w:val="004A2129"/>
    <w:rsid w:val="004B2455"/>
    <w:rsid w:val="004B369F"/>
    <w:rsid w:val="004C55B0"/>
    <w:rsid w:val="004C6E60"/>
    <w:rsid w:val="004F472E"/>
    <w:rsid w:val="004F6BA0"/>
    <w:rsid w:val="004F79A2"/>
    <w:rsid w:val="00503BEA"/>
    <w:rsid w:val="005066EE"/>
    <w:rsid w:val="00506CF6"/>
    <w:rsid w:val="00511975"/>
    <w:rsid w:val="00533616"/>
    <w:rsid w:val="00535ABA"/>
    <w:rsid w:val="0053768B"/>
    <w:rsid w:val="005420F2"/>
    <w:rsid w:val="0054285C"/>
    <w:rsid w:val="00576202"/>
    <w:rsid w:val="00584173"/>
    <w:rsid w:val="00595520"/>
    <w:rsid w:val="005A44B9"/>
    <w:rsid w:val="005A6331"/>
    <w:rsid w:val="005B009F"/>
    <w:rsid w:val="005B1BA0"/>
    <w:rsid w:val="005B2EE5"/>
    <w:rsid w:val="005B3DB3"/>
    <w:rsid w:val="005C48E7"/>
    <w:rsid w:val="005D15CA"/>
    <w:rsid w:val="005D3081"/>
    <w:rsid w:val="005E4F69"/>
    <w:rsid w:val="005E7FAF"/>
    <w:rsid w:val="005F3066"/>
    <w:rsid w:val="005F3E61"/>
    <w:rsid w:val="00604DDD"/>
    <w:rsid w:val="006115CC"/>
    <w:rsid w:val="00611FC4"/>
    <w:rsid w:val="006176FB"/>
    <w:rsid w:val="0062656D"/>
    <w:rsid w:val="00630FCB"/>
    <w:rsid w:val="00640B26"/>
    <w:rsid w:val="00646BFB"/>
    <w:rsid w:val="006518D3"/>
    <w:rsid w:val="00667296"/>
    <w:rsid w:val="00676BE5"/>
    <w:rsid w:val="006770B2"/>
    <w:rsid w:val="006940E1"/>
    <w:rsid w:val="006A2137"/>
    <w:rsid w:val="006A3C72"/>
    <w:rsid w:val="006A7392"/>
    <w:rsid w:val="006B03A1"/>
    <w:rsid w:val="006B67D9"/>
    <w:rsid w:val="006C5535"/>
    <w:rsid w:val="006D0589"/>
    <w:rsid w:val="006D7A56"/>
    <w:rsid w:val="006E3A2E"/>
    <w:rsid w:val="006E564B"/>
    <w:rsid w:val="006E7154"/>
    <w:rsid w:val="006F7567"/>
    <w:rsid w:val="007003CD"/>
    <w:rsid w:val="0070701E"/>
    <w:rsid w:val="007255BE"/>
    <w:rsid w:val="0072632A"/>
    <w:rsid w:val="007358E8"/>
    <w:rsid w:val="00736ECE"/>
    <w:rsid w:val="0074533B"/>
    <w:rsid w:val="007643BC"/>
    <w:rsid w:val="00775FCB"/>
    <w:rsid w:val="00791F8C"/>
    <w:rsid w:val="007959FE"/>
    <w:rsid w:val="007A0CF1"/>
    <w:rsid w:val="007A16FD"/>
    <w:rsid w:val="007B02C2"/>
    <w:rsid w:val="007B6BA5"/>
    <w:rsid w:val="007B7125"/>
    <w:rsid w:val="007C3390"/>
    <w:rsid w:val="007C42D8"/>
    <w:rsid w:val="007C4F4B"/>
    <w:rsid w:val="007C5434"/>
    <w:rsid w:val="007D63BB"/>
    <w:rsid w:val="007D7362"/>
    <w:rsid w:val="007F33C7"/>
    <w:rsid w:val="007F5CE2"/>
    <w:rsid w:val="007F6611"/>
    <w:rsid w:val="00810BAC"/>
    <w:rsid w:val="008175E9"/>
    <w:rsid w:val="008242D7"/>
    <w:rsid w:val="0082577B"/>
    <w:rsid w:val="00844231"/>
    <w:rsid w:val="00845DB5"/>
    <w:rsid w:val="008472FC"/>
    <w:rsid w:val="00866893"/>
    <w:rsid w:val="00866F02"/>
    <w:rsid w:val="00867D18"/>
    <w:rsid w:val="00871F9A"/>
    <w:rsid w:val="00871FD5"/>
    <w:rsid w:val="0088172E"/>
    <w:rsid w:val="00881EFA"/>
    <w:rsid w:val="008879CB"/>
    <w:rsid w:val="00890CD0"/>
    <w:rsid w:val="008979B1"/>
    <w:rsid w:val="00897DF2"/>
    <w:rsid w:val="008A6B25"/>
    <w:rsid w:val="008A6C4F"/>
    <w:rsid w:val="008B058E"/>
    <w:rsid w:val="008B389E"/>
    <w:rsid w:val="008C5E60"/>
    <w:rsid w:val="008D045E"/>
    <w:rsid w:val="008D3F25"/>
    <w:rsid w:val="008D4D82"/>
    <w:rsid w:val="008E0E46"/>
    <w:rsid w:val="008E7116"/>
    <w:rsid w:val="008F143B"/>
    <w:rsid w:val="008F3882"/>
    <w:rsid w:val="008F4B7C"/>
    <w:rsid w:val="0092074E"/>
    <w:rsid w:val="00926E47"/>
    <w:rsid w:val="00942037"/>
    <w:rsid w:val="00947162"/>
    <w:rsid w:val="00955B48"/>
    <w:rsid w:val="00960BD4"/>
    <w:rsid w:val="009610D0"/>
    <w:rsid w:val="0096375C"/>
    <w:rsid w:val="009662E6"/>
    <w:rsid w:val="0097095E"/>
    <w:rsid w:val="009747B7"/>
    <w:rsid w:val="00977E8B"/>
    <w:rsid w:val="0098592B"/>
    <w:rsid w:val="00985FC4"/>
    <w:rsid w:val="00990766"/>
    <w:rsid w:val="00991261"/>
    <w:rsid w:val="00991745"/>
    <w:rsid w:val="00992354"/>
    <w:rsid w:val="00995600"/>
    <w:rsid w:val="009964C4"/>
    <w:rsid w:val="009A1BD4"/>
    <w:rsid w:val="009A431C"/>
    <w:rsid w:val="009A7B81"/>
    <w:rsid w:val="009B5A91"/>
    <w:rsid w:val="009C0DD2"/>
    <w:rsid w:val="009D01C0"/>
    <w:rsid w:val="009D6A08"/>
    <w:rsid w:val="009E0A16"/>
    <w:rsid w:val="009E6CB7"/>
    <w:rsid w:val="009E7970"/>
    <w:rsid w:val="009F2EAC"/>
    <w:rsid w:val="009F37F9"/>
    <w:rsid w:val="009F57E3"/>
    <w:rsid w:val="009F5BE3"/>
    <w:rsid w:val="00A04A59"/>
    <w:rsid w:val="00A10F4F"/>
    <w:rsid w:val="00A11067"/>
    <w:rsid w:val="00A11C60"/>
    <w:rsid w:val="00A16473"/>
    <w:rsid w:val="00A1704A"/>
    <w:rsid w:val="00A211AB"/>
    <w:rsid w:val="00A22372"/>
    <w:rsid w:val="00A412BB"/>
    <w:rsid w:val="00A425EB"/>
    <w:rsid w:val="00A666BB"/>
    <w:rsid w:val="00A72484"/>
    <w:rsid w:val="00A72F22"/>
    <w:rsid w:val="00A733BC"/>
    <w:rsid w:val="00A748A6"/>
    <w:rsid w:val="00A76A69"/>
    <w:rsid w:val="00A879A4"/>
    <w:rsid w:val="00AA0FF8"/>
    <w:rsid w:val="00AB4690"/>
    <w:rsid w:val="00AC0F2C"/>
    <w:rsid w:val="00AC502A"/>
    <w:rsid w:val="00AE2A18"/>
    <w:rsid w:val="00AF4EE1"/>
    <w:rsid w:val="00AF58C1"/>
    <w:rsid w:val="00AF6A76"/>
    <w:rsid w:val="00B04A3F"/>
    <w:rsid w:val="00B06643"/>
    <w:rsid w:val="00B15055"/>
    <w:rsid w:val="00B23842"/>
    <w:rsid w:val="00B30179"/>
    <w:rsid w:val="00B3388C"/>
    <w:rsid w:val="00B356DA"/>
    <w:rsid w:val="00B37B15"/>
    <w:rsid w:val="00B45C02"/>
    <w:rsid w:val="00B466BE"/>
    <w:rsid w:val="00B54421"/>
    <w:rsid w:val="00B555EC"/>
    <w:rsid w:val="00B64AD3"/>
    <w:rsid w:val="00B72A1E"/>
    <w:rsid w:val="00B81E12"/>
    <w:rsid w:val="00B978DD"/>
    <w:rsid w:val="00BA339B"/>
    <w:rsid w:val="00BB06C6"/>
    <w:rsid w:val="00BC0CF9"/>
    <w:rsid w:val="00BC1E7E"/>
    <w:rsid w:val="00BC2F36"/>
    <w:rsid w:val="00BC74E9"/>
    <w:rsid w:val="00BC7F91"/>
    <w:rsid w:val="00BD09E1"/>
    <w:rsid w:val="00BE09E2"/>
    <w:rsid w:val="00BE36A9"/>
    <w:rsid w:val="00BE618E"/>
    <w:rsid w:val="00BE633A"/>
    <w:rsid w:val="00BE7BEC"/>
    <w:rsid w:val="00BF0A5A"/>
    <w:rsid w:val="00BF0E63"/>
    <w:rsid w:val="00BF12A3"/>
    <w:rsid w:val="00BF16D7"/>
    <w:rsid w:val="00BF2373"/>
    <w:rsid w:val="00C044E2"/>
    <w:rsid w:val="00C048CB"/>
    <w:rsid w:val="00C066F3"/>
    <w:rsid w:val="00C211BA"/>
    <w:rsid w:val="00C243E5"/>
    <w:rsid w:val="00C33D43"/>
    <w:rsid w:val="00C463DD"/>
    <w:rsid w:val="00C53011"/>
    <w:rsid w:val="00C745C3"/>
    <w:rsid w:val="00C8022C"/>
    <w:rsid w:val="00C82C27"/>
    <w:rsid w:val="00CA24A4"/>
    <w:rsid w:val="00CA281F"/>
    <w:rsid w:val="00CB348D"/>
    <w:rsid w:val="00CC7288"/>
    <w:rsid w:val="00CD0FDF"/>
    <w:rsid w:val="00CD46F5"/>
    <w:rsid w:val="00CE4A8F"/>
    <w:rsid w:val="00CE6436"/>
    <w:rsid w:val="00CF071D"/>
    <w:rsid w:val="00CF53AD"/>
    <w:rsid w:val="00CF73DC"/>
    <w:rsid w:val="00D1386B"/>
    <w:rsid w:val="00D15B04"/>
    <w:rsid w:val="00D2031B"/>
    <w:rsid w:val="00D25FE2"/>
    <w:rsid w:val="00D3685B"/>
    <w:rsid w:val="00D37DA9"/>
    <w:rsid w:val="00D406A7"/>
    <w:rsid w:val="00D43252"/>
    <w:rsid w:val="00D44D86"/>
    <w:rsid w:val="00D50B7D"/>
    <w:rsid w:val="00D52012"/>
    <w:rsid w:val="00D704E5"/>
    <w:rsid w:val="00D72727"/>
    <w:rsid w:val="00D978C6"/>
    <w:rsid w:val="00DA0956"/>
    <w:rsid w:val="00DA357F"/>
    <w:rsid w:val="00DA3E12"/>
    <w:rsid w:val="00DB6643"/>
    <w:rsid w:val="00DC18AD"/>
    <w:rsid w:val="00DD454F"/>
    <w:rsid w:val="00DE5470"/>
    <w:rsid w:val="00DF312A"/>
    <w:rsid w:val="00DF7CAE"/>
    <w:rsid w:val="00E06195"/>
    <w:rsid w:val="00E10695"/>
    <w:rsid w:val="00E10926"/>
    <w:rsid w:val="00E23945"/>
    <w:rsid w:val="00E34CCE"/>
    <w:rsid w:val="00E36357"/>
    <w:rsid w:val="00E423C0"/>
    <w:rsid w:val="00E615BC"/>
    <w:rsid w:val="00E6414C"/>
    <w:rsid w:val="00E7260F"/>
    <w:rsid w:val="00E7541F"/>
    <w:rsid w:val="00E834E4"/>
    <w:rsid w:val="00E8702D"/>
    <w:rsid w:val="00E916A9"/>
    <w:rsid w:val="00E916DE"/>
    <w:rsid w:val="00E925AD"/>
    <w:rsid w:val="00E96630"/>
    <w:rsid w:val="00EA6F25"/>
    <w:rsid w:val="00EB1266"/>
    <w:rsid w:val="00EC49A2"/>
    <w:rsid w:val="00ED18DC"/>
    <w:rsid w:val="00ED6201"/>
    <w:rsid w:val="00ED7A2A"/>
    <w:rsid w:val="00EF1D7F"/>
    <w:rsid w:val="00EF37A5"/>
    <w:rsid w:val="00EF4735"/>
    <w:rsid w:val="00F0137E"/>
    <w:rsid w:val="00F21786"/>
    <w:rsid w:val="00F2454C"/>
    <w:rsid w:val="00F36A91"/>
    <w:rsid w:val="00F3742B"/>
    <w:rsid w:val="00F41FDB"/>
    <w:rsid w:val="00F468CB"/>
    <w:rsid w:val="00F507EC"/>
    <w:rsid w:val="00F56D63"/>
    <w:rsid w:val="00F609A9"/>
    <w:rsid w:val="00F77B83"/>
    <w:rsid w:val="00F80C99"/>
    <w:rsid w:val="00F839D5"/>
    <w:rsid w:val="00F867EC"/>
    <w:rsid w:val="00F91B2B"/>
    <w:rsid w:val="00F93359"/>
    <w:rsid w:val="00FB5362"/>
    <w:rsid w:val="00FC03CD"/>
    <w:rsid w:val="00FC03F5"/>
    <w:rsid w:val="00FC0646"/>
    <w:rsid w:val="00FC68B7"/>
    <w:rsid w:val="00FD64D5"/>
    <w:rsid w:val="00FE6985"/>
    <w:rsid w:val="00FF09BA"/>
    <w:rsid w:val="00FF10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16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B64AD3"/>
    <w:rPr>
      <w:lang w:eastAsia="en-US"/>
    </w:rPr>
  </w:style>
  <w:style w:type="character" w:customStyle="1" w:styleId="HChGChar">
    <w:name w:val="_ H _Ch_G Char"/>
    <w:link w:val="HChG"/>
    <w:rsid w:val="00890CD0"/>
    <w:rPr>
      <w:b/>
      <w:sz w:val="28"/>
      <w:lang w:eastAsia="en-US"/>
    </w:rPr>
  </w:style>
  <w:style w:type="character" w:styleId="CommentReference">
    <w:name w:val="annotation reference"/>
    <w:basedOn w:val="DefaultParagraphFont"/>
    <w:semiHidden/>
    <w:unhideWhenUsed/>
    <w:rsid w:val="0014590C"/>
    <w:rPr>
      <w:sz w:val="16"/>
      <w:szCs w:val="16"/>
    </w:rPr>
  </w:style>
  <w:style w:type="paragraph" w:styleId="CommentText">
    <w:name w:val="annotation text"/>
    <w:basedOn w:val="Normal"/>
    <w:link w:val="CommentTextChar"/>
    <w:semiHidden/>
    <w:unhideWhenUsed/>
    <w:rsid w:val="0014590C"/>
    <w:pPr>
      <w:spacing w:line="240" w:lineRule="auto"/>
    </w:pPr>
  </w:style>
  <w:style w:type="character" w:customStyle="1" w:styleId="CommentTextChar">
    <w:name w:val="Comment Text Char"/>
    <w:basedOn w:val="DefaultParagraphFont"/>
    <w:link w:val="CommentText"/>
    <w:semiHidden/>
    <w:rsid w:val="0014590C"/>
    <w:rPr>
      <w:lang w:eastAsia="en-US"/>
    </w:rPr>
  </w:style>
  <w:style w:type="paragraph" w:styleId="CommentSubject">
    <w:name w:val="annotation subject"/>
    <w:basedOn w:val="CommentText"/>
    <w:next w:val="CommentText"/>
    <w:link w:val="CommentSubjectChar"/>
    <w:semiHidden/>
    <w:unhideWhenUsed/>
    <w:rsid w:val="0014590C"/>
    <w:rPr>
      <w:b/>
      <w:bCs/>
    </w:rPr>
  </w:style>
  <w:style w:type="character" w:customStyle="1" w:styleId="CommentSubjectChar">
    <w:name w:val="Comment Subject Char"/>
    <w:basedOn w:val="CommentTextChar"/>
    <w:link w:val="CommentSubject"/>
    <w:semiHidden/>
    <w:rsid w:val="0014590C"/>
    <w:rPr>
      <w:b/>
      <w:bCs/>
      <w:lang w:eastAsia="en-US"/>
    </w:rPr>
  </w:style>
  <w:style w:type="character" w:styleId="Strong">
    <w:name w:val="Strong"/>
    <w:basedOn w:val="DefaultParagraphFont"/>
    <w:uiPriority w:val="22"/>
    <w:qFormat/>
    <w:rsid w:val="00DE54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B64AD3"/>
    <w:rPr>
      <w:lang w:eastAsia="en-US"/>
    </w:rPr>
  </w:style>
  <w:style w:type="character" w:customStyle="1" w:styleId="HChGChar">
    <w:name w:val="_ H _Ch_G Char"/>
    <w:link w:val="HChG"/>
    <w:rsid w:val="00890CD0"/>
    <w:rPr>
      <w:b/>
      <w:sz w:val="28"/>
      <w:lang w:eastAsia="en-US"/>
    </w:rPr>
  </w:style>
  <w:style w:type="character" w:styleId="CommentReference">
    <w:name w:val="annotation reference"/>
    <w:basedOn w:val="DefaultParagraphFont"/>
    <w:semiHidden/>
    <w:unhideWhenUsed/>
    <w:rsid w:val="0014590C"/>
    <w:rPr>
      <w:sz w:val="16"/>
      <w:szCs w:val="16"/>
    </w:rPr>
  </w:style>
  <w:style w:type="paragraph" w:styleId="CommentText">
    <w:name w:val="annotation text"/>
    <w:basedOn w:val="Normal"/>
    <w:link w:val="CommentTextChar"/>
    <w:semiHidden/>
    <w:unhideWhenUsed/>
    <w:rsid w:val="0014590C"/>
    <w:pPr>
      <w:spacing w:line="240" w:lineRule="auto"/>
    </w:pPr>
  </w:style>
  <w:style w:type="character" w:customStyle="1" w:styleId="CommentTextChar">
    <w:name w:val="Comment Text Char"/>
    <w:basedOn w:val="DefaultParagraphFont"/>
    <w:link w:val="CommentText"/>
    <w:semiHidden/>
    <w:rsid w:val="0014590C"/>
    <w:rPr>
      <w:lang w:eastAsia="en-US"/>
    </w:rPr>
  </w:style>
  <w:style w:type="paragraph" w:styleId="CommentSubject">
    <w:name w:val="annotation subject"/>
    <w:basedOn w:val="CommentText"/>
    <w:next w:val="CommentText"/>
    <w:link w:val="CommentSubjectChar"/>
    <w:semiHidden/>
    <w:unhideWhenUsed/>
    <w:rsid w:val="0014590C"/>
    <w:rPr>
      <w:b/>
      <w:bCs/>
    </w:rPr>
  </w:style>
  <w:style w:type="character" w:customStyle="1" w:styleId="CommentSubjectChar">
    <w:name w:val="Comment Subject Char"/>
    <w:basedOn w:val="CommentTextChar"/>
    <w:link w:val="CommentSubject"/>
    <w:semiHidden/>
    <w:rsid w:val="0014590C"/>
    <w:rPr>
      <w:b/>
      <w:bCs/>
      <w:lang w:eastAsia="en-US"/>
    </w:rPr>
  </w:style>
  <w:style w:type="character" w:styleId="Strong">
    <w:name w:val="Strong"/>
    <w:basedOn w:val="DefaultParagraphFont"/>
    <w:uiPriority w:val="22"/>
    <w:qFormat/>
    <w:rsid w:val="00DE5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8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rans/doc/2017/wp24/Schultz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D51F-862A-4D35-9C54-CB13E3E0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3</TotalTime>
  <Pages>7</Pages>
  <Words>2574</Words>
  <Characters>14726</Characters>
  <Application>Microsoft Office Word</Application>
  <DocSecurity>0</DocSecurity>
  <Lines>284</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6</cp:revision>
  <cp:lastPrinted>2017-12-08T13:47:00Z</cp:lastPrinted>
  <dcterms:created xsi:type="dcterms:W3CDTF">2017-12-12T14:33:00Z</dcterms:created>
  <dcterms:modified xsi:type="dcterms:W3CDTF">2017-12-12T14:35:00Z</dcterms:modified>
</cp:coreProperties>
</file>