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E510E9" w:rsidRPr="00E510E9" w:rsidTr="00B85B8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510E9" w:rsidRPr="00E510E9" w:rsidRDefault="00E510E9" w:rsidP="00E510E9">
            <w:pPr>
              <w:widowControl/>
              <w:pBdr>
                <w:bottom w:val="single" w:sz="4" w:space="4" w:color="auto"/>
              </w:pBdr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sz w:val="24"/>
                <w:szCs w:val="24"/>
                <w:lang w:val="en-GB" w:eastAsia="en-US"/>
              </w:rPr>
            </w:pPr>
          </w:p>
          <w:p w:rsidR="00E510E9" w:rsidRPr="00E510E9" w:rsidRDefault="00E510E9" w:rsidP="00E510E9">
            <w:pPr>
              <w:widowControl/>
              <w:pBdr>
                <w:bottom w:val="single" w:sz="4" w:space="4" w:color="auto"/>
              </w:pBdr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sz w:val="24"/>
                <w:szCs w:val="24"/>
                <w:lang w:val="en-GB" w:eastAsia="en-US"/>
              </w:rPr>
            </w:pPr>
          </w:p>
          <w:p w:rsidR="00E510E9" w:rsidRPr="00E510E9" w:rsidRDefault="00E510E9" w:rsidP="00E510E9">
            <w:pPr>
              <w:widowControl/>
              <w:pBdr>
                <w:bottom w:val="single" w:sz="4" w:space="4" w:color="auto"/>
              </w:pBdr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sz w:val="24"/>
                <w:szCs w:val="24"/>
                <w:lang w:val="en-GB" w:eastAsia="en-US"/>
              </w:rPr>
            </w:pPr>
          </w:p>
          <w:p w:rsidR="00E510E9" w:rsidRPr="00E510E9" w:rsidRDefault="00E510E9" w:rsidP="00E510E9">
            <w:pPr>
              <w:widowControl/>
              <w:pBdr>
                <w:bottom w:val="single" w:sz="4" w:space="4" w:color="auto"/>
              </w:pBdr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sz w:val="24"/>
                <w:szCs w:val="24"/>
                <w:lang w:val="en-GB" w:eastAsia="en-US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E510E9" w:rsidRPr="00E510E9" w:rsidRDefault="00E510E9" w:rsidP="00E510E9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6662" w:firstLine="0"/>
              <w:jc w:val="left"/>
              <w:textAlignment w:val="auto"/>
              <w:rPr>
                <w:sz w:val="24"/>
                <w:szCs w:val="24"/>
                <w:lang w:val="en-GB" w:eastAsia="en-US"/>
              </w:rPr>
            </w:pPr>
            <w:r w:rsidRPr="00E510E9">
              <w:rPr>
                <w:b/>
                <w:sz w:val="40"/>
                <w:szCs w:val="40"/>
                <w:lang w:val="en-GB" w:eastAsia="en-US"/>
              </w:rPr>
              <w:t>INF.14</w:t>
            </w:r>
          </w:p>
        </w:tc>
      </w:tr>
      <w:tr w:rsidR="00E510E9" w:rsidRPr="00E510E9" w:rsidTr="00B85B8E">
        <w:trPr>
          <w:cantSplit/>
          <w:trHeight w:hRule="exact" w:val="383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510E9" w:rsidRPr="00E510E9" w:rsidRDefault="00E510E9" w:rsidP="00E510E9">
            <w:pPr>
              <w:widowControl/>
              <w:suppressAutoHyphens/>
              <w:overflowPunct/>
              <w:autoSpaceDE/>
              <w:autoSpaceDN/>
              <w:adjustRightInd/>
              <w:spacing w:before="120" w:line="240" w:lineRule="atLeast"/>
              <w:ind w:left="0" w:firstLine="0"/>
              <w:jc w:val="left"/>
              <w:textAlignment w:val="auto"/>
              <w:rPr>
                <w:b/>
                <w:sz w:val="28"/>
                <w:szCs w:val="28"/>
                <w:lang w:val="fr-FR" w:eastAsia="en-US"/>
              </w:rPr>
            </w:pPr>
            <w:r w:rsidRPr="00E510E9">
              <w:rPr>
                <w:b/>
                <w:sz w:val="28"/>
                <w:szCs w:val="28"/>
                <w:lang w:val="fr-FR" w:eastAsia="en-US"/>
              </w:rPr>
              <w:t>Commission économique pour l’Europe</w:t>
            </w:r>
          </w:p>
          <w:p w:rsidR="00E510E9" w:rsidRPr="00E510E9" w:rsidRDefault="00E510E9" w:rsidP="00E510E9">
            <w:pPr>
              <w:widowControl/>
              <w:suppressAutoHyphens/>
              <w:overflowPunct/>
              <w:autoSpaceDE/>
              <w:autoSpaceDN/>
              <w:adjustRightInd/>
              <w:spacing w:before="120" w:line="240" w:lineRule="atLeast"/>
              <w:ind w:left="0" w:firstLine="0"/>
              <w:jc w:val="left"/>
              <w:textAlignment w:val="auto"/>
              <w:rPr>
                <w:sz w:val="28"/>
                <w:szCs w:val="28"/>
                <w:lang w:val="fr-FR" w:eastAsia="en-US"/>
              </w:rPr>
            </w:pPr>
            <w:r w:rsidRPr="00E510E9">
              <w:rPr>
                <w:sz w:val="28"/>
                <w:szCs w:val="28"/>
                <w:lang w:val="fr-FR" w:eastAsia="en-US"/>
              </w:rPr>
              <w:t>Comité des transports intérieurs</w:t>
            </w:r>
          </w:p>
          <w:p w:rsidR="00E510E9" w:rsidRPr="00E510E9" w:rsidRDefault="00E510E9" w:rsidP="00E510E9">
            <w:pPr>
              <w:widowControl/>
              <w:suppressAutoHyphens/>
              <w:overflowPunct/>
              <w:autoSpaceDE/>
              <w:autoSpaceDN/>
              <w:adjustRightInd/>
              <w:spacing w:before="120" w:line="240" w:lineRule="atLeast"/>
              <w:ind w:left="0" w:firstLine="0"/>
              <w:jc w:val="left"/>
              <w:textAlignment w:val="auto"/>
              <w:rPr>
                <w:b/>
                <w:sz w:val="24"/>
                <w:szCs w:val="24"/>
                <w:lang w:val="fr-FR" w:eastAsia="en-US"/>
              </w:rPr>
            </w:pPr>
            <w:r w:rsidRPr="00E510E9">
              <w:rPr>
                <w:b/>
                <w:sz w:val="24"/>
                <w:szCs w:val="24"/>
                <w:lang w:val="fr-FR" w:eastAsia="en-US"/>
              </w:rPr>
              <w:t>Groupe de travail des transports de marchandises dangereuses</w:t>
            </w:r>
          </w:p>
          <w:p w:rsidR="00E510E9" w:rsidRPr="00E510E9" w:rsidRDefault="00E510E9" w:rsidP="00E510E9">
            <w:pPr>
              <w:widowControl/>
              <w:suppressAutoHyphens/>
              <w:overflowPunct/>
              <w:autoSpaceDE/>
              <w:autoSpaceDN/>
              <w:adjustRightInd/>
              <w:spacing w:before="120" w:line="240" w:lineRule="atLeast"/>
              <w:ind w:left="0" w:firstLine="0"/>
              <w:jc w:val="left"/>
              <w:textAlignment w:val="auto"/>
              <w:rPr>
                <w:b/>
                <w:lang w:val="fr-FR" w:eastAsia="en-US"/>
              </w:rPr>
            </w:pPr>
            <w:r w:rsidRPr="00E510E9">
              <w:rPr>
                <w:b/>
                <w:lang w:val="fr-FR" w:eastAsia="en-US"/>
              </w:rPr>
              <w:t>Réunion commune d’experts sur le Règlement annexé</w:t>
            </w:r>
            <w:r w:rsidRPr="00E510E9">
              <w:rPr>
                <w:b/>
                <w:lang w:val="fr-FR" w:eastAsia="en-US"/>
              </w:rPr>
              <w:br/>
              <w:t>à l’Accord européen relatif au transport international</w:t>
            </w:r>
            <w:r w:rsidRPr="00E510E9">
              <w:rPr>
                <w:b/>
                <w:lang w:val="fr-FR" w:eastAsia="en-US"/>
              </w:rPr>
              <w:br/>
              <w:t xml:space="preserve">des marchandises </w:t>
            </w:r>
            <w:r w:rsidRPr="00E510E9">
              <w:rPr>
                <w:b/>
                <w:bCs/>
                <w:iCs/>
                <w:lang w:val="fr-FR" w:eastAsia="en-US"/>
              </w:rPr>
              <w:t>dangereuses par voies de navigation</w:t>
            </w:r>
            <w:r w:rsidRPr="00E510E9">
              <w:rPr>
                <w:b/>
                <w:bCs/>
                <w:iCs/>
                <w:lang w:val="fr-FR" w:eastAsia="en-US"/>
              </w:rPr>
              <w:br/>
              <w:t xml:space="preserve">intérieures (ADN) </w:t>
            </w:r>
            <w:r w:rsidRPr="00E510E9">
              <w:rPr>
                <w:b/>
                <w:bCs/>
                <w:lang w:val="fr-FR" w:eastAsia="en-US"/>
              </w:rPr>
              <w:t>(Comité de sécurité de l’ADN)</w:t>
            </w:r>
          </w:p>
          <w:p w:rsidR="00E510E9" w:rsidRPr="00E510E9" w:rsidRDefault="00E510E9" w:rsidP="00E510E9">
            <w:pPr>
              <w:widowControl/>
              <w:suppressAutoHyphens/>
              <w:overflowPunct/>
              <w:autoSpaceDE/>
              <w:autoSpaceDN/>
              <w:adjustRightInd/>
              <w:spacing w:before="120" w:line="240" w:lineRule="atLeast"/>
              <w:ind w:left="0" w:firstLine="0"/>
              <w:jc w:val="left"/>
              <w:textAlignment w:val="auto"/>
              <w:rPr>
                <w:b/>
                <w:lang w:val="fr-CH" w:eastAsia="en-US"/>
              </w:rPr>
            </w:pPr>
            <w:r w:rsidRPr="00E510E9">
              <w:rPr>
                <w:b/>
                <w:lang w:val="fr-CH" w:eastAsia="en-US"/>
              </w:rPr>
              <w:t>Trente-deuxième session</w:t>
            </w:r>
          </w:p>
          <w:p w:rsidR="00E510E9" w:rsidRPr="00E510E9" w:rsidRDefault="00E510E9" w:rsidP="00E510E9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lang w:val="fr-CH" w:eastAsia="en-US"/>
              </w:rPr>
            </w:pPr>
            <w:r w:rsidRPr="00E510E9">
              <w:rPr>
                <w:lang w:val="fr-CH" w:eastAsia="en-US"/>
              </w:rPr>
              <w:t>Genève, 22-26 janvier 2018</w:t>
            </w:r>
          </w:p>
          <w:p w:rsidR="00E510E9" w:rsidRPr="00E510E9" w:rsidRDefault="00E510E9" w:rsidP="00E510E9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lang w:val="fr-CH" w:eastAsia="en-US"/>
              </w:rPr>
            </w:pPr>
            <w:r w:rsidRPr="00E510E9">
              <w:rPr>
                <w:lang w:val="fr-CH" w:eastAsia="en-US"/>
              </w:rPr>
              <w:t>Point 5 b) de l’ordre du jour provisoire</w:t>
            </w:r>
          </w:p>
          <w:p w:rsidR="00E510E9" w:rsidRPr="00E510E9" w:rsidRDefault="00E510E9" w:rsidP="00E510E9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/>
                <w:lang w:val="fr-FR" w:eastAsia="en-US"/>
              </w:rPr>
            </w:pPr>
            <w:r w:rsidRPr="00E510E9">
              <w:rPr>
                <w:b/>
                <w:lang w:val="fr-FR" w:eastAsia="en-US"/>
              </w:rPr>
              <w:t>Propositions d'amendements au Règlement annexé à l'ADN :</w:t>
            </w:r>
          </w:p>
          <w:p w:rsidR="00E510E9" w:rsidRPr="00E510E9" w:rsidRDefault="00E510E9" w:rsidP="00E510E9">
            <w:pPr>
              <w:widowControl/>
              <w:suppressAutoHyphens/>
              <w:overflowPunct/>
              <w:autoSpaceDE/>
              <w:autoSpaceDN/>
              <w:adjustRightInd/>
              <w:spacing w:line="240" w:lineRule="atLeast"/>
              <w:ind w:left="0" w:firstLine="0"/>
              <w:jc w:val="left"/>
              <w:textAlignment w:val="auto"/>
              <w:rPr>
                <w:b/>
                <w:lang w:val="en-GB" w:eastAsia="en-US"/>
              </w:rPr>
            </w:pPr>
            <w:proofErr w:type="gramStart"/>
            <w:r w:rsidRPr="00E510E9">
              <w:rPr>
                <w:b/>
                <w:lang w:val="fr-FR" w:eastAsia="en-US"/>
              </w:rPr>
              <w:t>autres</w:t>
            </w:r>
            <w:proofErr w:type="gramEnd"/>
            <w:r w:rsidRPr="00E510E9">
              <w:rPr>
                <w:b/>
                <w:lang w:val="fr-FR" w:eastAsia="en-US"/>
              </w:rPr>
              <w:t xml:space="preserve"> propositions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510E9" w:rsidRPr="00E510E9" w:rsidRDefault="00E510E9" w:rsidP="00E510E9">
            <w:pPr>
              <w:widowControl/>
              <w:suppressAutoHyphens/>
              <w:overflowPunct/>
              <w:autoSpaceDE/>
              <w:autoSpaceDN/>
              <w:adjustRightInd/>
              <w:spacing w:before="120" w:line="240" w:lineRule="atLeast"/>
              <w:ind w:left="0" w:firstLine="0"/>
              <w:jc w:val="left"/>
              <w:textAlignment w:val="auto"/>
              <w:rPr>
                <w:lang w:val="en-GB" w:eastAsia="en-US"/>
              </w:rPr>
            </w:pPr>
          </w:p>
          <w:p w:rsidR="00E510E9" w:rsidRPr="00E510E9" w:rsidRDefault="00E510E9" w:rsidP="00E510E9">
            <w:pPr>
              <w:widowControl/>
              <w:suppressAutoHyphens/>
              <w:overflowPunct/>
              <w:autoSpaceDE/>
              <w:autoSpaceDN/>
              <w:adjustRightInd/>
              <w:spacing w:before="120" w:line="240" w:lineRule="atLeast"/>
              <w:ind w:left="0" w:firstLine="0"/>
              <w:jc w:val="left"/>
              <w:textAlignment w:val="auto"/>
              <w:rPr>
                <w:bCs/>
                <w:lang w:val="en-GB" w:eastAsia="en-US"/>
              </w:rPr>
            </w:pPr>
            <w:r w:rsidRPr="00E510E9">
              <w:rPr>
                <w:bCs/>
                <w:lang w:val="en-GB" w:eastAsia="en-US"/>
              </w:rPr>
              <w:t xml:space="preserve">12 </w:t>
            </w:r>
            <w:proofErr w:type="spellStart"/>
            <w:r>
              <w:rPr>
                <w:bCs/>
                <w:lang w:val="en-GB" w:eastAsia="en-US"/>
              </w:rPr>
              <w:t>janvier</w:t>
            </w:r>
            <w:proofErr w:type="spellEnd"/>
            <w:r w:rsidRPr="00E510E9">
              <w:rPr>
                <w:bCs/>
                <w:lang w:val="en-GB" w:eastAsia="en-US"/>
              </w:rPr>
              <w:t xml:space="preserve"> 2018</w:t>
            </w:r>
          </w:p>
          <w:p w:rsidR="00E510E9" w:rsidRPr="00E510E9" w:rsidRDefault="00E510E9" w:rsidP="00E510E9">
            <w:pPr>
              <w:widowControl/>
              <w:suppressAutoHyphens/>
              <w:overflowPunct/>
              <w:autoSpaceDE/>
              <w:autoSpaceDN/>
              <w:adjustRightInd/>
              <w:spacing w:before="120" w:line="240" w:lineRule="atLeast"/>
              <w:ind w:left="0" w:firstLine="0"/>
              <w:jc w:val="left"/>
              <w:textAlignment w:val="auto"/>
              <w:rPr>
                <w:bCs/>
                <w:lang w:val="en-GB" w:eastAsia="en-US"/>
              </w:rPr>
            </w:pPr>
            <w:proofErr w:type="spellStart"/>
            <w:r>
              <w:rPr>
                <w:bCs/>
                <w:lang w:val="en-GB" w:eastAsia="en-US"/>
              </w:rPr>
              <w:t>Français</w:t>
            </w:r>
            <w:proofErr w:type="spellEnd"/>
          </w:p>
        </w:tc>
      </w:tr>
    </w:tbl>
    <w:p w:rsidR="0080725B" w:rsidRPr="000C4CD0" w:rsidRDefault="00AE33A1" w:rsidP="00AE33A1">
      <w:pPr>
        <w:pStyle w:val="HChG"/>
        <w:rPr>
          <w:rFonts w:ascii="Times New Roman Gras" w:eastAsia="Calibri" w:hAnsi="Times New Roman Gras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80725B" w:rsidRPr="000C4CD0">
        <w:rPr>
          <w:rFonts w:eastAsia="Calibri"/>
        </w:rPr>
        <w:t xml:space="preserve">Mise en œuvre du concept modifié pour la protection contre les explosions à bord de bateaux de la navigation intérieure - </w:t>
      </w:r>
      <w:r w:rsidR="0080725B" w:rsidRPr="000C4CD0">
        <w:rPr>
          <w:rFonts w:ascii="Times New Roman Gras" w:eastAsia="Calibri" w:hAnsi="Times New Roman Gras"/>
        </w:rPr>
        <w:t>Complément</w:t>
      </w:r>
    </w:p>
    <w:p w:rsidR="0080725B" w:rsidRPr="000C4CD0" w:rsidRDefault="00AE33A1" w:rsidP="00AE33A1">
      <w:pPr>
        <w:pStyle w:val="H1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80725B" w:rsidRPr="000C4CD0">
        <w:rPr>
          <w:snapToGrid w:val="0"/>
        </w:rPr>
        <w:t>Communication du Gouvernement de l’Allemagne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309"/>
      </w:tblGrid>
      <w:tr w:rsidR="00FF3208" w:rsidRPr="000C4CD0" w:rsidTr="004C76DA">
        <w:trPr>
          <w:jc w:val="center"/>
        </w:trPr>
        <w:tc>
          <w:tcPr>
            <w:tcW w:w="2330" w:type="dxa"/>
          </w:tcPr>
          <w:p w:rsidR="00FF3208" w:rsidRPr="000C4CD0" w:rsidRDefault="0080725B" w:rsidP="004C76DA">
            <w:pPr>
              <w:tabs>
                <w:tab w:val="left" w:pos="284"/>
              </w:tabs>
              <w:spacing w:before="120" w:after="120"/>
              <w:rPr>
                <w:i/>
                <w:lang w:val="fr-FR"/>
              </w:rPr>
            </w:pPr>
            <w:r w:rsidRPr="000C4CD0">
              <w:rPr>
                <w:rFonts w:eastAsia="Arial"/>
                <w:i/>
                <w:lang w:val="fr-FR"/>
              </w:rPr>
              <w:t>Résumé</w:t>
            </w:r>
          </w:p>
        </w:tc>
        <w:tc>
          <w:tcPr>
            <w:tcW w:w="7309" w:type="dxa"/>
          </w:tcPr>
          <w:p w:rsidR="00FF3208" w:rsidRPr="000C4CD0" w:rsidRDefault="00FF3208" w:rsidP="004C76DA">
            <w:pPr>
              <w:spacing w:before="120" w:after="120"/>
              <w:rPr>
                <w:lang w:val="fr-FR"/>
              </w:rPr>
            </w:pPr>
          </w:p>
        </w:tc>
      </w:tr>
      <w:tr w:rsidR="00FF3208" w:rsidRPr="00113F54" w:rsidTr="004C76DA">
        <w:trPr>
          <w:jc w:val="center"/>
        </w:trPr>
        <w:tc>
          <w:tcPr>
            <w:tcW w:w="2330" w:type="dxa"/>
            <w:tcBorders>
              <w:bottom w:val="single" w:sz="4" w:space="0" w:color="auto"/>
            </w:tcBorders>
          </w:tcPr>
          <w:p w:rsidR="00FF3208" w:rsidRPr="000C4CD0" w:rsidRDefault="0080725B" w:rsidP="004C76DA">
            <w:pPr>
              <w:tabs>
                <w:tab w:val="left" w:pos="284"/>
              </w:tabs>
              <w:spacing w:before="120" w:after="120"/>
              <w:jc w:val="left"/>
              <w:rPr>
                <w:b/>
                <w:lang w:val="fr-FR"/>
              </w:rPr>
            </w:pPr>
            <w:r w:rsidRPr="000C4CD0">
              <w:rPr>
                <w:b/>
                <w:lang w:val="fr-FR"/>
              </w:rPr>
              <w:t xml:space="preserve">Résumé analytique </w:t>
            </w:r>
            <w:r w:rsidR="00FF3208" w:rsidRPr="000C4CD0">
              <w:rPr>
                <w:b/>
                <w:lang w:val="fr-FR"/>
              </w:rPr>
              <w:t>:</w:t>
            </w:r>
          </w:p>
        </w:tc>
        <w:tc>
          <w:tcPr>
            <w:tcW w:w="7309" w:type="dxa"/>
            <w:tcBorders>
              <w:bottom w:val="single" w:sz="4" w:space="0" w:color="auto"/>
            </w:tcBorders>
          </w:tcPr>
          <w:p w:rsidR="00FF3208" w:rsidRPr="000C4CD0" w:rsidRDefault="00FF3208" w:rsidP="004C76DA">
            <w:pPr>
              <w:spacing w:before="120" w:after="120"/>
              <w:ind w:left="11" w:firstLine="0"/>
              <w:rPr>
                <w:rFonts w:cs="Arial"/>
                <w:lang w:val="fr-FR"/>
              </w:rPr>
            </w:pPr>
            <w:r w:rsidRPr="000C4CD0">
              <w:rPr>
                <w:rFonts w:cs="Arial"/>
                <w:lang w:val="fr-FR"/>
              </w:rPr>
              <w:t xml:space="preserve">Lors de l'examen des documents de réunion sur la protection contre </w:t>
            </w:r>
            <w:proofErr w:type="gramStart"/>
            <w:r w:rsidRPr="000C4CD0">
              <w:rPr>
                <w:rFonts w:cs="Arial"/>
                <w:lang w:val="fr-FR"/>
              </w:rPr>
              <w:t>les explosions publiés</w:t>
            </w:r>
            <w:proofErr w:type="gramEnd"/>
            <w:r w:rsidRPr="000C4CD0">
              <w:rPr>
                <w:rFonts w:cs="Arial"/>
                <w:lang w:val="fr-FR"/>
              </w:rPr>
              <w:t xml:space="preserve"> en novembre, quelques lacunes rédactionnelles et de fond ont été relevées dans les amendements discutés lors des réunions précédentes, dont certaines pourraient avoir un impact négatif sur le niveau de protection.</w:t>
            </w:r>
          </w:p>
        </w:tc>
      </w:tr>
      <w:tr w:rsidR="00FF3208" w:rsidRPr="00113F54" w:rsidTr="004C76DA">
        <w:trPr>
          <w:jc w:val="center"/>
        </w:trPr>
        <w:tc>
          <w:tcPr>
            <w:tcW w:w="2330" w:type="dxa"/>
            <w:tcBorders>
              <w:bottom w:val="single" w:sz="4" w:space="0" w:color="auto"/>
            </w:tcBorders>
          </w:tcPr>
          <w:p w:rsidR="00FF3208" w:rsidRPr="000C4CD0" w:rsidRDefault="0080725B" w:rsidP="004C76DA">
            <w:pPr>
              <w:spacing w:before="120" w:after="120"/>
              <w:ind w:left="0" w:firstLine="0"/>
              <w:jc w:val="left"/>
              <w:rPr>
                <w:b/>
                <w:lang w:val="fr-FR"/>
              </w:rPr>
            </w:pPr>
            <w:r w:rsidRPr="000C4CD0">
              <w:rPr>
                <w:b/>
                <w:lang w:val="fr-FR"/>
              </w:rPr>
              <w:t xml:space="preserve">Mesures à prendre </w:t>
            </w:r>
            <w:r w:rsidR="00FF3208" w:rsidRPr="000C4CD0">
              <w:rPr>
                <w:b/>
                <w:lang w:val="fr-FR"/>
              </w:rPr>
              <w:t>:</w:t>
            </w:r>
          </w:p>
        </w:tc>
        <w:tc>
          <w:tcPr>
            <w:tcW w:w="7309" w:type="dxa"/>
            <w:tcBorders>
              <w:bottom w:val="single" w:sz="4" w:space="0" w:color="auto"/>
            </w:tcBorders>
          </w:tcPr>
          <w:p w:rsidR="00FF3208" w:rsidRPr="000C4CD0" w:rsidRDefault="00FF3208" w:rsidP="004C76DA">
            <w:pPr>
              <w:spacing w:before="120" w:after="120"/>
              <w:ind w:left="11" w:firstLine="0"/>
              <w:rPr>
                <w:rFonts w:cs="Arial"/>
                <w:lang w:val="fr-FR"/>
              </w:rPr>
            </w:pPr>
            <w:r w:rsidRPr="000C4CD0">
              <w:rPr>
                <w:rFonts w:cs="Arial"/>
                <w:lang w:val="fr-FR"/>
              </w:rPr>
              <w:t>Révision des différentes propositions de modifications.</w:t>
            </w:r>
          </w:p>
        </w:tc>
      </w:tr>
      <w:tr w:rsidR="00FF3208" w:rsidRPr="00113F54" w:rsidTr="004C76DA">
        <w:trPr>
          <w:jc w:val="center"/>
        </w:trPr>
        <w:tc>
          <w:tcPr>
            <w:tcW w:w="2330" w:type="dxa"/>
            <w:tcBorders>
              <w:top w:val="single" w:sz="4" w:space="0" w:color="auto"/>
            </w:tcBorders>
          </w:tcPr>
          <w:p w:rsidR="00FF3208" w:rsidRPr="000C4CD0" w:rsidRDefault="0080725B" w:rsidP="0080725B">
            <w:pPr>
              <w:tabs>
                <w:tab w:val="left" w:pos="284"/>
              </w:tabs>
              <w:jc w:val="left"/>
              <w:rPr>
                <w:b/>
                <w:lang w:val="fr-FR"/>
              </w:rPr>
            </w:pPr>
            <w:r w:rsidRPr="000C4CD0">
              <w:rPr>
                <w:b/>
                <w:lang w:val="fr-FR"/>
              </w:rPr>
              <w:t xml:space="preserve">Documents connexes </w:t>
            </w:r>
            <w:r w:rsidR="00FF3208" w:rsidRPr="000C4CD0">
              <w:rPr>
                <w:b/>
                <w:lang w:val="fr-FR"/>
              </w:rPr>
              <w:t>:</w:t>
            </w:r>
          </w:p>
        </w:tc>
        <w:tc>
          <w:tcPr>
            <w:tcW w:w="7309" w:type="dxa"/>
            <w:tcBorders>
              <w:top w:val="single" w:sz="4" w:space="0" w:color="auto"/>
            </w:tcBorders>
          </w:tcPr>
          <w:p w:rsidR="00FF3208" w:rsidRPr="000C4CD0" w:rsidRDefault="00FF3208" w:rsidP="004C76DA">
            <w:pPr>
              <w:ind w:left="0" w:firstLine="0"/>
              <w:jc w:val="left"/>
              <w:rPr>
                <w:rFonts w:cs="Arial"/>
                <w:lang w:val="fr-FR"/>
              </w:rPr>
            </w:pPr>
            <w:r w:rsidRPr="000C4CD0">
              <w:rPr>
                <w:rFonts w:cs="Arial"/>
                <w:lang w:val="fr-FR"/>
              </w:rPr>
              <w:t>CCNR-ZKR/ADN/WP.15/AC.2/2018/11</w:t>
            </w:r>
          </w:p>
        </w:tc>
      </w:tr>
    </w:tbl>
    <w:p w:rsidR="00FF3208" w:rsidRPr="000C4CD0" w:rsidRDefault="001C67C4" w:rsidP="001C67C4">
      <w:pPr>
        <w:pStyle w:val="HChG"/>
      </w:pPr>
      <w:r>
        <w:tab/>
      </w:r>
      <w:r w:rsidR="00FF3208" w:rsidRPr="000C4CD0">
        <w:t>I.</w:t>
      </w:r>
      <w:r w:rsidR="00FF3208" w:rsidRPr="000C4CD0">
        <w:tab/>
        <w:t>Demandes et motifs</w:t>
      </w:r>
    </w:p>
    <w:p w:rsidR="00FF3208" w:rsidRPr="000C4CD0" w:rsidRDefault="00FF3208" w:rsidP="001C67C4">
      <w:pPr>
        <w:pStyle w:val="SingleTxtG"/>
        <w:tabs>
          <w:tab w:val="left" w:pos="1701"/>
        </w:tabs>
      </w:pPr>
      <w:r w:rsidRPr="000C4CD0">
        <w:t>1.</w:t>
      </w:r>
      <w:r w:rsidRPr="000C4CD0">
        <w:tab/>
      </w:r>
      <w:proofErr w:type="spellStart"/>
      <w:r w:rsidR="009368FE" w:rsidRPr="000C4CD0">
        <w:t>Remplacer</w:t>
      </w:r>
      <w:proofErr w:type="spellEnd"/>
      <w:r w:rsidR="009368FE" w:rsidRPr="000C4CD0">
        <w:t xml:space="preserve"> la modification </w:t>
      </w:r>
      <w:r w:rsidR="000C4CD0">
        <w:t>de</w:t>
      </w:r>
      <w:r w:rsidR="009368FE" w:rsidRPr="000C4CD0">
        <w:t xml:space="preserve"> la section 1.2.1 </w:t>
      </w:r>
      <w:proofErr w:type="spellStart"/>
      <w:r w:rsidR="009368FE" w:rsidRPr="000C4CD0">
        <w:t>Définition</w:t>
      </w:r>
      <w:proofErr w:type="spellEnd"/>
      <w:r w:rsidR="009368FE" w:rsidRPr="000C4CD0">
        <w:t xml:space="preserve"> de « </w:t>
      </w:r>
      <w:r w:rsidR="00574986" w:rsidRPr="000C4CD0">
        <w:rPr>
          <w:i/>
        </w:rPr>
        <w:t>G</w:t>
      </w:r>
      <w:r w:rsidR="009368FE" w:rsidRPr="000C4CD0">
        <w:rPr>
          <w:i/>
        </w:rPr>
        <w:t>ants de protection</w:t>
      </w:r>
      <w:r w:rsidR="009368FE" w:rsidRPr="000C4CD0">
        <w:t xml:space="preserve"> » </w:t>
      </w:r>
      <w:proofErr w:type="gramStart"/>
      <w:r w:rsidR="009368FE" w:rsidRPr="000C4CD0">
        <w:t xml:space="preserve">par </w:t>
      </w:r>
      <w:r w:rsidRPr="000C4CD0">
        <w:t>:</w:t>
      </w:r>
      <w:proofErr w:type="gramEnd"/>
    </w:p>
    <w:p w:rsidR="00B3234B" w:rsidRPr="000C4CD0" w:rsidRDefault="00B3234B" w:rsidP="001C67C4">
      <w:pPr>
        <w:pStyle w:val="SingleTxtG"/>
        <w:ind w:left="1701"/>
        <w:rPr>
          <w:b/>
          <w:i/>
        </w:rPr>
      </w:pPr>
      <w:r w:rsidRPr="000C4CD0">
        <w:t>« 1.2.1</w:t>
      </w:r>
      <w:r w:rsidRPr="000C4CD0">
        <w:tab/>
        <w:t xml:space="preserve">Modifier la </w:t>
      </w:r>
      <w:proofErr w:type="spellStart"/>
      <w:r w:rsidRPr="000C4CD0">
        <w:t>définition</w:t>
      </w:r>
      <w:proofErr w:type="spellEnd"/>
      <w:r w:rsidRPr="000C4CD0">
        <w:t xml:space="preserve"> de « </w:t>
      </w:r>
      <w:r w:rsidRPr="000C4CD0">
        <w:rPr>
          <w:i/>
        </w:rPr>
        <w:t>Gants de protection</w:t>
      </w:r>
      <w:r w:rsidRPr="000C4CD0">
        <w:t xml:space="preserve">» pour lire </w:t>
      </w:r>
      <w:proofErr w:type="spellStart"/>
      <w:r w:rsidRPr="000C4CD0">
        <w:t>comme</w:t>
      </w:r>
      <w:proofErr w:type="spellEnd"/>
      <w:r w:rsidRPr="000C4CD0">
        <w:t xml:space="preserve"> </w:t>
      </w:r>
      <w:proofErr w:type="gramStart"/>
      <w:r w:rsidRPr="000C4CD0">
        <w:t>suit :</w:t>
      </w:r>
      <w:proofErr w:type="gramEnd"/>
    </w:p>
    <w:p w:rsidR="001C67C4" w:rsidRDefault="00B3234B" w:rsidP="001C67C4">
      <w:pPr>
        <w:pStyle w:val="SingleTxtG"/>
        <w:spacing w:after="0"/>
        <w:ind w:left="1701"/>
      </w:pPr>
      <w:r w:rsidRPr="000C4CD0">
        <w:t>« </w:t>
      </w:r>
      <w:r w:rsidRPr="001C67C4">
        <w:rPr>
          <w:i/>
          <w:iCs/>
        </w:rPr>
        <w:t>Gants de protection</w:t>
      </w:r>
      <w:r w:rsidRPr="000C4CD0">
        <w:t>:</w:t>
      </w:r>
      <w:r w:rsidR="001C67C4">
        <w:t xml:space="preserve"> </w:t>
      </w:r>
    </w:p>
    <w:p w:rsidR="0023023E" w:rsidRPr="000C4CD0" w:rsidRDefault="00B3234B" w:rsidP="001C67C4">
      <w:pPr>
        <w:pStyle w:val="SingleTxtG"/>
        <w:ind w:left="1701"/>
        <w:rPr>
          <w:rFonts w:eastAsia="Calibri"/>
          <w:spacing w:val="4"/>
          <w:w w:val="103"/>
          <w:kern w:val="14"/>
        </w:rPr>
      </w:pPr>
      <w:r w:rsidRPr="000C4CD0">
        <w:t xml:space="preserve">des </w:t>
      </w:r>
      <w:proofErr w:type="spellStart"/>
      <w:r w:rsidRPr="000C4CD0">
        <w:t>gants</w:t>
      </w:r>
      <w:proofErr w:type="spellEnd"/>
      <w:r w:rsidRPr="000C4CD0">
        <w:t xml:space="preserve"> qui </w:t>
      </w:r>
      <w:proofErr w:type="spellStart"/>
      <w:r w:rsidRPr="000C4CD0">
        <w:t>protègent</w:t>
      </w:r>
      <w:proofErr w:type="spellEnd"/>
      <w:r w:rsidRPr="000C4CD0">
        <w:t xml:space="preserve"> les mains du </w:t>
      </w:r>
      <w:proofErr w:type="spellStart"/>
      <w:r w:rsidRPr="000C4CD0">
        <w:t>porteur</w:t>
      </w:r>
      <w:proofErr w:type="spellEnd"/>
      <w:r w:rsidRPr="000C4CD0">
        <w:t xml:space="preserve"> </w:t>
      </w:r>
      <w:proofErr w:type="spellStart"/>
      <w:r w:rsidRPr="000C4CD0">
        <w:t>lors</w:t>
      </w:r>
      <w:proofErr w:type="spellEnd"/>
      <w:r w:rsidRPr="000C4CD0">
        <w:t xml:space="preserve"> de </w:t>
      </w:r>
      <w:proofErr w:type="spellStart"/>
      <w:r w:rsidRPr="000C4CD0">
        <w:t>travaux</w:t>
      </w:r>
      <w:proofErr w:type="spellEnd"/>
      <w:r w:rsidRPr="000C4CD0">
        <w:t xml:space="preserve"> </w:t>
      </w:r>
      <w:proofErr w:type="spellStart"/>
      <w:r w:rsidRPr="000C4CD0">
        <w:t>dans</w:t>
      </w:r>
      <w:proofErr w:type="spellEnd"/>
      <w:r w:rsidRPr="000C4CD0">
        <w:t xml:space="preserve"> </w:t>
      </w:r>
      <w:proofErr w:type="spellStart"/>
      <w:r w:rsidRPr="000C4CD0">
        <w:t>une</w:t>
      </w:r>
      <w:proofErr w:type="spellEnd"/>
      <w:r w:rsidRPr="000C4CD0">
        <w:t xml:space="preserve"> zone de danger</w:t>
      </w:r>
      <w:r w:rsidR="00FF3208" w:rsidRPr="000C4CD0">
        <w:t xml:space="preserve">. </w:t>
      </w:r>
      <w:r w:rsidRPr="000C4CD0">
        <w:t xml:space="preserve">Le </w:t>
      </w:r>
      <w:proofErr w:type="spellStart"/>
      <w:r w:rsidRPr="000C4CD0">
        <w:t>choix</w:t>
      </w:r>
      <w:proofErr w:type="spellEnd"/>
      <w:r w:rsidRPr="000C4CD0">
        <w:t xml:space="preserve"> des </w:t>
      </w:r>
      <w:proofErr w:type="spellStart"/>
      <w:r w:rsidRPr="000C4CD0">
        <w:t>gants</w:t>
      </w:r>
      <w:proofErr w:type="spellEnd"/>
      <w:r w:rsidRPr="000C4CD0">
        <w:t xml:space="preserve"> de protection </w:t>
      </w:r>
      <w:proofErr w:type="spellStart"/>
      <w:r w:rsidRPr="000C4CD0">
        <w:t>appropriés</w:t>
      </w:r>
      <w:proofErr w:type="spellEnd"/>
      <w:r w:rsidRPr="000C4CD0">
        <w:t xml:space="preserve"> </w:t>
      </w:r>
      <w:proofErr w:type="spellStart"/>
      <w:r w:rsidRPr="000C4CD0">
        <w:t>doit</w:t>
      </w:r>
      <w:proofErr w:type="spellEnd"/>
      <w:r w:rsidRPr="000C4CD0">
        <w:t xml:space="preserve"> </w:t>
      </w:r>
      <w:proofErr w:type="spellStart"/>
      <w:r w:rsidRPr="000C4CD0">
        <w:t>correspondre</w:t>
      </w:r>
      <w:proofErr w:type="spellEnd"/>
      <w:r w:rsidRPr="000C4CD0">
        <w:t xml:space="preserve"> aux dangers </w:t>
      </w:r>
      <w:proofErr w:type="spellStart"/>
      <w:r w:rsidRPr="000C4CD0">
        <w:t>susceptibles</w:t>
      </w:r>
      <w:proofErr w:type="spellEnd"/>
      <w:r w:rsidRPr="000C4CD0">
        <w:t xml:space="preserve"> de </w:t>
      </w:r>
      <w:proofErr w:type="spellStart"/>
      <w:r w:rsidRPr="000C4CD0">
        <w:t>survenir</w:t>
      </w:r>
      <w:proofErr w:type="spellEnd"/>
      <w:r w:rsidRPr="000C4CD0">
        <w:t xml:space="preserve"> </w:t>
      </w:r>
      <w:r w:rsidR="00FF3208" w:rsidRPr="000C4CD0">
        <w:t>(</w:t>
      </w:r>
      <w:proofErr w:type="spellStart"/>
      <w:r w:rsidR="002412CD" w:rsidRPr="000C4CD0">
        <w:t>voir</w:t>
      </w:r>
      <w:proofErr w:type="spellEnd"/>
      <w:r w:rsidR="002412CD" w:rsidRPr="000C4CD0">
        <w:t xml:space="preserve"> par </w:t>
      </w:r>
      <w:proofErr w:type="spellStart"/>
      <w:r w:rsidR="002412CD" w:rsidRPr="000C4CD0">
        <w:t>exemple</w:t>
      </w:r>
      <w:proofErr w:type="spellEnd"/>
      <w:r w:rsidR="002412CD" w:rsidRPr="000C4CD0">
        <w:t xml:space="preserve"> les </w:t>
      </w:r>
      <w:proofErr w:type="spellStart"/>
      <w:r w:rsidR="002412CD" w:rsidRPr="000C4CD0">
        <w:t>normes</w:t>
      </w:r>
      <w:proofErr w:type="spellEnd"/>
      <w:r w:rsidR="002412CD" w:rsidRPr="000C4CD0">
        <w:t xml:space="preserve"> </w:t>
      </w:r>
      <w:proofErr w:type="spellStart"/>
      <w:r w:rsidR="002412CD" w:rsidRPr="000C4CD0">
        <w:t>européennes</w:t>
      </w:r>
      <w:proofErr w:type="spellEnd"/>
      <w:r w:rsidR="002412CD" w:rsidRPr="000C4CD0">
        <w:t xml:space="preserve"> EN 374-1:2003, EN</w:t>
      </w:r>
      <w:r w:rsidR="009368FE" w:rsidRPr="000C4CD0">
        <w:t> </w:t>
      </w:r>
      <w:r w:rsidR="002412CD" w:rsidRPr="000C4CD0">
        <w:t xml:space="preserve">374-2:2015 </w:t>
      </w:r>
      <w:proofErr w:type="spellStart"/>
      <w:r w:rsidR="002412CD" w:rsidRPr="000C4CD0">
        <w:t>ou</w:t>
      </w:r>
      <w:proofErr w:type="spellEnd"/>
      <w:r w:rsidR="002412CD" w:rsidRPr="000C4CD0">
        <w:t xml:space="preserve"> EN</w:t>
      </w:r>
      <w:r w:rsidR="00113F54">
        <w:t> </w:t>
      </w:r>
      <w:r w:rsidR="002412CD" w:rsidRPr="000C4CD0">
        <w:t>374-4:2014</w:t>
      </w:r>
      <w:r w:rsidR="0023023E" w:rsidRPr="000C4CD0">
        <w:t xml:space="preserve">). </w:t>
      </w:r>
      <w:proofErr w:type="spellStart"/>
      <w:r w:rsidR="0023023E" w:rsidRPr="000C4CD0">
        <w:rPr>
          <w:rFonts w:eastAsia="Calibri"/>
          <w:spacing w:val="4"/>
          <w:w w:val="103"/>
          <w:kern w:val="14"/>
        </w:rPr>
        <w:t>En</w:t>
      </w:r>
      <w:proofErr w:type="spellEnd"/>
      <w:r w:rsidR="0023023E" w:rsidRPr="000C4CD0">
        <w:rPr>
          <w:rFonts w:eastAsia="Calibri"/>
          <w:spacing w:val="4"/>
          <w:w w:val="103"/>
          <w:kern w:val="14"/>
        </w:rPr>
        <w:t xml:space="preserve"> </w:t>
      </w:r>
      <w:proofErr w:type="spellStart"/>
      <w:r w:rsidR="0023023E" w:rsidRPr="000C4CD0">
        <w:rPr>
          <w:rFonts w:eastAsia="Calibri"/>
          <w:spacing w:val="4"/>
          <w:w w:val="103"/>
          <w:kern w:val="14"/>
        </w:rPr>
        <w:t>cas</w:t>
      </w:r>
      <w:proofErr w:type="spellEnd"/>
      <w:r w:rsidR="0023023E" w:rsidRPr="000C4CD0">
        <w:rPr>
          <w:rFonts w:eastAsia="Calibri"/>
          <w:spacing w:val="4"/>
          <w:w w:val="103"/>
          <w:kern w:val="14"/>
        </w:rPr>
        <w:t xml:space="preserve"> de </w:t>
      </w:r>
      <w:proofErr w:type="spellStart"/>
      <w:r w:rsidR="0023023E" w:rsidRPr="000C4CD0">
        <w:rPr>
          <w:rFonts w:eastAsia="Calibri"/>
          <w:spacing w:val="4"/>
          <w:w w:val="103"/>
          <w:kern w:val="14"/>
        </w:rPr>
        <w:t>risque</w:t>
      </w:r>
      <w:proofErr w:type="spellEnd"/>
      <w:r w:rsidR="0023023E" w:rsidRPr="000C4CD0">
        <w:rPr>
          <w:rFonts w:eastAsia="Calibri"/>
          <w:spacing w:val="4"/>
          <w:w w:val="103"/>
          <w:kern w:val="14"/>
        </w:rPr>
        <w:t xml:space="preserve"> de charge </w:t>
      </w:r>
      <w:proofErr w:type="spellStart"/>
      <w:r w:rsidR="0023023E" w:rsidRPr="000C4CD0">
        <w:rPr>
          <w:rFonts w:eastAsia="Calibri"/>
          <w:spacing w:val="4"/>
          <w:w w:val="103"/>
          <w:kern w:val="14"/>
        </w:rPr>
        <w:t>ou</w:t>
      </w:r>
      <w:proofErr w:type="spellEnd"/>
      <w:r w:rsidR="0023023E" w:rsidRPr="000C4CD0">
        <w:rPr>
          <w:rFonts w:eastAsia="Calibri"/>
          <w:spacing w:val="4"/>
          <w:w w:val="103"/>
          <w:kern w:val="14"/>
        </w:rPr>
        <w:t xml:space="preserve"> </w:t>
      </w:r>
      <w:proofErr w:type="spellStart"/>
      <w:r w:rsidR="0023023E" w:rsidRPr="000C4CD0">
        <w:rPr>
          <w:rFonts w:eastAsia="Calibri"/>
          <w:spacing w:val="4"/>
          <w:w w:val="103"/>
          <w:kern w:val="14"/>
        </w:rPr>
        <w:t>décharge</w:t>
      </w:r>
      <w:proofErr w:type="spellEnd"/>
      <w:r w:rsidR="0023023E" w:rsidRPr="000C4CD0">
        <w:rPr>
          <w:rFonts w:eastAsia="Calibri"/>
          <w:spacing w:val="4"/>
          <w:w w:val="103"/>
          <w:kern w:val="14"/>
        </w:rPr>
        <w:t xml:space="preserve"> </w:t>
      </w:r>
      <w:proofErr w:type="spellStart"/>
      <w:r w:rsidR="0023023E" w:rsidRPr="000C4CD0">
        <w:rPr>
          <w:rFonts w:eastAsia="Calibri"/>
          <w:spacing w:val="4"/>
          <w:w w:val="103"/>
          <w:kern w:val="14"/>
        </w:rPr>
        <w:t>électrostatique</w:t>
      </w:r>
      <w:proofErr w:type="spellEnd"/>
      <w:r w:rsidR="0023023E" w:rsidRPr="000C4CD0">
        <w:rPr>
          <w:rFonts w:eastAsia="Calibri"/>
          <w:spacing w:val="4"/>
          <w:w w:val="103"/>
          <w:kern w:val="14"/>
        </w:rPr>
        <w:t xml:space="preserve">, </w:t>
      </w:r>
      <w:proofErr w:type="spellStart"/>
      <w:r w:rsidR="0023023E" w:rsidRPr="000C4CD0">
        <w:rPr>
          <w:rFonts w:eastAsia="Calibri"/>
          <w:spacing w:val="4"/>
          <w:w w:val="103"/>
          <w:kern w:val="14"/>
        </w:rPr>
        <w:t>ils</w:t>
      </w:r>
      <w:proofErr w:type="spellEnd"/>
      <w:r w:rsidR="0023023E" w:rsidRPr="000C4CD0">
        <w:rPr>
          <w:rFonts w:eastAsia="Calibri"/>
          <w:spacing w:val="4"/>
          <w:w w:val="103"/>
          <w:kern w:val="14"/>
        </w:rPr>
        <w:t xml:space="preserve"> </w:t>
      </w:r>
      <w:proofErr w:type="spellStart"/>
      <w:r w:rsidR="0023023E" w:rsidRPr="000C4CD0">
        <w:rPr>
          <w:rFonts w:eastAsia="Calibri"/>
          <w:spacing w:val="4"/>
          <w:w w:val="103"/>
          <w:kern w:val="14"/>
        </w:rPr>
        <w:t>doivent</w:t>
      </w:r>
      <w:proofErr w:type="spellEnd"/>
      <w:r w:rsidR="0023023E" w:rsidRPr="000C4CD0">
        <w:rPr>
          <w:rFonts w:eastAsia="Calibri"/>
          <w:spacing w:val="4"/>
          <w:w w:val="103"/>
          <w:kern w:val="14"/>
        </w:rPr>
        <w:t xml:space="preserve"> </w:t>
      </w:r>
      <w:proofErr w:type="spellStart"/>
      <w:r w:rsidR="0023023E" w:rsidRPr="000C4CD0">
        <w:rPr>
          <w:rFonts w:eastAsia="Calibri"/>
          <w:spacing w:val="4"/>
          <w:w w:val="103"/>
          <w:kern w:val="14"/>
        </w:rPr>
        <w:t>être</w:t>
      </w:r>
      <w:proofErr w:type="spellEnd"/>
      <w:r w:rsidR="0023023E" w:rsidRPr="000C4CD0">
        <w:rPr>
          <w:rFonts w:eastAsia="Calibri"/>
          <w:spacing w:val="4"/>
          <w:w w:val="103"/>
          <w:kern w:val="14"/>
        </w:rPr>
        <w:t xml:space="preserve"> </w:t>
      </w:r>
      <w:proofErr w:type="spellStart"/>
      <w:r w:rsidR="0023023E" w:rsidRPr="000C4CD0">
        <w:rPr>
          <w:rFonts w:eastAsia="Calibri"/>
          <w:spacing w:val="4"/>
          <w:w w:val="103"/>
          <w:kern w:val="14"/>
        </w:rPr>
        <w:t>conformes</w:t>
      </w:r>
      <w:proofErr w:type="spellEnd"/>
      <w:r w:rsidR="0023023E" w:rsidRPr="000C4CD0">
        <w:rPr>
          <w:rFonts w:eastAsia="Calibri"/>
          <w:spacing w:val="4"/>
          <w:w w:val="103"/>
          <w:kern w:val="14"/>
        </w:rPr>
        <w:t xml:space="preserve"> à la </w:t>
      </w:r>
      <w:proofErr w:type="spellStart"/>
      <w:r w:rsidR="0023023E" w:rsidRPr="000C4CD0">
        <w:rPr>
          <w:rFonts w:eastAsia="Calibri"/>
          <w:spacing w:val="4"/>
          <w:w w:val="103"/>
          <w:kern w:val="14"/>
        </w:rPr>
        <w:t>norme</w:t>
      </w:r>
      <w:proofErr w:type="spellEnd"/>
      <w:r w:rsidR="0023023E" w:rsidRPr="000C4CD0">
        <w:rPr>
          <w:rFonts w:eastAsia="Calibri"/>
          <w:spacing w:val="4"/>
          <w:w w:val="103"/>
          <w:kern w:val="14"/>
        </w:rPr>
        <w:t xml:space="preserve"> </w:t>
      </w:r>
      <w:proofErr w:type="spellStart"/>
      <w:r w:rsidR="0023023E" w:rsidRPr="000C4CD0">
        <w:rPr>
          <w:rFonts w:eastAsia="Calibri"/>
          <w:spacing w:val="4"/>
          <w:w w:val="103"/>
          <w:kern w:val="14"/>
        </w:rPr>
        <w:t>européenne</w:t>
      </w:r>
      <w:proofErr w:type="spellEnd"/>
      <w:r w:rsidR="0023023E" w:rsidRPr="000C4CD0">
        <w:rPr>
          <w:rFonts w:eastAsia="Calibri"/>
          <w:spacing w:val="4"/>
          <w:w w:val="103"/>
          <w:kern w:val="14"/>
        </w:rPr>
        <w:t xml:space="preserve"> EN 16350:2015.».</w:t>
      </w:r>
    </w:p>
    <w:p w:rsidR="009368FE" w:rsidRPr="000C4CD0" w:rsidRDefault="00FF3208" w:rsidP="001C67C4">
      <w:pPr>
        <w:pStyle w:val="SingleTxtG"/>
        <w:tabs>
          <w:tab w:val="left" w:pos="1701"/>
        </w:tabs>
      </w:pPr>
      <w:r w:rsidRPr="000C4CD0">
        <w:t>2.</w:t>
      </w:r>
      <w:r w:rsidRPr="000C4CD0">
        <w:tab/>
      </w:r>
      <w:proofErr w:type="spellStart"/>
      <w:r w:rsidR="009368FE" w:rsidRPr="000C4CD0">
        <w:t>Remplacer</w:t>
      </w:r>
      <w:proofErr w:type="spellEnd"/>
      <w:r w:rsidR="009368FE" w:rsidRPr="000C4CD0">
        <w:t xml:space="preserve"> la modification </w:t>
      </w:r>
      <w:r w:rsidR="000C4CD0">
        <w:t>de</w:t>
      </w:r>
      <w:r w:rsidR="009368FE" w:rsidRPr="000C4CD0">
        <w:t xml:space="preserve"> la section 1.2.1, </w:t>
      </w:r>
      <w:proofErr w:type="spellStart"/>
      <w:r w:rsidR="009368FE" w:rsidRPr="000C4CD0">
        <w:t>Définition</w:t>
      </w:r>
      <w:proofErr w:type="spellEnd"/>
      <w:r w:rsidR="009368FE" w:rsidRPr="000C4CD0">
        <w:t xml:space="preserve"> de « </w:t>
      </w:r>
      <w:proofErr w:type="spellStart"/>
      <w:r w:rsidR="009368FE" w:rsidRPr="000C4CD0">
        <w:rPr>
          <w:i/>
          <w:iCs/>
        </w:rPr>
        <w:t>Chaussures</w:t>
      </w:r>
      <w:proofErr w:type="spellEnd"/>
      <w:r w:rsidR="009368FE" w:rsidRPr="000C4CD0">
        <w:rPr>
          <w:i/>
          <w:iCs/>
        </w:rPr>
        <w:t xml:space="preserve"> de protection (</w:t>
      </w:r>
      <w:proofErr w:type="spellStart"/>
      <w:r w:rsidR="009368FE" w:rsidRPr="000C4CD0">
        <w:rPr>
          <w:i/>
          <w:iCs/>
        </w:rPr>
        <w:t>ou</w:t>
      </w:r>
      <w:proofErr w:type="spellEnd"/>
      <w:r w:rsidR="009368FE" w:rsidRPr="000C4CD0">
        <w:rPr>
          <w:i/>
          <w:iCs/>
        </w:rPr>
        <w:t xml:space="preserve"> bottes de protection</w:t>
      </w:r>
      <w:r w:rsidR="009368FE" w:rsidRPr="000C4CD0">
        <w:t xml:space="preserve">» </w:t>
      </w:r>
      <w:proofErr w:type="gramStart"/>
      <w:r w:rsidR="009368FE" w:rsidRPr="000C4CD0">
        <w:t>par :</w:t>
      </w:r>
      <w:proofErr w:type="gramEnd"/>
    </w:p>
    <w:p w:rsidR="00FF3208" w:rsidRPr="000C4CD0" w:rsidRDefault="0014242A" w:rsidP="001C67C4">
      <w:pPr>
        <w:pStyle w:val="SingleTxtG"/>
        <w:ind w:left="1701"/>
        <w:rPr>
          <w:b/>
          <w:i/>
        </w:rPr>
      </w:pPr>
      <w:r w:rsidRPr="000C4CD0">
        <w:lastRenderedPageBreak/>
        <w:t>« </w:t>
      </w:r>
      <w:r w:rsidR="00FF3208" w:rsidRPr="000C4CD0">
        <w:t>1.2.1</w:t>
      </w:r>
      <w:r w:rsidR="00FF3208" w:rsidRPr="000C4CD0">
        <w:tab/>
      </w:r>
      <w:r w:rsidR="00516067" w:rsidRPr="000C4CD0">
        <w:t xml:space="preserve">Modifier la </w:t>
      </w:r>
      <w:proofErr w:type="spellStart"/>
      <w:r w:rsidR="00516067" w:rsidRPr="000C4CD0">
        <w:t>définition</w:t>
      </w:r>
      <w:proofErr w:type="spellEnd"/>
      <w:r w:rsidR="00516067" w:rsidRPr="000C4CD0">
        <w:t xml:space="preserve"> de « </w:t>
      </w:r>
      <w:proofErr w:type="spellStart"/>
      <w:r w:rsidR="00516067" w:rsidRPr="000C4CD0">
        <w:rPr>
          <w:i/>
        </w:rPr>
        <w:t>Chaussures</w:t>
      </w:r>
      <w:proofErr w:type="spellEnd"/>
      <w:r w:rsidR="00516067" w:rsidRPr="000C4CD0">
        <w:rPr>
          <w:i/>
        </w:rPr>
        <w:t xml:space="preserve"> de protection (</w:t>
      </w:r>
      <w:proofErr w:type="spellStart"/>
      <w:r w:rsidR="00516067" w:rsidRPr="000C4CD0">
        <w:rPr>
          <w:i/>
        </w:rPr>
        <w:t>ou</w:t>
      </w:r>
      <w:proofErr w:type="spellEnd"/>
      <w:r w:rsidR="00516067" w:rsidRPr="000C4CD0">
        <w:rPr>
          <w:i/>
        </w:rPr>
        <w:t xml:space="preserve"> bottes de </w:t>
      </w:r>
      <w:proofErr w:type="gramStart"/>
      <w:r w:rsidR="00516067" w:rsidRPr="000C4CD0">
        <w:rPr>
          <w:i/>
        </w:rPr>
        <w:t>protection)</w:t>
      </w:r>
      <w:r w:rsidR="00516067" w:rsidRPr="000C4CD0">
        <w:t>»</w:t>
      </w:r>
      <w:proofErr w:type="gramEnd"/>
      <w:r w:rsidR="00516067" w:rsidRPr="000C4CD0">
        <w:t xml:space="preserve"> pour lire </w:t>
      </w:r>
      <w:proofErr w:type="spellStart"/>
      <w:r w:rsidR="00516067" w:rsidRPr="000C4CD0">
        <w:t>comme</w:t>
      </w:r>
      <w:proofErr w:type="spellEnd"/>
      <w:r w:rsidR="00516067" w:rsidRPr="000C4CD0">
        <w:t xml:space="preserve"> suit </w:t>
      </w:r>
      <w:r w:rsidR="00FF3208" w:rsidRPr="000C4CD0">
        <w:t>:</w:t>
      </w:r>
    </w:p>
    <w:p w:rsidR="00516067" w:rsidRPr="000C4CD0" w:rsidRDefault="00516067" w:rsidP="001C67C4">
      <w:pPr>
        <w:pStyle w:val="SingleTxtG"/>
        <w:spacing w:after="0"/>
        <w:ind w:left="1701"/>
      </w:pPr>
      <w:r w:rsidRPr="000C4CD0">
        <w:rPr>
          <w:sz w:val="22"/>
        </w:rPr>
        <w:t>«</w:t>
      </w:r>
      <w:proofErr w:type="spellStart"/>
      <w:r w:rsidRPr="001C67C4">
        <w:rPr>
          <w:i/>
          <w:iCs/>
        </w:rPr>
        <w:t>Chaussures</w:t>
      </w:r>
      <w:proofErr w:type="spellEnd"/>
      <w:r w:rsidRPr="001C67C4">
        <w:rPr>
          <w:i/>
          <w:iCs/>
        </w:rPr>
        <w:t xml:space="preserve"> de protection (</w:t>
      </w:r>
      <w:proofErr w:type="spellStart"/>
      <w:r w:rsidRPr="001C67C4">
        <w:rPr>
          <w:i/>
          <w:iCs/>
        </w:rPr>
        <w:t>ou</w:t>
      </w:r>
      <w:proofErr w:type="spellEnd"/>
      <w:r w:rsidRPr="001C67C4">
        <w:rPr>
          <w:i/>
          <w:iCs/>
        </w:rPr>
        <w:t xml:space="preserve"> bottes de </w:t>
      </w:r>
      <w:proofErr w:type="gramStart"/>
      <w:r w:rsidRPr="001C67C4">
        <w:rPr>
          <w:i/>
          <w:iCs/>
        </w:rPr>
        <w:t>protection</w:t>
      </w:r>
      <w:r w:rsidRPr="000C4CD0">
        <w:t> :</w:t>
      </w:r>
      <w:proofErr w:type="gramEnd"/>
    </w:p>
    <w:p w:rsidR="006D6409" w:rsidRPr="000C4CD0" w:rsidRDefault="00516067" w:rsidP="001C67C4">
      <w:pPr>
        <w:pStyle w:val="SingleTxtG"/>
        <w:ind w:left="1701"/>
      </w:pPr>
      <w:r w:rsidRPr="000C4CD0">
        <w:rPr>
          <w:sz w:val="22"/>
        </w:rPr>
        <w:t xml:space="preserve">des </w:t>
      </w:r>
      <w:proofErr w:type="spellStart"/>
      <w:r w:rsidRPr="000C4CD0">
        <w:rPr>
          <w:sz w:val="22"/>
        </w:rPr>
        <w:t>chaussures</w:t>
      </w:r>
      <w:proofErr w:type="spellEnd"/>
      <w:r w:rsidRPr="000C4CD0">
        <w:rPr>
          <w:sz w:val="22"/>
        </w:rPr>
        <w:t xml:space="preserve"> </w:t>
      </w:r>
      <w:proofErr w:type="spellStart"/>
      <w:r w:rsidRPr="000C4CD0">
        <w:rPr>
          <w:sz w:val="22"/>
        </w:rPr>
        <w:t>ou</w:t>
      </w:r>
      <w:proofErr w:type="spellEnd"/>
      <w:r w:rsidRPr="000C4CD0">
        <w:rPr>
          <w:sz w:val="22"/>
        </w:rPr>
        <w:t xml:space="preserve"> bottes qui </w:t>
      </w:r>
      <w:proofErr w:type="spellStart"/>
      <w:r w:rsidRPr="000C4CD0">
        <w:rPr>
          <w:sz w:val="22"/>
        </w:rPr>
        <w:t>protègent</w:t>
      </w:r>
      <w:proofErr w:type="spellEnd"/>
      <w:r w:rsidRPr="000C4CD0">
        <w:rPr>
          <w:sz w:val="22"/>
        </w:rPr>
        <w:t xml:space="preserve"> les </w:t>
      </w:r>
      <w:proofErr w:type="spellStart"/>
      <w:r w:rsidRPr="000C4CD0">
        <w:rPr>
          <w:sz w:val="22"/>
        </w:rPr>
        <w:t>pieds</w:t>
      </w:r>
      <w:proofErr w:type="spellEnd"/>
      <w:r w:rsidRPr="000C4CD0">
        <w:rPr>
          <w:sz w:val="22"/>
        </w:rPr>
        <w:t xml:space="preserve"> du </w:t>
      </w:r>
      <w:proofErr w:type="spellStart"/>
      <w:r w:rsidRPr="000C4CD0">
        <w:rPr>
          <w:sz w:val="22"/>
        </w:rPr>
        <w:t>porteur</w:t>
      </w:r>
      <w:proofErr w:type="spellEnd"/>
      <w:r w:rsidRPr="000C4CD0">
        <w:rPr>
          <w:sz w:val="22"/>
        </w:rPr>
        <w:t xml:space="preserve"> </w:t>
      </w:r>
      <w:proofErr w:type="spellStart"/>
      <w:r w:rsidRPr="000C4CD0">
        <w:rPr>
          <w:sz w:val="22"/>
        </w:rPr>
        <w:t>lors</w:t>
      </w:r>
      <w:proofErr w:type="spellEnd"/>
      <w:r w:rsidRPr="000C4CD0">
        <w:rPr>
          <w:sz w:val="22"/>
        </w:rPr>
        <w:t xml:space="preserve"> de </w:t>
      </w:r>
      <w:proofErr w:type="spellStart"/>
      <w:r w:rsidRPr="000C4CD0">
        <w:rPr>
          <w:sz w:val="22"/>
        </w:rPr>
        <w:t>travaux</w:t>
      </w:r>
      <w:proofErr w:type="spellEnd"/>
      <w:r w:rsidRPr="000C4CD0">
        <w:rPr>
          <w:sz w:val="22"/>
        </w:rPr>
        <w:t xml:space="preserve"> </w:t>
      </w:r>
      <w:proofErr w:type="spellStart"/>
      <w:r w:rsidRPr="000C4CD0">
        <w:rPr>
          <w:sz w:val="22"/>
        </w:rPr>
        <w:t>dans</w:t>
      </w:r>
      <w:proofErr w:type="spellEnd"/>
      <w:r w:rsidRPr="000C4CD0">
        <w:rPr>
          <w:sz w:val="22"/>
        </w:rPr>
        <w:t xml:space="preserve"> </w:t>
      </w:r>
      <w:proofErr w:type="spellStart"/>
      <w:r w:rsidRPr="000C4CD0">
        <w:rPr>
          <w:sz w:val="22"/>
        </w:rPr>
        <w:t>une</w:t>
      </w:r>
      <w:proofErr w:type="spellEnd"/>
      <w:r w:rsidRPr="000C4CD0">
        <w:rPr>
          <w:sz w:val="22"/>
        </w:rPr>
        <w:t xml:space="preserve"> zone de danger.</w:t>
      </w:r>
      <w:r w:rsidR="00730533" w:rsidRPr="000C4CD0">
        <w:rPr>
          <w:sz w:val="22"/>
        </w:rPr>
        <w:t xml:space="preserve"> </w:t>
      </w:r>
      <w:r w:rsidR="00730533" w:rsidRPr="000C4CD0">
        <w:t xml:space="preserve">Le </w:t>
      </w:r>
      <w:proofErr w:type="spellStart"/>
      <w:r w:rsidR="00730533" w:rsidRPr="000C4CD0">
        <w:t>choix</w:t>
      </w:r>
      <w:proofErr w:type="spellEnd"/>
      <w:r w:rsidR="00730533" w:rsidRPr="000C4CD0">
        <w:t xml:space="preserve"> des </w:t>
      </w:r>
      <w:proofErr w:type="spellStart"/>
      <w:r w:rsidR="00730533" w:rsidRPr="000C4CD0">
        <w:t>chaussures</w:t>
      </w:r>
      <w:proofErr w:type="spellEnd"/>
      <w:r w:rsidR="00730533" w:rsidRPr="000C4CD0">
        <w:t xml:space="preserve"> </w:t>
      </w:r>
      <w:r w:rsidR="00956D0E" w:rsidRPr="000C4CD0">
        <w:t xml:space="preserve">de protection </w:t>
      </w:r>
      <w:proofErr w:type="spellStart"/>
      <w:r w:rsidR="00730533" w:rsidRPr="000C4CD0">
        <w:t>ou</w:t>
      </w:r>
      <w:proofErr w:type="spellEnd"/>
      <w:r w:rsidR="00730533" w:rsidRPr="000C4CD0">
        <w:t xml:space="preserve"> bottes de protection </w:t>
      </w:r>
      <w:proofErr w:type="spellStart"/>
      <w:r w:rsidR="00730533" w:rsidRPr="000C4CD0">
        <w:t>appropriées</w:t>
      </w:r>
      <w:proofErr w:type="spellEnd"/>
      <w:r w:rsidR="00730533" w:rsidRPr="000C4CD0">
        <w:t xml:space="preserve"> </w:t>
      </w:r>
      <w:proofErr w:type="spellStart"/>
      <w:r w:rsidR="00730533" w:rsidRPr="000C4CD0">
        <w:t>doit</w:t>
      </w:r>
      <w:proofErr w:type="spellEnd"/>
      <w:r w:rsidR="00730533" w:rsidRPr="000C4CD0">
        <w:t xml:space="preserve"> </w:t>
      </w:r>
      <w:proofErr w:type="spellStart"/>
      <w:r w:rsidR="00730533" w:rsidRPr="000C4CD0">
        <w:t>correspondre</w:t>
      </w:r>
      <w:proofErr w:type="spellEnd"/>
      <w:r w:rsidR="00730533" w:rsidRPr="000C4CD0">
        <w:t xml:space="preserve"> aux dangers </w:t>
      </w:r>
      <w:proofErr w:type="spellStart"/>
      <w:r w:rsidR="00730533" w:rsidRPr="000C4CD0">
        <w:t>susceptibles</w:t>
      </w:r>
      <w:proofErr w:type="spellEnd"/>
      <w:r w:rsidR="00730533" w:rsidRPr="000C4CD0">
        <w:t xml:space="preserve"> de </w:t>
      </w:r>
      <w:proofErr w:type="spellStart"/>
      <w:r w:rsidR="00730533" w:rsidRPr="000C4CD0">
        <w:t>survenir</w:t>
      </w:r>
      <w:proofErr w:type="spellEnd"/>
      <w:r w:rsidR="006D6409" w:rsidRPr="000C4CD0">
        <w:t xml:space="preserve">, </w:t>
      </w:r>
      <w:proofErr w:type="spellStart"/>
      <w:r w:rsidR="006D6409" w:rsidRPr="000C4CD0">
        <w:t>notamment</w:t>
      </w:r>
      <w:proofErr w:type="spellEnd"/>
      <w:r w:rsidR="006D6409" w:rsidRPr="000C4CD0">
        <w:t xml:space="preserve"> </w:t>
      </w:r>
      <w:proofErr w:type="spellStart"/>
      <w:r w:rsidR="006D6409" w:rsidRPr="000C4CD0">
        <w:t>en</w:t>
      </w:r>
      <w:proofErr w:type="spellEnd"/>
      <w:r w:rsidR="006D6409" w:rsidRPr="000C4CD0">
        <w:t xml:space="preserve"> </w:t>
      </w:r>
      <w:r w:rsidR="00956D0E" w:rsidRPr="000C4CD0">
        <w:t>raison</w:t>
      </w:r>
      <w:r w:rsidR="006D6409" w:rsidRPr="000C4CD0">
        <w:t xml:space="preserve"> de</w:t>
      </w:r>
      <w:r w:rsidR="00730533" w:rsidRPr="000C4CD0">
        <w:t xml:space="preserve"> charge </w:t>
      </w:r>
      <w:proofErr w:type="spellStart"/>
      <w:r w:rsidR="00730533" w:rsidRPr="000C4CD0">
        <w:t>ou</w:t>
      </w:r>
      <w:proofErr w:type="spellEnd"/>
      <w:r w:rsidR="00730533" w:rsidRPr="000C4CD0">
        <w:t xml:space="preserve"> </w:t>
      </w:r>
      <w:proofErr w:type="spellStart"/>
      <w:r w:rsidR="00730533" w:rsidRPr="000C4CD0">
        <w:t>décharge</w:t>
      </w:r>
      <w:proofErr w:type="spellEnd"/>
      <w:r w:rsidR="00730533" w:rsidRPr="000C4CD0">
        <w:t xml:space="preserve"> </w:t>
      </w:r>
      <w:proofErr w:type="spellStart"/>
      <w:r w:rsidR="00730533" w:rsidRPr="000C4CD0">
        <w:t>électrostatique</w:t>
      </w:r>
      <w:proofErr w:type="spellEnd"/>
      <w:r w:rsidR="006D6409" w:rsidRPr="000C4CD0">
        <w:t xml:space="preserve">, </w:t>
      </w:r>
      <w:proofErr w:type="spellStart"/>
      <w:r w:rsidR="006D6409" w:rsidRPr="000C4CD0">
        <w:t>selon</w:t>
      </w:r>
      <w:proofErr w:type="spellEnd"/>
      <w:r w:rsidR="006D6409" w:rsidRPr="000C4CD0">
        <w:t xml:space="preserve"> les </w:t>
      </w:r>
      <w:proofErr w:type="spellStart"/>
      <w:r w:rsidR="006D6409" w:rsidRPr="000C4CD0">
        <w:t>normes</w:t>
      </w:r>
      <w:proofErr w:type="spellEnd"/>
      <w:r w:rsidR="006D6409" w:rsidRPr="000C4CD0">
        <w:t xml:space="preserve"> </w:t>
      </w:r>
      <w:proofErr w:type="spellStart"/>
      <w:r w:rsidR="00956D0E" w:rsidRPr="000C4CD0">
        <w:t>internationales</w:t>
      </w:r>
      <w:proofErr w:type="spellEnd"/>
      <w:r w:rsidR="00956D0E" w:rsidRPr="000C4CD0">
        <w:t xml:space="preserve"> </w:t>
      </w:r>
      <w:r w:rsidR="006D6409" w:rsidRPr="000C4CD0">
        <w:t xml:space="preserve">ISO 20345:2012 </w:t>
      </w:r>
      <w:proofErr w:type="spellStart"/>
      <w:r w:rsidR="006D6409" w:rsidRPr="000C4CD0">
        <w:t>ou</w:t>
      </w:r>
      <w:proofErr w:type="spellEnd"/>
      <w:r w:rsidR="006D6409" w:rsidRPr="000C4CD0">
        <w:t xml:space="preserve"> ISO</w:t>
      </w:r>
      <w:r w:rsidR="00AB590E" w:rsidRPr="000C4CD0">
        <w:t> </w:t>
      </w:r>
      <w:r w:rsidR="006D6409" w:rsidRPr="000C4CD0">
        <w:t>20346:2014.».</w:t>
      </w:r>
      <w:r w:rsidR="0014242A" w:rsidRPr="000C4CD0">
        <w:t>».</w:t>
      </w:r>
    </w:p>
    <w:p w:rsidR="00FF3208" w:rsidRPr="001C67C4" w:rsidRDefault="0014242A" w:rsidP="001C67C4">
      <w:pPr>
        <w:pStyle w:val="SingleTxtG"/>
        <w:rPr>
          <w:u w:val="single"/>
        </w:rPr>
      </w:pPr>
      <w:r w:rsidRPr="001C67C4">
        <w:rPr>
          <w:u w:val="single"/>
        </w:rPr>
        <w:t xml:space="preserve">Motif </w:t>
      </w:r>
      <w:r w:rsidR="00B3234B" w:rsidRPr="001C67C4">
        <w:rPr>
          <w:u w:val="single"/>
        </w:rPr>
        <w:t xml:space="preserve">pour </w:t>
      </w:r>
      <w:r w:rsidR="00FF3208" w:rsidRPr="001C67C4">
        <w:rPr>
          <w:u w:val="single"/>
        </w:rPr>
        <w:t xml:space="preserve">1. </w:t>
      </w:r>
      <w:r w:rsidRPr="001C67C4">
        <w:rPr>
          <w:u w:val="single"/>
        </w:rPr>
        <w:t>et</w:t>
      </w:r>
      <w:r w:rsidR="00FF3208" w:rsidRPr="001C67C4">
        <w:rPr>
          <w:u w:val="single"/>
        </w:rPr>
        <w:t xml:space="preserve"> 2</w:t>
      </w:r>
      <w:proofErr w:type="gramStart"/>
      <w:r w:rsidR="00FF3208" w:rsidRPr="001C67C4">
        <w:rPr>
          <w:u w:val="single"/>
        </w:rPr>
        <w:t>.</w:t>
      </w:r>
      <w:r w:rsidRPr="001C67C4">
        <w:rPr>
          <w:u w:val="single"/>
        </w:rPr>
        <w:t xml:space="preserve"> :</w:t>
      </w:r>
      <w:proofErr w:type="gramEnd"/>
    </w:p>
    <w:p w:rsidR="00FF3208" w:rsidRPr="000C4CD0" w:rsidRDefault="00FF3208" w:rsidP="001C67C4">
      <w:pPr>
        <w:pStyle w:val="SingleTxtG"/>
      </w:pPr>
      <w:proofErr w:type="spellStart"/>
      <w:r w:rsidRPr="000C4CD0">
        <w:t>Révision</w:t>
      </w:r>
      <w:proofErr w:type="spellEnd"/>
      <w:r w:rsidRPr="000C4CD0">
        <w:t xml:space="preserve"> </w:t>
      </w:r>
      <w:proofErr w:type="spellStart"/>
      <w:r w:rsidRPr="000C4CD0">
        <w:t>rédactionnelle</w:t>
      </w:r>
      <w:proofErr w:type="spellEnd"/>
      <w:r w:rsidRPr="000C4CD0">
        <w:t>.</w:t>
      </w:r>
    </w:p>
    <w:p w:rsidR="00FF3208" w:rsidRPr="000C4CD0" w:rsidRDefault="00FF3208" w:rsidP="001C67C4">
      <w:pPr>
        <w:pStyle w:val="SingleTxtG"/>
      </w:pPr>
      <w:r w:rsidRPr="000C4CD0">
        <w:t xml:space="preserve">La </w:t>
      </w:r>
      <w:proofErr w:type="spellStart"/>
      <w:r w:rsidRPr="000C4CD0">
        <w:t>prévention</w:t>
      </w:r>
      <w:proofErr w:type="spellEnd"/>
      <w:r w:rsidRPr="000C4CD0">
        <w:t xml:space="preserve"> des sources </w:t>
      </w:r>
      <w:proofErr w:type="spellStart"/>
      <w:r w:rsidRPr="000C4CD0">
        <w:t>d'inflammation</w:t>
      </w:r>
      <w:proofErr w:type="spellEnd"/>
      <w:r w:rsidRPr="000C4CD0">
        <w:t xml:space="preserve"> par charge </w:t>
      </w:r>
      <w:proofErr w:type="spellStart"/>
      <w:r w:rsidRPr="000C4CD0">
        <w:t>électrostatique</w:t>
      </w:r>
      <w:proofErr w:type="spellEnd"/>
      <w:r w:rsidRPr="000C4CD0">
        <w:t xml:space="preserve"> </w:t>
      </w:r>
      <w:proofErr w:type="spellStart"/>
      <w:r w:rsidRPr="000C4CD0">
        <w:t>est</w:t>
      </w:r>
      <w:proofErr w:type="spellEnd"/>
      <w:r w:rsidRPr="000C4CD0">
        <w:t xml:space="preserve"> un </w:t>
      </w:r>
      <w:proofErr w:type="spellStart"/>
      <w:r w:rsidRPr="000C4CD0">
        <w:t>élément</w:t>
      </w:r>
      <w:proofErr w:type="spellEnd"/>
      <w:r w:rsidRPr="000C4CD0">
        <w:t xml:space="preserve"> indispensable des </w:t>
      </w:r>
      <w:proofErr w:type="spellStart"/>
      <w:r w:rsidRPr="000C4CD0">
        <w:t>mesures</w:t>
      </w:r>
      <w:proofErr w:type="spellEnd"/>
      <w:r w:rsidRPr="000C4CD0">
        <w:t xml:space="preserve"> de protection </w:t>
      </w:r>
      <w:proofErr w:type="spellStart"/>
      <w:r w:rsidRPr="000C4CD0">
        <w:t>contre</w:t>
      </w:r>
      <w:proofErr w:type="spellEnd"/>
      <w:r w:rsidRPr="000C4CD0">
        <w:t xml:space="preserve"> les explosions. Par </w:t>
      </w:r>
      <w:proofErr w:type="spellStart"/>
      <w:r w:rsidRPr="000C4CD0">
        <w:t>conséquent</w:t>
      </w:r>
      <w:proofErr w:type="spellEnd"/>
      <w:r w:rsidRPr="000C4CD0">
        <w:t xml:space="preserve">, </w:t>
      </w:r>
      <w:proofErr w:type="spellStart"/>
      <w:r w:rsidRPr="000C4CD0">
        <w:t>l'utilisation</w:t>
      </w:r>
      <w:proofErr w:type="spellEnd"/>
      <w:r w:rsidRPr="000C4CD0">
        <w:t xml:space="preserve"> de </w:t>
      </w:r>
      <w:proofErr w:type="spellStart"/>
      <w:r w:rsidRPr="000C4CD0">
        <w:t>gants</w:t>
      </w:r>
      <w:proofErr w:type="spellEnd"/>
      <w:r w:rsidRPr="000C4CD0">
        <w:t xml:space="preserve"> de protection, de </w:t>
      </w:r>
      <w:proofErr w:type="spellStart"/>
      <w:r w:rsidRPr="000C4CD0">
        <w:t>chaussures</w:t>
      </w:r>
      <w:proofErr w:type="spellEnd"/>
      <w:r w:rsidRPr="000C4CD0">
        <w:t xml:space="preserve"> de protection et de bottes de protection </w:t>
      </w:r>
      <w:proofErr w:type="spellStart"/>
      <w:r w:rsidRPr="000C4CD0">
        <w:t>suffisamment</w:t>
      </w:r>
      <w:proofErr w:type="spellEnd"/>
      <w:r w:rsidRPr="000C4CD0">
        <w:t xml:space="preserve"> </w:t>
      </w:r>
      <w:proofErr w:type="spellStart"/>
      <w:r w:rsidRPr="000C4CD0">
        <w:t>dissipatifs</w:t>
      </w:r>
      <w:proofErr w:type="spellEnd"/>
      <w:r w:rsidRPr="000C4CD0">
        <w:t xml:space="preserve"> </w:t>
      </w:r>
      <w:proofErr w:type="spellStart"/>
      <w:r w:rsidRPr="000C4CD0">
        <w:t>doit</w:t>
      </w:r>
      <w:proofErr w:type="spellEnd"/>
      <w:r w:rsidRPr="000C4CD0">
        <w:t xml:space="preserve"> </w:t>
      </w:r>
      <w:proofErr w:type="spellStart"/>
      <w:r w:rsidRPr="000C4CD0">
        <w:t>être</w:t>
      </w:r>
      <w:proofErr w:type="spellEnd"/>
      <w:r w:rsidRPr="000C4CD0">
        <w:t xml:space="preserve"> </w:t>
      </w:r>
      <w:proofErr w:type="spellStart"/>
      <w:r w:rsidRPr="000C4CD0">
        <w:t>obligatoire</w:t>
      </w:r>
      <w:proofErr w:type="spellEnd"/>
      <w:r w:rsidRPr="000C4CD0">
        <w:t>.</w:t>
      </w:r>
    </w:p>
    <w:p w:rsidR="008B1B69" w:rsidRPr="000C4CD0" w:rsidRDefault="00FF3208" w:rsidP="001C67C4">
      <w:pPr>
        <w:pStyle w:val="SingleTxtG"/>
        <w:tabs>
          <w:tab w:val="left" w:pos="1701"/>
        </w:tabs>
      </w:pPr>
      <w:r w:rsidRPr="000C4CD0">
        <w:t>3.</w:t>
      </w:r>
      <w:r w:rsidRPr="000C4CD0">
        <w:tab/>
        <w:t>1.6.7.2.1.1</w:t>
      </w:r>
      <w:r w:rsidRPr="000C4CD0">
        <w:tab/>
      </w:r>
      <w:proofErr w:type="spellStart"/>
      <w:r w:rsidR="008B1B69" w:rsidRPr="000C4CD0">
        <w:t>T</w:t>
      </w:r>
      <w:r w:rsidR="00703329" w:rsidRPr="000C4CD0">
        <w:t>roisième</w:t>
      </w:r>
      <w:proofErr w:type="spellEnd"/>
      <w:r w:rsidR="00703329" w:rsidRPr="000C4CD0">
        <w:t xml:space="preserve"> </w:t>
      </w:r>
      <w:proofErr w:type="spellStart"/>
      <w:r w:rsidR="00703329" w:rsidRPr="000C4CD0">
        <w:t>colonne</w:t>
      </w:r>
      <w:proofErr w:type="spellEnd"/>
      <w:r w:rsidR="00703329" w:rsidRPr="000C4CD0">
        <w:t xml:space="preserve"> de la </w:t>
      </w:r>
      <w:r w:rsidR="006803BD" w:rsidRPr="000C4CD0">
        <w:t xml:space="preserve">nouvelle disposition </w:t>
      </w:r>
      <w:proofErr w:type="spellStart"/>
      <w:r w:rsidR="006803BD" w:rsidRPr="000C4CD0">
        <w:t>transitoire</w:t>
      </w:r>
      <w:proofErr w:type="spellEnd"/>
      <w:r w:rsidR="006803BD" w:rsidRPr="000C4CD0">
        <w:t xml:space="preserve"> pour</w:t>
      </w:r>
      <w:r w:rsidRPr="000C4CD0">
        <w:t xml:space="preserve"> </w:t>
      </w:r>
      <w:proofErr w:type="gramStart"/>
      <w:r w:rsidRPr="000C4CD0">
        <w:t>7.1.2.19.1</w:t>
      </w:r>
      <w:r w:rsidR="008B1B69" w:rsidRPr="000C4CD0">
        <w:t> :</w:t>
      </w:r>
      <w:proofErr w:type="gramEnd"/>
    </w:p>
    <w:p w:rsidR="008B1B69" w:rsidRPr="000C4CD0" w:rsidRDefault="008B1B69" w:rsidP="001C67C4">
      <w:pPr>
        <w:pStyle w:val="SingleTxtG"/>
      </w:pPr>
      <w:r w:rsidRPr="000C4CD0">
        <w:rPr>
          <w:rFonts w:eastAsia="Calibri"/>
        </w:rPr>
        <w:t xml:space="preserve">[La modification </w:t>
      </w:r>
      <w:proofErr w:type="spellStart"/>
      <w:r w:rsidRPr="000C4CD0">
        <w:rPr>
          <w:rFonts w:eastAsia="Calibri"/>
        </w:rPr>
        <w:t>dans</w:t>
      </w:r>
      <w:proofErr w:type="spellEnd"/>
      <w:r w:rsidRPr="000C4CD0">
        <w:rPr>
          <w:rFonts w:eastAsia="Calibri"/>
        </w:rPr>
        <w:t xml:space="preserve"> la version allemande </w:t>
      </w:r>
      <w:proofErr w:type="spellStart"/>
      <w:r w:rsidRPr="000C4CD0">
        <w:rPr>
          <w:rFonts w:eastAsia="Calibri"/>
        </w:rPr>
        <w:t>n’a</w:t>
      </w:r>
      <w:proofErr w:type="spellEnd"/>
      <w:r w:rsidRPr="000C4CD0">
        <w:rPr>
          <w:rFonts w:eastAsia="Calibri"/>
        </w:rPr>
        <w:t xml:space="preserve"> pas </w:t>
      </w:r>
      <w:proofErr w:type="spellStart"/>
      <w:r w:rsidRPr="000C4CD0">
        <w:rPr>
          <w:rFonts w:eastAsia="Calibri"/>
        </w:rPr>
        <w:t>d’incidence</w:t>
      </w:r>
      <w:proofErr w:type="spellEnd"/>
      <w:r w:rsidRPr="000C4CD0">
        <w:rPr>
          <w:rFonts w:eastAsia="Calibri"/>
        </w:rPr>
        <w:t xml:space="preserve"> sur le </w:t>
      </w:r>
      <w:proofErr w:type="spellStart"/>
      <w:r w:rsidRPr="000C4CD0">
        <w:rPr>
          <w:rFonts w:eastAsia="Calibri"/>
        </w:rPr>
        <w:t>texte</w:t>
      </w:r>
      <w:proofErr w:type="spellEnd"/>
      <w:r w:rsidRPr="000C4CD0">
        <w:rPr>
          <w:rFonts w:eastAsia="Calibri"/>
        </w:rPr>
        <w:t xml:space="preserve"> </w:t>
      </w:r>
      <w:proofErr w:type="spellStart"/>
      <w:r w:rsidRPr="000C4CD0">
        <w:rPr>
          <w:rFonts w:eastAsia="Calibri"/>
        </w:rPr>
        <w:t>français</w:t>
      </w:r>
      <w:proofErr w:type="spellEnd"/>
      <w:r w:rsidRPr="000C4CD0">
        <w:rPr>
          <w:rFonts w:eastAsia="Calibri"/>
        </w:rPr>
        <w:t>.]</w:t>
      </w:r>
    </w:p>
    <w:p w:rsidR="00FF3208" w:rsidRPr="000C4CD0" w:rsidRDefault="0014242A" w:rsidP="001C67C4">
      <w:pPr>
        <w:pStyle w:val="SingleTxtG"/>
        <w:rPr>
          <w:rFonts w:cs="Arial"/>
          <w:u w:val="single"/>
        </w:rPr>
      </w:pPr>
      <w:proofErr w:type="gramStart"/>
      <w:r w:rsidRPr="000C4CD0">
        <w:rPr>
          <w:rFonts w:cs="Arial"/>
          <w:u w:val="single"/>
        </w:rPr>
        <w:t xml:space="preserve">Motif </w:t>
      </w:r>
      <w:r w:rsidR="00FF3208" w:rsidRPr="000C4CD0">
        <w:rPr>
          <w:rFonts w:cs="Arial"/>
          <w:u w:val="single"/>
        </w:rPr>
        <w:t>:</w:t>
      </w:r>
      <w:proofErr w:type="gramEnd"/>
    </w:p>
    <w:p w:rsidR="00FF3208" w:rsidRPr="000C4CD0" w:rsidRDefault="008B1B69" w:rsidP="001C67C4">
      <w:pPr>
        <w:pStyle w:val="SingleTxtG"/>
        <w:rPr>
          <w:rFonts w:cs="Arial"/>
        </w:rPr>
      </w:pPr>
      <w:proofErr w:type="spellStart"/>
      <w:r w:rsidRPr="000C4CD0">
        <w:rPr>
          <w:rFonts w:cs="Arial"/>
        </w:rPr>
        <w:t>Amélioration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linguistique</w:t>
      </w:r>
      <w:proofErr w:type="spellEnd"/>
      <w:r w:rsidRPr="000C4CD0">
        <w:rPr>
          <w:rFonts w:cs="Arial"/>
        </w:rPr>
        <w:t xml:space="preserve"> et </w:t>
      </w:r>
      <w:proofErr w:type="spellStart"/>
      <w:r w:rsidRPr="000C4CD0">
        <w:rPr>
          <w:rFonts w:cs="Arial"/>
        </w:rPr>
        <w:t>grammaticale</w:t>
      </w:r>
      <w:proofErr w:type="spellEnd"/>
      <w:r w:rsidRPr="000C4CD0">
        <w:rPr>
          <w:rFonts w:cs="Arial"/>
        </w:rPr>
        <w:t xml:space="preserve">. </w:t>
      </w:r>
      <w:proofErr w:type="spellStart"/>
      <w:r w:rsidRPr="000C4CD0">
        <w:rPr>
          <w:rFonts w:cs="Arial"/>
        </w:rPr>
        <w:t>Voir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aussi</w:t>
      </w:r>
      <w:proofErr w:type="spellEnd"/>
      <w:r w:rsidRPr="000C4CD0">
        <w:rPr>
          <w:rFonts w:cs="Arial"/>
        </w:rPr>
        <w:t xml:space="preserve"> la version </w:t>
      </w:r>
      <w:proofErr w:type="spellStart"/>
      <w:r w:rsidRPr="000C4CD0">
        <w:rPr>
          <w:rFonts w:cs="Arial"/>
        </w:rPr>
        <w:t>anglaise</w:t>
      </w:r>
      <w:proofErr w:type="spellEnd"/>
      <w:r w:rsidRPr="000C4CD0">
        <w:rPr>
          <w:rFonts w:cs="Arial"/>
        </w:rPr>
        <w:t>.</w:t>
      </w:r>
    </w:p>
    <w:p w:rsidR="00FF3208" w:rsidRPr="000C4CD0" w:rsidRDefault="00FF3208" w:rsidP="001C67C4">
      <w:pPr>
        <w:pStyle w:val="SingleTxtG"/>
        <w:tabs>
          <w:tab w:val="left" w:pos="1701"/>
        </w:tabs>
        <w:rPr>
          <w:rFonts w:cs="Arial"/>
        </w:rPr>
      </w:pPr>
      <w:r w:rsidRPr="000C4CD0">
        <w:rPr>
          <w:rFonts w:cs="Arial"/>
        </w:rPr>
        <w:t>4.</w:t>
      </w:r>
      <w:r w:rsidRPr="000C4CD0">
        <w:rPr>
          <w:rFonts w:cs="Arial"/>
        </w:rPr>
        <w:tab/>
      </w:r>
      <w:r w:rsidR="00C05E4C" w:rsidRPr="00C05E4C">
        <w:rPr>
          <w:rFonts w:cs="Arial"/>
        </w:rPr>
        <w:t>1.6.7.2.1.2</w:t>
      </w:r>
      <w:bookmarkStart w:id="0" w:name="_GoBack"/>
      <w:bookmarkEnd w:id="0"/>
      <w:r w:rsidRPr="000C4CD0">
        <w:rPr>
          <w:rFonts w:cs="Arial"/>
        </w:rPr>
        <w:tab/>
      </w:r>
      <w:proofErr w:type="spellStart"/>
      <w:r w:rsidR="00703329" w:rsidRPr="000C4CD0">
        <w:rPr>
          <w:rFonts w:cs="Arial"/>
        </w:rPr>
        <w:t>Dans</w:t>
      </w:r>
      <w:proofErr w:type="spellEnd"/>
      <w:r w:rsidR="00703329" w:rsidRPr="000C4CD0">
        <w:rPr>
          <w:rFonts w:cs="Arial"/>
        </w:rPr>
        <w:t xml:space="preserve"> la nouvelle disposition </w:t>
      </w:r>
      <w:proofErr w:type="spellStart"/>
      <w:r w:rsidR="00703329" w:rsidRPr="000C4CD0">
        <w:rPr>
          <w:rFonts w:cs="Arial"/>
        </w:rPr>
        <w:t>transitoire</w:t>
      </w:r>
      <w:proofErr w:type="spellEnd"/>
      <w:r w:rsidR="00703329" w:rsidRPr="000C4CD0">
        <w:rPr>
          <w:rFonts w:cs="Arial"/>
        </w:rPr>
        <w:t xml:space="preserve"> pour </w:t>
      </w:r>
      <w:r w:rsidRPr="000C4CD0">
        <w:rPr>
          <w:rFonts w:cs="Arial"/>
        </w:rPr>
        <w:t xml:space="preserve">9.3.1.8.3, 9.3.2.8.3, 9.3.3.8.3 </w:t>
      </w:r>
      <w:r w:rsidR="00703329" w:rsidRPr="000C4CD0">
        <w:rPr>
          <w:rFonts w:cs="Arial"/>
        </w:rPr>
        <w:t>« </w:t>
      </w:r>
      <w:proofErr w:type="spellStart"/>
      <w:r w:rsidR="00703329" w:rsidRPr="000C4CD0">
        <w:t>Vérification</w:t>
      </w:r>
      <w:proofErr w:type="spellEnd"/>
      <w:r w:rsidR="00703329" w:rsidRPr="000C4CD0">
        <w:t xml:space="preserve"> de </w:t>
      </w:r>
      <w:proofErr w:type="spellStart"/>
      <w:r w:rsidR="00703329" w:rsidRPr="000C4CD0">
        <w:t>l’installation</w:t>
      </w:r>
      <w:proofErr w:type="spellEnd"/>
      <w:r w:rsidR="00703329" w:rsidRPr="000C4CD0">
        <w:t xml:space="preserve"> de </w:t>
      </w:r>
      <w:proofErr w:type="spellStart"/>
      <w:r w:rsidR="00703329" w:rsidRPr="000C4CD0">
        <w:t>mesure</w:t>
      </w:r>
      <w:proofErr w:type="spellEnd"/>
      <w:r w:rsidR="00703329" w:rsidRPr="000C4CD0">
        <w:t xml:space="preserve"> de </w:t>
      </w:r>
      <w:proofErr w:type="spellStart"/>
      <w:r w:rsidR="00703329" w:rsidRPr="000C4CD0">
        <w:t>l’oxygène</w:t>
      </w:r>
      <w:proofErr w:type="spellEnd"/>
      <w:r w:rsidR="00703329" w:rsidRPr="000C4CD0">
        <w:t xml:space="preserve"> » </w:t>
      </w:r>
      <w:proofErr w:type="spellStart"/>
      <w:r w:rsidR="00703329" w:rsidRPr="000C4CD0">
        <w:t>dans</w:t>
      </w:r>
      <w:proofErr w:type="spellEnd"/>
      <w:r w:rsidR="00703329" w:rsidRPr="000C4CD0">
        <w:t xml:space="preserve"> la première </w:t>
      </w:r>
      <w:proofErr w:type="spellStart"/>
      <w:r w:rsidR="00703329" w:rsidRPr="000C4CD0">
        <w:t>colonne</w:t>
      </w:r>
      <w:proofErr w:type="spellEnd"/>
      <w:r w:rsidR="00703329" w:rsidRPr="000C4CD0">
        <w:t xml:space="preserve"> </w:t>
      </w:r>
      <w:proofErr w:type="spellStart"/>
      <w:r w:rsidR="00703329" w:rsidRPr="000C4CD0">
        <w:t>remplacer</w:t>
      </w:r>
      <w:proofErr w:type="spellEnd"/>
      <w:r w:rsidR="00703329" w:rsidRPr="000C4CD0">
        <w:t xml:space="preserve"> « </w:t>
      </w:r>
      <w:r w:rsidRPr="000C4CD0">
        <w:rPr>
          <w:rFonts w:cs="Arial"/>
        </w:rPr>
        <w:t>9.3.1.8.3, 9.3.2.8.3, 9.3.3.8.3</w:t>
      </w:r>
      <w:r w:rsidR="00703329" w:rsidRPr="000C4CD0">
        <w:rPr>
          <w:rFonts w:cs="Arial"/>
        </w:rPr>
        <w:t> » par « </w:t>
      </w:r>
      <w:r w:rsidRPr="000C4CD0">
        <w:rPr>
          <w:rFonts w:cs="Arial"/>
        </w:rPr>
        <w:t>8.1.6.3</w:t>
      </w:r>
      <w:r w:rsidR="00703329" w:rsidRPr="000C4CD0">
        <w:rPr>
          <w:rFonts w:cs="Arial"/>
        </w:rPr>
        <w:t> »</w:t>
      </w:r>
      <w:r w:rsidRPr="000C4CD0">
        <w:rPr>
          <w:rFonts w:cs="Arial"/>
        </w:rPr>
        <w:t>.</w:t>
      </w:r>
    </w:p>
    <w:p w:rsidR="00FF3208" w:rsidRPr="000C4CD0" w:rsidRDefault="0014242A" w:rsidP="001C67C4">
      <w:pPr>
        <w:pStyle w:val="SingleTxtG"/>
        <w:rPr>
          <w:rFonts w:cs="Arial"/>
          <w:u w:val="single"/>
        </w:rPr>
      </w:pPr>
      <w:proofErr w:type="gramStart"/>
      <w:r w:rsidRPr="000C4CD0">
        <w:rPr>
          <w:rFonts w:cs="Arial"/>
          <w:u w:val="single"/>
        </w:rPr>
        <w:t xml:space="preserve">Motif </w:t>
      </w:r>
      <w:r w:rsidR="00FF3208" w:rsidRPr="000C4CD0">
        <w:rPr>
          <w:rFonts w:cs="Arial"/>
          <w:u w:val="single"/>
        </w:rPr>
        <w:t>:</w:t>
      </w:r>
      <w:proofErr w:type="gramEnd"/>
    </w:p>
    <w:p w:rsidR="00FF3208" w:rsidRPr="000C4CD0" w:rsidRDefault="00703329" w:rsidP="001C67C4">
      <w:pPr>
        <w:pStyle w:val="SingleTxtG"/>
        <w:rPr>
          <w:rFonts w:cs="Arial"/>
        </w:rPr>
      </w:pPr>
      <w:r w:rsidRPr="000C4CD0">
        <w:rPr>
          <w:rFonts w:cs="Arial"/>
        </w:rPr>
        <w:t xml:space="preserve">Le </w:t>
      </w:r>
      <w:proofErr w:type="spellStart"/>
      <w:r w:rsidRPr="000C4CD0">
        <w:rPr>
          <w:rFonts w:cs="Arial"/>
        </w:rPr>
        <w:t>contenu</w:t>
      </w:r>
      <w:proofErr w:type="spellEnd"/>
      <w:r w:rsidRPr="000C4CD0">
        <w:rPr>
          <w:rFonts w:cs="Arial"/>
        </w:rPr>
        <w:t xml:space="preserve"> des </w:t>
      </w:r>
      <w:proofErr w:type="spellStart"/>
      <w:r w:rsidRPr="000C4CD0">
        <w:rPr>
          <w:rFonts w:cs="Arial"/>
        </w:rPr>
        <w:t>paragraphes</w:t>
      </w:r>
      <w:proofErr w:type="spellEnd"/>
      <w:r w:rsidR="00FF3208" w:rsidRPr="000C4CD0">
        <w:rPr>
          <w:rFonts w:cs="Arial"/>
        </w:rPr>
        <w:t xml:space="preserve"> 9.3.1.8.3, 9.3.2.8.3, 9.3.3.8.3 </w:t>
      </w:r>
      <w:r w:rsidRPr="000C4CD0">
        <w:rPr>
          <w:rFonts w:cs="Arial"/>
        </w:rPr>
        <w:t xml:space="preserve">a </w:t>
      </w:r>
      <w:proofErr w:type="spellStart"/>
      <w:r w:rsidRPr="000C4CD0">
        <w:rPr>
          <w:rFonts w:cs="Arial"/>
        </w:rPr>
        <w:t>été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déplacé</w:t>
      </w:r>
      <w:proofErr w:type="spellEnd"/>
      <w:r w:rsidRPr="000C4CD0">
        <w:rPr>
          <w:rFonts w:cs="Arial"/>
        </w:rPr>
        <w:t xml:space="preserve"> à la </w:t>
      </w:r>
      <w:proofErr w:type="spellStart"/>
      <w:r w:rsidRPr="000C4CD0">
        <w:rPr>
          <w:rFonts w:cs="Arial"/>
        </w:rPr>
        <w:t>sous</w:t>
      </w:r>
      <w:proofErr w:type="spellEnd"/>
      <w:r w:rsidRPr="000C4CD0">
        <w:rPr>
          <w:rFonts w:cs="Arial"/>
        </w:rPr>
        <w:t>-section</w:t>
      </w:r>
      <w:r w:rsidR="00FF3208" w:rsidRPr="000C4CD0">
        <w:rPr>
          <w:rFonts w:cs="Arial"/>
        </w:rPr>
        <w:t xml:space="preserve"> 8.1.6.3</w:t>
      </w:r>
      <w:r w:rsidR="00574986" w:rsidRPr="000C4CD0">
        <w:rPr>
          <w:rFonts w:cs="Arial"/>
        </w:rPr>
        <w:t>.</w:t>
      </w:r>
    </w:p>
    <w:p w:rsidR="005D7CBC" w:rsidRPr="00A74215" w:rsidRDefault="00FF3208" w:rsidP="00A74215">
      <w:pPr>
        <w:pStyle w:val="SingleTxtG"/>
        <w:tabs>
          <w:tab w:val="left" w:pos="1701"/>
        </w:tabs>
      </w:pPr>
      <w:r w:rsidRPr="000C4CD0">
        <w:t>5.</w:t>
      </w:r>
      <w:r w:rsidRPr="000C4CD0">
        <w:tab/>
        <w:t>1.6.7.2.2.2</w:t>
      </w:r>
      <w:r w:rsidR="006803BD" w:rsidRPr="000C4CD0">
        <w:tab/>
        <w:t xml:space="preserve">Modifier la nouvelle disposition </w:t>
      </w:r>
      <w:proofErr w:type="spellStart"/>
      <w:r w:rsidR="006803BD" w:rsidRPr="000C4CD0">
        <w:t>transitoire</w:t>
      </w:r>
      <w:proofErr w:type="spellEnd"/>
      <w:r w:rsidR="006803BD" w:rsidRPr="000C4CD0">
        <w:t xml:space="preserve"> pour</w:t>
      </w:r>
      <w:r w:rsidRPr="000C4CD0">
        <w:t xml:space="preserve"> 9.3.2.22.4 d)/9.3.3.22.4 e) </w:t>
      </w:r>
      <w:r w:rsidR="006803BD" w:rsidRPr="000C4CD0">
        <w:t xml:space="preserve">pour lire </w:t>
      </w:r>
      <w:proofErr w:type="spellStart"/>
      <w:r w:rsidR="006803BD" w:rsidRPr="000C4CD0">
        <w:t>comme</w:t>
      </w:r>
      <w:proofErr w:type="spellEnd"/>
      <w:r w:rsidR="006803BD" w:rsidRPr="000C4CD0">
        <w:t xml:space="preserve"> </w:t>
      </w:r>
      <w:proofErr w:type="gramStart"/>
      <w:r w:rsidR="006803BD" w:rsidRPr="000C4CD0">
        <w:t xml:space="preserve">suit </w:t>
      </w:r>
      <w:r w:rsidRPr="000C4CD0">
        <w:t>:</w:t>
      </w:r>
      <w:proofErr w:type="gramEnd"/>
    </w:p>
    <w:tbl>
      <w:tblPr>
        <w:tblStyle w:val="Grilledutableau6"/>
        <w:tblW w:w="9639" w:type="dxa"/>
        <w:tblInd w:w="0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3726"/>
        <w:gridCol w:w="4463"/>
      </w:tblGrid>
      <w:tr w:rsidR="005D7CBC" w:rsidRPr="00113F54" w:rsidTr="005D7CBC">
        <w:trPr>
          <w:trHeight w:val="464"/>
        </w:trPr>
        <w:tc>
          <w:tcPr>
            <w:tcW w:w="1474" w:type="dxa"/>
            <w:shd w:val="clear" w:color="auto" w:fill="auto"/>
            <w:hideMark/>
          </w:tcPr>
          <w:p w:rsidR="005D7CBC" w:rsidRPr="000C4CD0" w:rsidRDefault="005D7CBC" w:rsidP="004C76DA">
            <w:pPr>
              <w:spacing w:before="40" w:after="120" w:line="220" w:lineRule="exact"/>
              <w:ind w:right="113"/>
              <w:rPr>
                <w:rFonts w:ascii="Times New Roman" w:hAnsi="Times New Roman"/>
                <w:szCs w:val="20"/>
                <w:lang w:val="fr-FR"/>
              </w:rPr>
            </w:pPr>
            <w:r w:rsidRPr="000C4CD0">
              <w:rPr>
                <w:rFonts w:ascii="Times New Roman" w:hAnsi="Times New Roman"/>
                <w:szCs w:val="20"/>
                <w:lang w:val="fr-FR"/>
              </w:rPr>
              <w:t xml:space="preserve">9.3.2.22.4 </w:t>
            </w:r>
            <w:r w:rsidRPr="000C4CD0">
              <w:rPr>
                <w:rFonts w:ascii="Times New Roman" w:hAnsi="Times New Roman"/>
                <w:strike/>
                <w:szCs w:val="20"/>
                <w:lang w:val="fr-FR"/>
              </w:rPr>
              <w:t>d)</w:t>
            </w:r>
            <w:r w:rsidRPr="000C4CD0">
              <w:rPr>
                <w:rFonts w:ascii="Times New Roman" w:hAnsi="Times New Roman"/>
                <w:szCs w:val="20"/>
                <w:lang w:val="fr-FR"/>
              </w:rPr>
              <w:t xml:space="preserve"> e)</w:t>
            </w:r>
          </w:p>
          <w:p w:rsidR="005D7CBC" w:rsidRPr="000C4CD0" w:rsidRDefault="005D7CBC" w:rsidP="004C76DA">
            <w:pPr>
              <w:spacing w:before="40" w:after="120" w:line="220" w:lineRule="exact"/>
              <w:ind w:right="113"/>
              <w:rPr>
                <w:rFonts w:ascii="Times New Roman" w:hAnsi="Times New Roman"/>
                <w:szCs w:val="20"/>
                <w:lang w:val="fr-FR"/>
              </w:rPr>
            </w:pPr>
            <w:r w:rsidRPr="000C4CD0">
              <w:rPr>
                <w:rFonts w:ascii="Times New Roman" w:hAnsi="Times New Roman"/>
                <w:szCs w:val="20"/>
                <w:lang w:val="fr-FR"/>
              </w:rPr>
              <w:t xml:space="preserve">9.3.3.22.4 </w:t>
            </w:r>
            <w:r w:rsidRPr="000C4CD0">
              <w:rPr>
                <w:rFonts w:ascii="Times New Roman" w:hAnsi="Times New Roman"/>
                <w:strike/>
                <w:szCs w:val="20"/>
                <w:lang w:val="fr-FR"/>
              </w:rPr>
              <w:t>e)</w:t>
            </w:r>
            <w:r w:rsidRPr="000C4CD0">
              <w:rPr>
                <w:rFonts w:ascii="Times New Roman" w:hAnsi="Times New Roman"/>
                <w:szCs w:val="20"/>
                <w:lang w:val="fr-FR"/>
              </w:rPr>
              <w:t xml:space="preserve"> d)</w:t>
            </w:r>
          </w:p>
        </w:tc>
        <w:tc>
          <w:tcPr>
            <w:tcW w:w="3787" w:type="dxa"/>
            <w:shd w:val="clear" w:color="auto" w:fill="auto"/>
            <w:hideMark/>
          </w:tcPr>
          <w:p w:rsidR="005D7CBC" w:rsidRPr="000C4CD0" w:rsidRDefault="005D7CBC" w:rsidP="004C76DA">
            <w:pPr>
              <w:spacing w:before="40" w:after="120" w:line="220" w:lineRule="exact"/>
              <w:ind w:right="113"/>
              <w:rPr>
                <w:rFonts w:ascii="Times New Roman" w:hAnsi="Times New Roman"/>
                <w:szCs w:val="20"/>
                <w:lang w:val="fr-FR"/>
              </w:rPr>
            </w:pPr>
            <w:r w:rsidRPr="000C4CD0">
              <w:rPr>
                <w:rFonts w:ascii="Times New Roman" w:hAnsi="Times New Roman"/>
                <w:szCs w:val="20"/>
                <w:lang w:val="fr-FR"/>
              </w:rPr>
              <w:t>Groupe d’explosion / sous-groupe</w:t>
            </w:r>
          </w:p>
        </w:tc>
        <w:tc>
          <w:tcPr>
            <w:tcW w:w="4536" w:type="dxa"/>
            <w:shd w:val="clear" w:color="auto" w:fill="auto"/>
            <w:hideMark/>
          </w:tcPr>
          <w:p w:rsidR="005D7CBC" w:rsidRPr="000C4CD0" w:rsidRDefault="005D7CBC" w:rsidP="005D7CBC">
            <w:pPr>
              <w:spacing w:before="40" w:after="120" w:line="220" w:lineRule="exact"/>
              <w:ind w:left="211" w:right="113" w:firstLine="0"/>
              <w:rPr>
                <w:rFonts w:ascii="Times New Roman" w:hAnsi="Times New Roman"/>
                <w:szCs w:val="20"/>
                <w:lang w:val="fr-FR"/>
              </w:rPr>
            </w:pPr>
            <w:r w:rsidRPr="000C4CD0">
              <w:rPr>
                <w:rFonts w:ascii="Times New Roman" w:hAnsi="Times New Roman"/>
                <w:szCs w:val="20"/>
                <w:lang w:val="fr-FR"/>
              </w:rPr>
              <w:t>N.R.T. à partir du 1er janvier 2019</w:t>
            </w:r>
            <w:r w:rsidRPr="000C4CD0">
              <w:rPr>
                <w:rFonts w:ascii="Times New Roman" w:hAnsi="Times New Roman"/>
                <w:szCs w:val="20"/>
                <w:lang w:val="fr-FR"/>
              </w:rPr>
              <w:br/>
              <w:t>Renouvellement du certificat d’agrément après le 31 décembre 2024</w:t>
            </w:r>
          </w:p>
        </w:tc>
      </w:tr>
    </w:tbl>
    <w:p w:rsidR="005D7CBC" w:rsidRPr="000C4CD0" w:rsidRDefault="005D7CBC" w:rsidP="00FF3208">
      <w:pPr>
        <w:spacing w:line="240" w:lineRule="atLeast"/>
        <w:ind w:firstLine="0"/>
        <w:contextualSpacing/>
        <w:rPr>
          <w:rFonts w:cs="Arial"/>
          <w:u w:val="single"/>
          <w:lang w:val="fr-FR"/>
        </w:rPr>
      </w:pPr>
    </w:p>
    <w:p w:rsidR="00FF3208" w:rsidRPr="00A74215" w:rsidRDefault="0014242A" w:rsidP="00A74215">
      <w:pPr>
        <w:pStyle w:val="SingleTxtG"/>
        <w:rPr>
          <w:u w:val="single"/>
        </w:rPr>
      </w:pPr>
      <w:proofErr w:type="gramStart"/>
      <w:r w:rsidRPr="00A74215">
        <w:rPr>
          <w:u w:val="single"/>
        </w:rPr>
        <w:t xml:space="preserve">Motif </w:t>
      </w:r>
      <w:r w:rsidR="00FF3208" w:rsidRPr="00A74215">
        <w:rPr>
          <w:u w:val="single"/>
        </w:rPr>
        <w:t>:</w:t>
      </w:r>
      <w:proofErr w:type="gramEnd"/>
    </w:p>
    <w:p w:rsidR="00FF3208" w:rsidRPr="000C4CD0" w:rsidRDefault="008B1B69" w:rsidP="00A74215">
      <w:pPr>
        <w:pStyle w:val="SingleTxtG"/>
      </w:pPr>
      <w:proofErr w:type="spellStart"/>
      <w:r w:rsidRPr="000C4CD0">
        <w:t>Erreur</w:t>
      </w:r>
      <w:proofErr w:type="spellEnd"/>
      <w:r w:rsidRPr="000C4CD0">
        <w:t xml:space="preserve"> </w:t>
      </w:r>
      <w:proofErr w:type="spellStart"/>
      <w:r w:rsidRPr="000C4CD0">
        <w:t>rédactionnelle</w:t>
      </w:r>
      <w:proofErr w:type="spellEnd"/>
    </w:p>
    <w:p w:rsidR="00FF3208" w:rsidRPr="000C4CD0" w:rsidRDefault="00FF3208" w:rsidP="00A74215">
      <w:pPr>
        <w:pStyle w:val="SingleTxtG"/>
        <w:tabs>
          <w:tab w:val="left" w:pos="1701"/>
        </w:tabs>
      </w:pPr>
      <w:r w:rsidRPr="000C4CD0">
        <w:t>6.</w:t>
      </w:r>
      <w:r w:rsidRPr="000C4CD0">
        <w:tab/>
        <w:t>1.6.7.2.2.2</w:t>
      </w:r>
      <w:r w:rsidRPr="000C4CD0">
        <w:tab/>
      </w:r>
      <w:proofErr w:type="spellStart"/>
      <w:r w:rsidR="006803BD" w:rsidRPr="000C4CD0">
        <w:t>Supprimer</w:t>
      </w:r>
      <w:proofErr w:type="spellEnd"/>
      <w:r w:rsidR="006803BD" w:rsidRPr="000C4CD0">
        <w:t xml:space="preserve"> l</w:t>
      </w:r>
      <w:r w:rsidR="005F5118" w:rsidRPr="000C4CD0">
        <w:t>a</w:t>
      </w:r>
      <w:r w:rsidR="006803BD" w:rsidRPr="000C4CD0">
        <w:t xml:space="preserve"> nouvelle dispos</w:t>
      </w:r>
      <w:r w:rsidR="00703329" w:rsidRPr="000C4CD0">
        <w:t>i</w:t>
      </w:r>
      <w:r w:rsidR="006803BD" w:rsidRPr="000C4CD0">
        <w:t xml:space="preserve">tion </w:t>
      </w:r>
      <w:proofErr w:type="spellStart"/>
      <w:r w:rsidR="006803BD" w:rsidRPr="000C4CD0">
        <w:t>transitoire</w:t>
      </w:r>
      <w:proofErr w:type="spellEnd"/>
      <w:r w:rsidR="006803BD" w:rsidRPr="000C4CD0">
        <w:t xml:space="preserve"> pour</w:t>
      </w:r>
      <w:r w:rsidRPr="000C4CD0">
        <w:t xml:space="preserve"> 7.2.4.25.5.</w:t>
      </w:r>
    </w:p>
    <w:p w:rsidR="00FF3208" w:rsidRPr="00A74215" w:rsidRDefault="0014242A" w:rsidP="00A74215">
      <w:pPr>
        <w:pStyle w:val="SingleTxtG"/>
        <w:rPr>
          <w:u w:val="single"/>
        </w:rPr>
      </w:pPr>
      <w:proofErr w:type="gramStart"/>
      <w:r w:rsidRPr="00A74215">
        <w:rPr>
          <w:u w:val="single"/>
        </w:rPr>
        <w:t xml:space="preserve">Motif </w:t>
      </w:r>
      <w:r w:rsidR="00FF3208" w:rsidRPr="00A74215">
        <w:rPr>
          <w:u w:val="single"/>
        </w:rPr>
        <w:t>:</w:t>
      </w:r>
      <w:proofErr w:type="gramEnd"/>
    </w:p>
    <w:p w:rsidR="00FF3208" w:rsidRPr="000C4CD0" w:rsidRDefault="005F5118" w:rsidP="00A74215">
      <w:pPr>
        <w:pStyle w:val="SingleTxtG"/>
      </w:pPr>
      <w:r w:rsidRPr="000C4CD0">
        <w:t xml:space="preserve">Suppression de la </w:t>
      </w:r>
      <w:proofErr w:type="spellStart"/>
      <w:r w:rsidR="00AB590E" w:rsidRPr="000C4CD0">
        <w:t>demande</w:t>
      </w:r>
      <w:proofErr w:type="spellEnd"/>
      <w:r w:rsidR="00AB590E" w:rsidRPr="000C4CD0">
        <w:t xml:space="preserve"> de modification du</w:t>
      </w:r>
      <w:r w:rsidRPr="000C4CD0">
        <w:t xml:space="preserve"> 7.2.4.25.5.</w:t>
      </w:r>
    </w:p>
    <w:p w:rsidR="00FF3208" w:rsidRPr="000C4CD0" w:rsidRDefault="00FF3208" w:rsidP="00A74215">
      <w:pPr>
        <w:pStyle w:val="SingleTxtG"/>
        <w:tabs>
          <w:tab w:val="left" w:pos="1701"/>
        </w:tabs>
        <w:rPr>
          <w:rFonts w:eastAsia="Calibri"/>
        </w:rPr>
      </w:pPr>
      <w:r w:rsidRPr="000C4CD0">
        <w:t>7.</w:t>
      </w:r>
      <w:r w:rsidRPr="000C4CD0">
        <w:tab/>
      </w:r>
      <w:proofErr w:type="spellStart"/>
      <w:r w:rsidRPr="000C4CD0">
        <w:t>Dans</w:t>
      </w:r>
      <w:proofErr w:type="spellEnd"/>
      <w:r w:rsidRPr="000C4CD0">
        <w:t xml:space="preserve"> la </w:t>
      </w:r>
      <w:proofErr w:type="spellStart"/>
      <w:r w:rsidRPr="000C4CD0">
        <w:t>demande</w:t>
      </w:r>
      <w:proofErr w:type="spellEnd"/>
      <w:r w:rsidRPr="000C4CD0">
        <w:t xml:space="preserve"> de modification du 7.1.3.51.8 ADN, </w:t>
      </w:r>
      <w:proofErr w:type="spellStart"/>
      <w:r w:rsidRPr="000C4CD0">
        <w:t>ajouter</w:t>
      </w:r>
      <w:proofErr w:type="spellEnd"/>
      <w:r w:rsidRPr="000C4CD0">
        <w:t xml:space="preserve"> la phrase </w:t>
      </w:r>
      <w:proofErr w:type="spellStart"/>
      <w:proofErr w:type="gramStart"/>
      <w:r w:rsidRPr="000C4CD0">
        <w:t>suivante</w:t>
      </w:r>
      <w:proofErr w:type="spellEnd"/>
      <w:r w:rsidRPr="000C4CD0">
        <w:t xml:space="preserve"> :</w:t>
      </w:r>
      <w:proofErr w:type="gramEnd"/>
      <w:r w:rsidRPr="000C4CD0">
        <w:t xml:space="preserve"> « </w:t>
      </w:r>
      <w:proofErr w:type="spellStart"/>
      <w:r w:rsidRPr="000C4CD0">
        <w:t>L'autorité</w:t>
      </w:r>
      <w:proofErr w:type="spellEnd"/>
      <w:r w:rsidRPr="000C4CD0">
        <w:t xml:space="preserve"> </w:t>
      </w:r>
      <w:proofErr w:type="spellStart"/>
      <w:r w:rsidRPr="000C4CD0">
        <w:t>compétente</w:t>
      </w:r>
      <w:proofErr w:type="spellEnd"/>
      <w:r w:rsidRPr="000C4CD0">
        <w:t xml:space="preserve"> </w:t>
      </w:r>
      <w:proofErr w:type="spellStart"/>
      <w:r w:rsidRPr="000C4CD0">
        <w:t>peut</w:t>
      </w:r>
      <w:proofErr w:type="spellEnd"/>
      <w:r w:rsidRPr="000C4CD0">
        <w:t xml:space="preserve"> accorder des </w:t>
      </w:r>
      <w:proofErr w:type="spellStart"/>
      <w:r w:rsidRPr="000C4CD0">
        <w:t>dérogations</w:t>
      </w:r>
      <w:proofErr w:type="spellEnd"/>
      <w:r w:rsidRPr="000C4CD0">
        <w:t xml:space="preserve"> au </w:t>
      </w:r>
      <w:proofErr w:type="spellStart"/>
      <w:r w:rsidRPr="000C4CD0">
        <w:t>cas</w:t>
      </w:r>
      <w:proofErr w:type="spellEnd"/>
      <w:r w:rsidRPr="000C4CD0">
        <w:t xml:space="preserve"> par </w:t>
      </w:r>
      <w:proofErr w:type="spellStart"/>
      <w:r w:rsidRPr="000C4CD0">
        <w:t>cas</w:t>
      </w:r>
      <w:proofErr w:type="spellEnd"/>
      <w:r w:rsidRPr="000C4CD0">
        <w:t> ».</w:t>
      </w:r>
    </w:p>
    <w:p w:rsidR="00FF3208" w:rsidRPr="000C4CD0" w:rsidRDefault="0014242A" w:rsidP="00A74215">
      <w:pPr>
        <w:pStyle w:val="SingleTxtG"/>
        <w:rPr>
          <w:rFonts w:cs="Arial"/>
          <w:u w:val="single"/>
        </w:rPr>
      </w:pPr>
      <w:proofErr w:type="gramStart"/>
      <w:r w:rsidRPr="000C4CD0">
        <w:rPr>
          <w:rFonts w:cs="Arial"/>
          <w:u w:val="single"/>
        </w:rPr>
        <w:t xml:space="preserve">Motif </w:t>
      </w:r>
      <w:r w:rsidR="00FF3208" w:rsidRPr="000C4CD0">
        <w:rPr>
          <w:rFonts w:cs="Arial"/>
          <w:u w:val="single"/>
        </w:rPr>
        <w:t>:</w:t>
      </w:r>
      <w:proofErr w:type="gramEnd"/>
    </w:p>
    <w:p w:rsidR="00FF3208" w:rsidRPr="000C4CD0" w:rsidRDefault="00FF3208" w:rsidP="00A74215">
      <w:pPr>
        <w:pStyle w:val="SingleTxtG"/>
        <w:rPr>
          <w:rFonts w:cs="Arial"/>
        </w:rPr>
      </w:pPr>
      <w:r w:rsidRPr="000C4CD0">
        <w:rPr>
          <w:rFonts w:cs="Arial"/>
        </w:rPr>
        <w:t xml:space="preserve">Les conditions de </w:t>
      </w:r>
      <w:proofErr w:type="spellStart"/>
      <w:r w:rsidRPr="000C4CD0">
        <w:rPr>
          <w:rFonts w:cs="Arial"/>
        </w:rPr>
        <w:t>trafic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ou</w:t>
      </w:r>
      <w:proofErr w:type="spellEnd"/>
      <w:r w:rsidRPr="000C4CD0">
        <w:rPr>
          <w:rFonts w:cs="Arial"/>
        </w:rPr>
        <w:t xml:space="preserve"> les </w:t>
      </w:r>
      <w:proofErr w:type="spellStart"/>
      <w:r w:rsidRPr="000C4CD0">
        <w:rPr>
          <w:rFonts w:cs="Arial"/>
        </w:rPr>
        <w:t>avaries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peuvent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rendre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nécessaire</w:t>
      </w:r>
      <w:proofErr w:type="spellEnd"/>
      <w:r w:rsidRPr="000C4CD0">
        <w:rPr>
          <w:rFonts w:cs="Arial"/>
        </w:rPr>
        <w:t xml:space="preserve"> de </w:t>
      </w:r>
      <w:proofErr w:type="spellStart"/>
      <w:r w:rsidRPr="000C4CD0">
        <w:rPr>
          <w:rFonts w:cs="Arial"/>
        </w:rPr>
        <w:t>regagner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immédiatement</w:t>
      </w:r>
      <w:proofErr w:type="spellEnd"/>
      <w:r w:rsidRPr="000C4CD0">
        <w:rPr>
          <w:rFonts w:cs="Arial"/>
        </w:rPr>
        <w:t xml:space="preserve"> un </w:t>
      </w:r>
      <w:proofErr w:type="spellStart"/>
      <w:r w:rsidRPr="000C4CD0">
        <w:rPr>
          <w:rFonts w:cs="Arial"/>
        </w:rPr>
        <w:t>tel</w:t>
      </w:r>
      <w:proofErr w:type="spellEnd"/>
      <w:r w:rsidRPr="000C4CD0">
        <w:rPr>
          <w:rFonts w:cs="Arial"/>
        </w:rPr>
        <w:t xml:space="preserve"> poste de </w:t>
      </w:r>
      <w:proofErr w:type="spellStart"/>
      <w:r w:rsidRPr="000C4CD0">
        <w:rPr>
          <w:rFonts w:cs="Arial"/>
        </w:rPr>
        <w:t>chargement</w:t>
      </w:r>
      <w:proofErr w:type="spellEnd"/>
      <w:r w:rsidRPr="000C4CD0">
        <w:rPr>
          <w:rFonts w:cs="Arial"/>
        </w:rPr>
        <w:t xml:space="preserve"> et de </w:t>
      </w:r>
      <w:proofErr w:type="spellStart"/>
      <w:r w:rsidRPr="000C4CD0">
        <w:rPr>
          <w:rFonts w:cs="Arial"/>
        </w:rPr>
        <w:t>déchargement</w:t>
      </w:r>
      <w:proofErr w:type="spellEnd"/>
      <w:r w:rsidRPr="000C4CD0">
        <w:rPr>
          <w:rFonts w:cs="Arial"/>
        </w:rPr>
        <w:t xml:space="preserve">. </w:t>
      </w:r>
      <w:proofErr w:type="spellStart"/>
      <w:r w:rsidRPr="000C4CD0">
        <w:rPr>
          <w:rFonts w:cs="Arial"/>
        </w:rPr>
        <w:t>L'autorité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compétente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doit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lastRenderedPageBreak/>
        <w:t>vérifier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si</w:t>
      </w:r>
      <w:proofErr w:type="spellEnd"/>
      <w:r w:rsidRPr="000C4CD0">
        <w:rPr>
          <w:rFonts w:cs="Arial"/>
        </w:rPr>
        <w:t xml:space="preserve"> la protection </w:t>
      </w:r>
      <w:proofErr w:type="spellStart"/>
      <w:r w:rsidRPr="000C4CD0">
        <w:rPr>
          <w:rFonts w:cs="Arial"/>
        </w:rPr>
        <w:t>contre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l'explosion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peut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être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assurée</w:t>
      </w:r>
      <w:proofErr w:type="spellEnd"/>
      <w:r w:rsidRPr="000C4CD0">
        <w:rPr>
          <w:rFonts w:cs="Arial"/>
        </w:rPr>
        <w:t xml:space="preserve"> par </w:t>
      </w:r>
      <w:proofErr w:type="spellStart"/>
      <w:r w:rsidRPr="000C4CD0">
        <w:rPr>
          <w:rFonts w:cs="Arial"/>
        </w:rPr>
        <w:t>d'autres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moyens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ou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si</w:t>
      </w:r>
      <w:proofErr w:type="spellEnd"/>
      <w:r w:rsidRPr="000C4CD0">
        <w:rPr>
          <w:rFonts w:cs="Arial"/>
        </w:rPr>
        <w:t xml:space="preserve"> des </w:t>
      </w:r>
      <w:proofErr w:type="spellStart"/>
      <w:r w:rsidRPr="000C4CD0">
        <w:rPr>
          <w:rFonts w:cs="Arial"/>
        </w:rPr>
        <w:t>allégements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peuvent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être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accordés</w:t>
      </w:r>
      <w:proofErr w:type="spellEnd"/>
      <w:r w:rsidRPr="000C4CD0">
        <w:rPr>
          <w:rFonts w:cs="Arial"/>
        </w:rPr>
        <w:t>.</w:t>
      </w:r>
    </w:p>
    <w:p w:rsidR="00FF3208" w:rsidRPr="000C4CD0" w:rsidRDefault="00FF3208" w:rsidP="00A74215">
      <w:pPr>
        <w:pStyle w:val="SingleTxtG"/>
        <w:tabs>
          <w:tab w:val="left" w:pos="1701"/>
        </w:tabs>
        <w:rPr>
          <w:rFonts w:cs="Arial"/>
        </w:rPr>
      </w:pPr>
      <w:r w:rsidRPr="000C4CD0">
        <w:rPr>
          <w:rFonts w:cs="Arial"/>
        </w:rPr>
        <w:t>8.</w:t>
      </w:r>
      <w:r w:rsidRPr="000C4CD0">
        <w:rPr>
          <w:rFonts w:cs="Arial"/>
        </w:rPr>
        <w:tab/>
      </w:r>
      <w:proofErr w:type="spellStart"/>
      <w:r w:rsidRPr="000C4CD0">
        <w:rPr>
          <w:rFonts w:cs="Arial"/>
        </w:rPr>
        <w:t>Dans</w:t>
      </w:r>
      <w:proofErr w:type="spellEnd"/>
      <w:r w:rsidRPr="000C4CD0">
        <w:rPr>
          <w:rFonts w:cs="Arial"/>
        </w:rPr>
        <w:t xml:space="preserve"> la </w:t>
      </w:r>
      <w:proofErr w:type="spellStart"/>
      <w:r w:rsidRPr="000C4CD0">
        <w:rPr>
          <w:rFonts w:cs="Arial"/>
        </w:rPr>
        <w:t>demande</w:t>
      </w:r>
      <w:proofErr w:type="spellEnd"/>
      <w:r w:rsidRPr="000C4CD0">
        <w:rPr>
          <w:rFonts w:cs="Arial"/>
        </w:rPr>
        <w:t xml:space="preserve"> de modification du 7.1.4.7.3 ADN, </w:t>
      </w:r>
      <w:proofErr w:type="spellStart"/>
      <w:r w:rsidRPr="000C4CD0">
        <w:rPr>
          <w:rFonts w:cs="Arial"/>
        </w:rPr>
        <w:t>ajouter</w:t>
      </w:r>
      <w:proofErr w:type="spellEnd"/>
      <w:r w:rsidRPr="000C4CD0">
        <w:rPr>
          <w:rFonts w:cs="Arial"/>
        </w:rPr>
        <w:t xml:space="preserve"> la phrase </w:t>
      </w:r>
      <w:proofErr w:type="spellStart"/>
      <w:proofErr w:type="gramStart"/>
      <w:r w:rsidRPr="000C4CD0">
        <w:rPr>
          <w:rFonts w:cs="Arial"/>
        </w:rPr>
        <w:t>suivante</w:t>
      </w:r>
      <w:proofErr w:type="spellEnd"/>
      <w:r w:rsidRPr="000C4CD0">
        <w:rPr>
          <w:rFonts w:cs="Arial"/>
        </w:rPr>
        <w:t xml:space="preserve"> :</w:t>
      </w:r>
      <w:proofErr w:type="gramEnd"/>
      <w:r w:rsidRPr="000C4CD0">
        <w:rPr>
          <w:rFonts w:cs="Arial"/>
        </w:rPr>
        <w:t xml:space="preserve"> « </w:t>
      </w:r>
      <w:proofErr w:type="spellStart"/>
      <w:r w:rsidRPr="000C4CD0">
        <w:rPr>
          <w:rFonts w:cs="Arial"/>
        </w:rPr>
        <w:t>L'autorité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compétente</w:t>
      </w:r>
      <w:proofErr w:type="spellEnd"/>
      <w:r w:rsidRPr="000C4CD0">
        <w:rPr>
          <w:rFonts w:cs="Arial"/>
        </w:rPr>
        <w:t xml:space="preserve"> </w:t>
      </w:r>
      <w:proofErr w:type="spellStart"/>
      <w:r w:rsidRPr="000C4CD0">
        <w:rPr>
          <w:rFonts w:cs="Arial"/>
        </w:rPr>
        <w:t>peut</w:t>
      </w:r>
      <w:proofErr w:type="spellEnd"/>
      <w:r w:rsidRPr="000C4CD0">
        <w:rPr>
          <w:rFonts w:cs="Arial"/>
        </w:rPr>
        <w:t xml:space="preserve"> accorder des </w:t>
      </w:r>
      <w:proofErr w:type="spellStart"/>
      <w:r w:rsidRPr="000C4CD0">
        <w:rPr>
          <w:rFonts w:cs="Arial"/>
        </w:rPr>
        <w:t>dérogations</w:t>
      </w:r>
      <w:proofErr w:type="spellEnd"/>
      <w:r w:rsidRPr="000C4CD0">
        <w:rPr>
          <w:rFonts w:cs="Arial"/>
        </w:rPr>
        <w:t xml:space="preserve"> au </w:t>
      </w:r>
      <w:proofErr w:type="spellStart"/>
      <w:r w:rsidRPr="000C4CD0">
        <w:rPr>
          <w:rFonts w:cs="Arial"/>
        </w:rPr>
        <w:t>cas</w:t>
      </w:r>
      <w:proofErr w:type="spellEnd"/>
      <w:r w:rsidRPr="000C4CD0">
        <w:rPr>
          <w:rFonts w:cs="Arial"/>
        </w:rPr>
        <w:t xml:space="preserve"> par </w:t>
      </w:r>
      <w:proofErr w:type="spellStart"/>
      <w:r w:rsidRPr="000C4CD0">
        <w:rPr>
          <w:rFonts w:cs="Arial"/>
        </w:rPr>
        <w:t>cas</w:t>
      </w:r>
      <w:proofErr w:type="spellEnd"/>
      <w:r w:rsidRPr="000C4CD0">
        <w:rPr>
          <w:rFonts w:cs="Arial"/>
        </w:rPr>
        <w:t> ».</w:t>
      </w:r>
    </w:p>
    <w:p w:rsidR="00FF3208" w:rsidRPr="000C4CD0" w:rsidRDefault="0014242A" w:rsidP="00A74215">
      <w:pPr>
        <w:pStyle w:val="SingleTxtG"/>
        <w:rPr>
          <w:rFonts w:cs="Arial"/>
          <w:u w:val="single"/>
        </w:rPr>
      </w:pPr>
      <w:proofErr w:type="gramStart"/>
      <w:r w:rsidRPr="000C4CD0">
        <w:rPr>
          <w:rFonts w:cs="Arial"/>
          <w:u w:val="single"/>
        </w:rPr>
        <w:t xml:space="preserve">Motif </w:t>
      </w:r>
      <w:r w:rsidR="00FF3208" w:rsidRPr="000C4CD0">
        <w:rPr>
          <w:rFonts w:cs="Arial"/>
          <w:u w:val="single"/>
        </w:rPr>
        <w:t>:</w:t>
      </w:r>
      <w:proofErr w:type="gramEnd"/>
    </w:p>
    <w:p w:rsidR="00FF3208" w:rsidRPr="000C4CD0" w:rsidRDefault="00FF3208" w:rsidP="00A74215">
      <w:pPr>
        <w:pStyle w:val="SingleTxtG"/>
      </w:pPr>
      <w:r w:rsidRPr="000C4CD0">
        <w:t xml:space="preserve">Les conditions de </w:t>
      </w:r>
      <w:proofErr w:type="spellStart"/>
      <w:r w:rsidRPr="000C4CD0">
        <w:t>trafic</w:t>
      </w:r>
      <w:proofErr w:type="spellEnd"/>
      <w:r w:rsidRPr="000C4CD0">
        <w:t xml:space="preserve"> </w:t>
      </w:r>
      <w:proofErr w:type="spellStart"/>
      <w:r w:rsidRPr="000C4CD0">
        <w:t>ou</w:t>
      </w:r>
      <w:proofErr w:type="spellEnd"/>
      <w:r w:rsidRPr="000C4CD0">
        <w:t xml:space="preserve"> les </w:t>
      </w:r>
      <w:proofErr w:type="spellStart"/>
      <w:r w:rsidRPr="000C4CD0">
        <w:t>avaries</w:t>
      </w:r>
      <w:proofErr w:type="spellEnd"/>
      <w:r w:rsidRPr="000C4CD0">
        <w:t xml:space="preserve"> </w:t>
      </w:r>
      <w:proofErr w:type="spellStart"/>
      <w:r w:rsidRPr="000C4CD0">
        <w:t>peuvent</w:t>
      </w:r>
      <w:proofErr w:type="spellEnd"/>
      <w:r w:rsidRPr="000C4CD0">
        <w:t xml:space="preserve"> </w:t>
      </w:r>
      <w:proofErr w:type="spellStart"/>
      <w:r w:rsidRPr="000C4CD0">
        <w:t>rendre</w:t>
      </w:r>
      <w:proofErr w:type="spellEnd"/>
      <w:r w:rsidRPr="000C4CD0">
        <w:t xml:space="preserve"> </w:t>
      </w:r>
      <w:proofErr w:type="spellStart"/>
      <w:r w:rsidRPr="000C4CD0">
        <w:t>nécessaire</w:t>
      </w:r>
      <w:proofErr w:type="spellEnd"/>
      <w:r w:rsidRPr="000C4CD0">
        <w:t xml:space="preserve"> de </w:t>
      </w:r>
      <w:proofErr w:type="spellStart"/>
      <w:r w:rsidRPr="000C4CD0">
        <w:t>regagner</w:t>
      </w:r>
      <w:proofErr w:type="spellEnd"/>
      <w:r w:rsidRPr="000C4CD0">
        <w:t xml:space="preserve"> </w:t>
      </w:r>
      <w:proofErr w:type="spellStart"/>
      <w:r w:rsidRPr="000C4CD0">
        <w:t>immédiatement</w:t>
      </w:r>
      <w:proofErr w:type="spellEnd"/>
      <w:r w:rsidRPr="000C4CD0">
        <w:t xml:space="preserve"> un </w:t>
      </w:r>
      <w:proofErr w:type="spellStart"/>
      <w:r w:rsidRPr="000C4CD0">
        <w:t>tel</w:t>
      </w:r>
      <w:proofErr w:type="spellEnd"/>
      <w:r w:rsidRPr="000C4CD0">
        <w:t xml:space="preserve"> poste de </w:t>
      </w:r>
      <w:proofErr w:type="spellStart"/>
      <w:r w:rsidRPr="000C4CD0">
        <w:t>chargement</w:t>
      </w:r>
      <w:proofErr w:type="spellEnd"/>
      <w:r w:rsidRPr="000C4CD0">
        <w:t xml:space="preserve"> et de </w:t>
      </w:r>
      <w:proofErr w:type="spellStart"/>
      <w:r w:rsidRPr="000C4CD0">
        <w:t>déchargement</w:t>
      </w:r>
      <w:proofErr w:type="spellEnd"/>
      <w:r w:rsidRPr="000C4CD0">
        <w:t xml:space="preserve">. </w:t>
      </w:r>
      <w:proofErr w:type="spellStart"/>
      <w:r w:rsidRPr="000C4CD0">
        <w:t>L'autorité</w:t>
      </w:r>
      <w:proofErr w:type="spellEnd"/>
      <w:r w:rsidRPr="000C4CD0">
        <w:t xml:space="preserve"> </w:t>
      </w:r>
      <w:proofErr w:type="spellStart"/>
      <w:r w:rsidRPr="000C4CD0">
        <w:t>compétente</w:t>
      </w:r>
      <w:proofErr w:type="spellEnd"/>
      <w:r w:rsidRPr="000C4CD0">
        <w:t xml:space="preserve"> </w:t>
      </w:r>
      <w:proofErr w:type="spellStart"/>
      <w:r w:rsidRPr="000C4CD0">
        <w:t>doit</w:t>
      </w:r>
      <w:proofErr w:type="spellEnd"/>
      <w:r w:rsidRPr="000C4CD0">
        <w:t xml:space="preserve"> </w:t>
      </w:r>
      <w:proofErr w:type="spellStart"/>
      <w:r w:rsidRPr="000C4CD0">
        <w:t>vérifier</w:t>
      </w:r>
      <w:proofErr w:type="spellEnd"/>
      <w:r w:rsidRPr="000C4CD0">
        <w:t xml:space="preserve"> </w:t>
      </w:r>
      <w:proofErr w:type="spellStart"/>
      <w:r w:rsidRPr="000C4CD0">
        <w:t>si</w:t>
      </w:r>
      <w:proofErr w:type="spellEnd"/>
      <w:r w:rsidRPr="000C4CD0">
        <w:t xml:space="preserve"> la protection </w:t>
      </w:r>
      <w:proofErr w:type="spellStart"/>
      <w:r w:rsidRPr="000C4CD0">
        <w:t>contre</w:t>
      </w:r>
      <w:proofErr w:type="spellEnd"/>
      <w:r w:rsidRPr="000C4CD0">
        <w:t xml:space="preserve"> </w:t>
      </w:r>
      <w:proofErr w:type="spellStart"/>
      <w:r w:rsidRPr="000C4CD0">
        <w:t>l'explosion</w:t>
      </w:r>
      <w:proofErr w:type="spellEnd"/>
      <w:r w:rsidRPr="000C4CD0">
        <w:t xml:space="preserve"> </w:t>
      </w:r>
      <w:proofErr w:type="spellStart"/>
      <w:r w:rsidRPr="000C4CD0">
        <w:t>peut</w:t>
      </w:r>
      <w:proofErr w:type="spellEnd"/>
      <w:r w:rsidRPr="000C4CD0">
        <w:t xml:space="preserve"> </w:t>
      </w:r>
      <w:proofErr w:type="spellStart"/>
      <w:r w:rsidRPr="000C4CD0">
        <w:t>être</w:t>
      </w:r>
      <w:proofErr w:type="spellEnd"/>
      <w:r w:rsidRPr="000C4CD0">
        <w:t xml:space="preserve"> </w:t>
      </w:r>
      <w:proofErr w:type="spellStart"/>
      <w:r w:rsidRPr="000C4CD0">
        <w:t>assurée</w:t>
      </w:r>
      <w:proofErr w:type="spellEnd"/>
      <w:r w:rsidRPr="000C4CD0">
        <w:t xml:space="preserve"> par </w:t>
      </w:r>
      <w:proofErr w:type="spellStart"/>
      <w:r w:rsidRPr="000C4CD0">
        <w:t>d'autres</w:t>
      </w:r>
      <w:proofErr w:type="spellEnd"/>
      <w:r w:rsidRPr="000C4CD0">
        <w:t xml:space="preserve"> </w:t>
      </w:r>
      <w:proofErr w:type="spellStart"/>
      <w:r w:rsidRPr="000C4CD0">
        <w:t>moyens</w:t>
      </w:r>
      <w:proofErr w:type="spellEnd"/>
      <w:r w:rsidRPr="000C4CD0">
        <w:t xml:space="preserve"> </w:t>
      </w:r>
      <w:proofErr w:type="spellStart"/>
      <w:r w:rsidRPr="000C4CD0">
        <w:t>ou</w:t>
      </w:r>
      <w:proofErr w:type="spellEnd"/>
      <w:r w:rsidRPr="000C4CD0">
        <w:t xml:space="preserve"> </w:t>
      </w:r>
      <w:proofErr w:type="spellStart"/>
      <w:r w:rsidRPr="000C4CD0">
        <w:t>si</w:t>
      </w:r>
      <w:proofErr w:type="spellEnd"/>
      <w:r w:rsidRPr="000C4CD0">
        <w:t xml:space="preserve"> des </w:t>
      </w:r>
      <w:proofErr w:type="spellStart"/>
      <w:r w:rsidRPr="000C4CD0">
        <w:t>allégements</w:t>
      </w:r>
      <w:proofErr w:type="spellEnd"/>
      <w:r w:rsidRPr="000C4CD0">
        <w:t xml:space="preserve"> </w:t>
      </w:r>
      <w:proofErr w:type="spellStart"/>
      <w:r w:rsidRPr="000C4CD0">
        <w:t>peuvent</w:t>
      </w:r>
      <w:proofErr w:type="spellEnd"/>
      <w:r w:rsidRPr="000C4CD0">
        <w:t xml:space="preserve"> </w:t>
      </w:r>
      <w:proofErr w:type="spellStart"/>
      <w:r w:rsidRPr="000C4CD0">
        <w:t>être</w:t>
      </w:r>
      <w:proofErr w:type="spellEnd"/>
      <w:r w:rsidRPr="000C4CD0">
        <w:t xml:space="preserve"> </w:t>
      </w:r>
      <w:proofErr w:type="spellStart"/>
      <w:r w:rsidRPr="000C4CD0">
        <w:t>accordés</w:t>
      </w:r>
      <w:proofErr w:type="spellEnd"/>
      <w:r w:rsidRPr="000C4CD0">
        <w:t>.</w:t>
      </w:r>
    </w:p>
    <w:p w:rsidR="009368FE" w:rsidRPr="000C4CD0" w:rsidRDefault="00FF3208" w:rsidP="00D352B4">
      <w:pPr>
        <w:pStyle w:val="SingleTxtG"/>
        <w:tabs>
          <w:tab w:val="left" w:pos="1701"/>
        </w:tabs>
      </w:pPr>
      <w:r w:rsidRPr="000C4CD0">
        <w:t>9.</w:t>
      </w:r>
      <w:r w:rsidRPr="000C4CD0">
        <w:tab/>
      </w:r>
      <w:proofErr w:type="spellStart"/>
      <w:r w:rsidR="009368FE" w:rsidRPr="000C4CD0">
        <w:t>Remplacer</w:t>
      </w:r>
      <w:proofErr w:type="spellEnd"/>
      <w:r w:rsidR="009368FE" w:rsidRPr="000C4CD0">
        <w:t xml:space="preserve"> la modification </w:t>
      </w:r>
      <w:r w:rsidR="000C4CD0">
        <w:t>du</w:t>
      </w:r>
      <w:r w:rsidR="009368FE" w:rsidRPr="000C4CD0">
        <w:t xml:space="preserve"> </w:t>
      </w:r>
      <w:r w:rsidR="009368FE" w:rsidRPr="000C4CD0">
        <w:rPr>
          <w:bCs/>
        </w:rPr>
        <w:t>7.1.4.75 « </w:t>
      </w:r>
      <w:proofErr w:type="spellStart"/>
      <w:r w:rsidR="009368FE" w:rsidRPr="000C4CD0">
        <w:rPr>
          <w:bCs/>
          <w:iCs/>
        </w:rPr>
        <w:t>Risque</w:t>
      </w:r>
      <w:proofErr w:type="spellEnd"/>
      <w:r w:rsidR="009368FE" w:rsidRPr="000C4CD0">
        <w:rPr>
          <w:bCs/>
          <w:iCs/>
        </w:rPr>
        <w:t xml:space="preserve"> de formation </w:t>
      </w:r>
      <w:proofErr w:type="spellStart"/>
      <w:r w:rsidR="009368FE" w:rsidRPr="000C4CD0">
        <w:rPr>
          <w:bCs/>
          <w:iCs/>
        </w:rPr>
        <w:t>d'étincelles</w:t>
      </w:r>
      <w:proofErr w:type="spellEnd"/>
      <w:r w:rsidR="009368FE" w:rsidRPr="000C4CD0">
        <w:rPr>
          <w:bCs/>
          <w:iCs/>
        </w:rPr>
        <w:t> »</w:t>
      </w:r>
      <w:r w:rsidR="009368FE" w:rsidRPr="000C4CD0">
        <w:t xml:space="preserve"> </w:t>
      </w:r>
      <w:proofErr w:type="gramStart"/>
      <w:r w:rsidR="009368FE" w:rsidRPr="000C4CD0">
        <w:t>par :</w:t>
      </w:r>
      <w:proofErr w:type="gramEnd"/>
    </w:p>
    <w:p w:rsidR="00FF3208" w:rsidRPr="000C4CD0" w:rsidRDefault="003B3484" w:rsidP="00D352B4">
      <w:pPr>
        <w:pStyle w:val="SingleTxtG"/>
        <w:ind w:left="1701"/>
      </w:pPr>
      <w:r w:rsidRPr="000C4CD0">
        <w:t>« 7.1.4.75</w:t>
      </w:r>
      <w:r w:rsidRPr="000C4CD0">
        <w:tab/>
        <w:t>Modifier</w:t>
      </w:r>
      <w:r w:rsidR="00FF3208" w:rsidRPr="000C4CD0">
        <w:t xml:space="preserve"> </w:t>
      </w:r>
      <w:r w:rsidRPr="000C4CD0">
        <w:t xml:space="preserve">pour lire </w:t>
      </w:r>
      <w:proofErr w:type="spellStart"/>
      <w:r w:rsidRPr="000C4CD0">
        <w:t>comme</w:t>
      </w:r>
      <w:proofErr w:type="spellEnd"/>
      <w:r w:rsidRPr="000C4CD0">
        <w:t xml:space="preserve"> </w:t>
      </w:r>
      <w:proofErr w:type="gramStart"/>
      <w:r w:rsidRPr="000C4CD0">
        <w:t>suit :</w:t>
      </w:r>
      <w:proofErr w:type="gramEnd"/>
    </w:p>
    <w:p w:rsidR="0023023E" w:rsidRPr="000C4CD0" w:rsidRDefault="00381E82" w:rsidP="00D352B4">
      <w:pPr>
        <w:pStyle w:val="SingleTxtG"/>
        <w:ind w:left="1701"/>
        <w:rPr>
          <w:iCs/>
        </w:rPr>
      </w:pPr>
      <w:r>
        <w:rPr>
          <w:bCs/>
        </w:rPr>
        <w:t>«</w:t>
      </w:r>
      <w:r w:rsidR="0023023E" w:rsidRPr="000C4CD0">
        <w:rPr>
          <w:bCs/>
        </w:rPr>
        <w:t>7.1.4.75</w:t>
      </w:r>
      <w:r w:rsidR="0023023E" w:rsidRPr="000C4CD0">
        <w:rPr>
          <w:bCs/>
        </w:rPr>
        <w:tab/>
      </w:r>
      <w:proofErr w:type="spellStart"/>
      <w:r w:rsidR="0023023E" w:rsidRPr="000C4CD0">
        <w:rPr>
          <w:bCs/>
          <w:iCs/>
        </w:rPr>
        <w:t>Risque</w:t>
      </w:r>
      <w:proofErr w:type="spellEnd"/>
      <w:r w:rsidR="0023023E" w:rsidRPr="000C4CD0">
        <w:rPr>
          <w:bCs/>
          <w:iCs/>
        </w:rPr>
        <w:t xml:space="preserve"> de formation </w:t>
      </w:r>
      <w:proofErr w:type="spellStart"/>
      <w:r w:rsidR="0023023E" w:rsidRPr="000C4CD0">
        <w:rPr>
          <w:bCs/>
          <w:iCs/>
        </w:rPr>
        <w:t>d'étincelles</w:t>
      </w:r>
      <w:proofErr w:type="spellEnd"/>
    </w:p>
    <w:p w:rsidR="0023023E" w:rsidRPr="000C4CD0" w:rsidRDefault="00722623" w:rsidP="00D352B4">
      <w:pPr>
        <w:pStyle w:val="SingleTxtG"/>
        <w:ind w:left="1701"/>
      </w:pPr>
      <w:proofErr w:type="spellStart"/>
      <w:r w:rsidRPr="00722623">
        <w:t>Toutes</w:t>
      </w:r>
      <w:proofErr w:type="spellEnd"/>
      <w:r w:rsidRPr="00722623">
        <w:t xml:space="preserve"> les liaisons continues entre le bateau et la </w:t>
      </w:r>
      <w:proofErr w:type="spellStart"/>
      <w:r w:rsidRPr="00722623">
        <w:t>terre</w:t>
      </w:r>
      <w:proofErr w:type="spellEnd"/>
      <w:r w:rsidRPr="00722623">
        <w:t xml:space="preserve"> conductrices </w:t>
      </w:r>
      <w:proofErr w:type="spellStart"/>
      <w:r w:rsidRPr="00722623">
        <w:t>d'électricité</w:t>
      </w:r>
      <w:proofErr w:type="spellEnd"/>
      <w:r w:rsidRPr="00722623">
        <w:t xml:space="preserve"> </w:t>
      </w:r>
      <w:proofErr w:type="spellStart"/>
      <w:r w:rsidRPr="00722623">
        <w:t>doivent</w:t>
      </w:r>
      <w:proofErr w:type="spellEnd"/>
      <w:r w:rsidRPr="00722623">
        <w:t xml:space="preserve"> </w:t>
      </w:r>
      <w:proofErr w:type="spellStart"/>
      <w:r w:rsidRPr="00722623">
        <w:t>être</w:t>
      </w:r>
      <w:proofErr w:type="spellEnd"/>
      <w:r w:rsidRPr="00722623">
        <w:t xml:space="preserve"> </w:t>
      </w:r>
      <w:proofErr w:type="spellStart"/>
      <w:r w:rsidRPr="00722623">
        <w:t>conçues</w:t>
      </w:r>
      <w:proofErr w:type="spellEnd"/>
      <w:r w:rsidRPr="00722623">
        <w:t xml:space="preserve"> de </w:t>
      </w:r>
      <w:proofErr w:type="spellStart"/>
      <w:r w:rsidRPr="00722623">
        <w:t>manière</w:t>
      </w:r>
      <w:proofErr w:type="spellEnd"/>
      <w:r w:rsidRPr="00722623">
        <w:t xml:space="preserve"> à ne pas </w:t>
      </w:r>
      <w:proofErr w:type="spellStart"/>
      <w:r w:rsidRPr="00722623">
        <w:t>constituer</w:t>
      </w:r>
      <w:proofErr w:type="spellEnd"/>
      <w:r w:rsidRPr="00722623">
        <w:t xml:space="preserve"> </w:t>
      </w:r>
      <w:proofErr w:type="spellStart"/>
      <w:r w:rsidRPr="00722623">
        <w:t>une</w:t>
      </w:r>
      <w:proofErr w:type="spellEnd"/>
      <w:r w:rsidRPr="00722623">
        <w:t xml:space="preserve"> source </w:t>
      </w:r>
      <w:proofErr w:type="spellStart"/>
      <w:r w:rsidRPr="00722623">
        <w:t>d'inflammation</w:t>
      </w:r>
      <w:proofErr w:type="spellEnd"/>
      <w:r w:rsidRPr="00722623">
        <w:t xml:space="preserve">. </w:t>
      </w:r>
      <w:proofErr w:type="spellStart"/>
      <w:r w:rsidRPr="00722623">
        <w:t>Lorsque</w:t>
      </w:r>
      <w:proofErr w:type="spellEnd"/>
      <w:r w:rsidRPr="00722623">
        <w:t xml:space="preserve"> la </w:t>
      </w:r>
      <w:proofErr w:type="spellStart"/>
      <w:r w:rsidRPr="00722623">
        <w:t>liste</w:t>
      </w:r>
      <w:proofErr w:type="spellEnd"/>
      <w:r w:rsidRPr="00722623">
        <w:t xml:space="preserve"> des </w:t>
      </w:r>
      <w:proofErr w:type="spellStart"/>
      <w:r w:rsidRPr="00722623">
        <w:t>matières</w:t>
      </w:r>
      <w:proofErr w:type="spellEnd"/>
      <w:r w:rsidRPr="00722623">
        <w:t xml:space="preserve"> du bateau </w:t>
      </w:r>
      <w:proofErr w:type="spellStart"/>
      <w:r w:rsidRPr="00722623">
        <w:t>selon</w:t>
      </w:r>
      <w:proofErr w:type="spellEnd"/>
      <w:r w:rsidRPr="00722623">
        <w:t xml:space="preserve"> 1.16.1.2.5 </w:t>
      </w:r>
      <w:proofErr w:type="spellStart"/>
      <w:r w:rsidRPr="00722623">
        <w:t>contient</w:t>
      </w:r>
      <w:proofErr w:type="spellEnd"/>
      <w:r w:rsidRPr="00722623">
        <w:t xml:space="preserve"> des </w:t>
      </w:r>
      <w:proofErr w:type="spellStart"/>
      <w:r w:rsidRPr="00722623">
        <w:t>matières</w:t>
      </w:r>
      <w:proofErr w:type="spellEnd"/>
      <w:r w:rsidRPr="00722623">
        <w:t xml:space="preserve"> pour </w:t>
      </w:r>
      <w:proofErr w:type="spellStart"/>
      <w:r w:rsidRPr="00722623">
        <w:t>lesquelles</w:t>
      </w:r>
      <w:proofErr w:type="spellEnd"/>
      <w:r w:rsidRPr="00722623">
        <w:t xml:space="preserve"> la protection </w:t>
      </w:r>
      <w:proofErr w:type="spellStart"/>
      <w:r w:rsidRPr="00722623">
        <w:t>contre</w:t>
      </w:r>
      <w:proofErr w:type="spellEnd"/>
      <w:r w:rsidRPr="00722623">
        <w:t xml:space="preserve"> les explosions </w:t>
      </w:r>
      <w:proofErr w:type="spellStart"/>
      <w:r w:rsidRPr="00722623">
        <w:t>est</w:t>
      </w:r>
      <w:proofErr w:type="spellEnd"/>
      <w:r w:rsidRPr="00722623">
        <w:t xml:space="preserve"> </w:t>
      </w:r>
      <w:proofErr w:type="spellStart"/>
      <w:r w:rsidRPr="00722623">
        <w:t>exigée</w:t>
      </w:r>
      <w:proofErr w:type="spellEnd"/>
      <w:r w:rsidRPr="00722623">
        <w:t xml:space="preserve"> à la </w:t>
      </w:r>
      <w:proofErr w:type="spellStart"/>
      <w:r w:rsidRPr="00722623">
        <w:t>colonne</w:t>
      </w:r>
      <w:proofErr w:type="spellEnd"/>
      <w:r w:rsidRPr="00722623">
        <w:t xml:space="preserve"> (17) du tableau C de la </w:t>
      </w:r>
      <w:proofErr w:type="spellStart"/>
      <w:r w:rsidRPr="00722623">
        <w:t>sous</w:t>
      </w:r>
      <w:proofErr w:type="spellEnd"/>
      <w:r w:rsidRPr="00722623">
        <w:t xml:space="preserve">-section 3.2.3.2, </w:t>
      </w:r>
      <w:proofErr w:type="spellStart"/>
      <w:r w:rsidRPr="00722623">
        <w:t>il</w:t>
      </w:r>
      <w:proofErr w:type="spellEnd"/>
      <w:r w:rsidRPr="00722623">
        <w:t xml:space="preserve"> </w:t>
      </w:r>
      <w:proofErr w:type="spellStart"/>
      <w:r w:rsidRPr="00722623">
        <w:t>est</w:t>
      </w:r>
      <w:proofErr w:type="spellEnd"/>
      <w:r w:rsidRPr="00722623">
        <w:t xml:space="preserve"> </w:t>
      </w:r>
      <w:proofErr w:type="spellStart"/>
      <w:r w:rsidRPr="00722623">
        <w:t>interdit</w:t>
      </w:r>
      <w:proofErr w:type="spellEnd"/>
      <w:r w:rsidRPr="00722623">
        <w:t xml:space="preserve"> de </w:t>
      </w:r>
      <w:proofErr w:type="spellStart"/>
      <w:r w:rsidRPr="00722623">
        <w:t>retirer</w:t>
      </w:r>
      <w:proofErr w:type="spellEnd"/>
      <w:r w:rsidRPr="00722623">
        <w:t xml:space="preserve"> des </w:t>
      </w:r>
      <w:proofErr w:type="spellStart"/>
      <w:r w:rsidRPr="00722623">
        <w:t>vêtements</w:t>
      </w:r>
      <w:proofErr w:type="spellEnd"/>
      <w:r w:rsidRPr="00722623">
        <w:t xml:space="preserve"> </w:t>
      </w:r>
      <w:proofErr w:type="spellStart"/>
      <w:r w:rsidRPr="00722623">
        <w:t>dans</w:t>
      </w:r>
      <w:proofErr w:type="spellEnd"/>
      <w:r w:rsidRPr="00722623">
        <w:t xml:space="preserve"> la zone 1.</w:t>
      </w:r>
      <w:r w:rsidR="003B3484" w:rsidRPr="000C4CD0">
        <w:t> ».</w:t>
      </w:r>
    </w:p>
    <w:p w:rsidR="00FF3208" w:rsidRPr="000C4CD0" w:rsidRDefault="0014242A" w:rsidP="00A74215">
      <w:pPr>
        <w:pStyle w:val="SingleTxtG"/>
        <w:rPr>
          <w:u w:val="single"/>
        </w:rPr>
      </w:pPr>
      <w:proofErr w:type="gramStart"/>
      <w:r w:rsidRPr="000C4CD0">
        <w:rPr>
          <w:u w:val="single"/>
        </w:rPr>
        <w:t xml:space="preserve">Motif </w:t>
      </w:r>
      <w:r w:rsidR="00FF3208" w:rsidRPr="000C4CD0">
        <w:rPr>
          <w:u w:val="single"/>
        </w:rPr>
        <w:t>:</w:t>
      </w:r>
      <w:proofErr w:type="gramEnd"/>
    </w:p>
    <w:p w:rsidR="00FF3208" w:rsidRPr="000C4CD0" w:rsidRDefault="00FF3208" w:rsidP="00A74215">
      <w:pPr>
        <w:pStyle w:val="SingleTxtG"/>
      </w:pPr>
      <w:r w:rsidRPr="000C4CD0">
        <w:t xml:space="preserve">La </w:t>
      </w:r>
      <w:proofErr w:type="spellStart"/>
      <w:r w:rsidRPr="000C4CD0">
        <w:t>prévention</w:t>
      </w:r>
      <w:proofErr w:type="spellEnd"/>
      <w:r w:rsidRPr="000C4CD0">
        <w:t xml:space="preserve"> des sources </w:t>
      </w:r>
      <w:proofErr w:type="spellStart"/>
      <w:r w:rsidRPr="000C4CD0">
        <w:t>d'inflammation</w:t>
      </w:r>
      <w:proofErr w:type="spellEnd"/>
      <w:r w:rsidRPr="000C4CD0">
        <w:t xml:space="preserve"> par charge </w:t>
      </w:r>
      <w:proofErr w:type="spellStart"/>
      <w:r w:rsidRPr="000C4CD0">
        <w:t>électrostatique</w:t>
      </w:r>
      <w:proofErr w:type="spellEnd"/>
      <w:r w:rsidRPr="000C4CD0">
        <w:t xml:space="preserve"> </w:t>
      </w:r>
      <w:proofErr w:type="spellStart"/>
      <w:r w:rsidRPr="000C4CD0">
        <w:t>est</w:t>
      </w:r>
      <w:proofErr w:type="spellEnd"/>
      <w:r w:rsidRPr="000C4CD0">
        <w:t xml:space="preserve"> un </w:t>
      </w:r>
      <w:proofErr w:type="spellStart"/>
      <w:r w:rsidRPr="000C4CD0">
        <w:t>élément</w:t>
      </w:r>
      <w:proofErr w:type="spellEnd"/>
      <w:r w:rsidRPr="000C4CD0">
        <w:t xml:space="preserve"> indispensable des </w:t>
      </w:r>
      <w:proofErr w:type="spellStart"/>
      <w:r w:rsidRPr="000C4CD0">
        <w:t>mesures</w:t>
      </w:r>
      <w:proofErr w:type="spellEnd"/>
      <w:r w:rsidRPr="000C4CD0">
        <w:t xml:space="preserve"> de protection </w:t>
      </w:r>
      <w:proofErr w:type="spellStart"/>
      <w:r w:rsidRPr="000C4CD0">
        <w:t>contre</w:t>
      </w:r>
      <w:proofErr w:type="spellEnd"/>
      <w:r w:rsidRPr="000C4CD0">
        <w:t xml:space="preserve"> les explosions. Le fait de </w:t>
      </w:r>
      <w:proofErr w:type="spellStart"/>
      <w:r w:rsidRPr="000C4CD0">
        <w:t>retirer</w:t>
      </w:r>
      <w:proofErr w:type="spellEnd"/>
      <w:r w:rsidRPr="000C4CD0">
        <w:t xml:space="preserve"> des </w:t>
      </w:r>
      <w:proofErr w:type="spellStart"/>
      <w:r w:rsidRPr="000C4CD0">
        <w:t>vêtements</w:t>
      </w:r>
      <w:proofErr w:type="spellEnd"/>
      <w:r w:rsidRPr="000C4CD0">
        <w:t xml:space="preserve"> qui ne </w:t>
      </w:r>
      <w:proofErr w:type="spellStart"/>
      <w:r w:rsidRPr="000C4CD0">
        <w:t>sont</w:t>
      </w:r>
      <w:proofErr w:type="spellEnd"/>
      <w:r w:rsidRPr="000C4CD0">
        <w:t xml:space="preserve"> pas </w:t>
      </w:r>
      <w:proofErr w:type="spellStart"/>
      <w:r w:rsidRPr="000C4CD0">
        <w:t>suffisamment</w:t>
      </w:r>
      <w:proofErr w:type="spellEnd"/>
      <w:r w:rsidRPr="000C4CD0">
        <w:t xml:space="preserve"> </w:t>
      </w:r>
      <w:proofErr w:type="spellStart"/>
      <w:r w:rsidRPr="000C4CD0">
        <w:t>dissipateurs</w:t>
      </w:r>
      <w:proofErr w:type="spellEnd"/>
      <w:r w:rsidRPr="000C4CD0">
        <w:t xml:space="preserve"> </w:t>
      </w:r>
      <w:proofErr w:type="spellStart"/>
      <w:r w:rsidRPr="000C4CD0">
        <w:t>peut</w:t>
      </w:r>
      <w:proofErr w:type="spellEnd"/>
      <w:r w:rsidRPr="000C4CD0">
        <w:t xml:space="preserve"> </w:t>
      </w:r>
      <w:proofErr w:type="spellStart"/>
      <w:r w:rsidRPr="000C4CD0">
        <w:t>entraîner</w:t>
      </w:r>
      <w:proofErr w:type="spellEnd"/>
      <w:r w:rsidRPr="000C4CD0">
        <w:t xml:space="preserve"> </w:t>
      </w:r>
      <w:proofErr w:type="spellStart"/>
      <w:r w:rsidRPr="000C4CD0">
        <w:t>une</w:t>
      </w:r>
      <w:proofErr w:type="spellEnd"/>
      <w:r w:rsidRPr="000C4CD0">
        <w:t xml:space="preserve"> </w:t>
      </w:r>
      <w:proofErr w:type="spellStart"/>
      <w:r w:rsidRPr="000C4CD0">
        <w:t>telle</w:t>
      </w:r>
      <w:proofErr w:type="spellEnd"/>
      <w:r w:rsidRPr="000C4CD0">
        <w:t xml:space="preserve"> charge </w:t>
      </w:r>
      <w:proofErr w:type="spellStart"/>
      <w:r w:rsidRPr="000C4CD0">
        <w:t>électrostatique</w:t>
      </w:r>
      <w:proofErr w:type="spellEnd"/>
      <w:r w:rsidRPr="000C4CD0">
        <w:t xml:space="preserve"> et </w:t>
      </w:r>
      <w:proofErr w:type="spellStart"/>
      <w:r w:rsidRPr="000C4CD0">
        <w:t>doit</w:t>
      </w:r>
      <w:proofErr w:type="spellEnd"/>
      <w:r w:rsidRPr="000C4CD0">
        <w:t xml:space="preserve"> par </w:t>
      </w:r>
      <w:proofErr w:type="spellStart"/>
      <w:r w:rsidRPr="000C4CD0">
        <w:t>conséquent</w:t>
      </w:r>
      <w:proofErr w:type="spellEnd"/>
      <w:r w:rsidRPr="000C4CD0">
        <w:t xml:space="preserve"> </w:t>
      </w:r>
      <w:proofErr w:type="spellStart"/>
      <w:r w:rsidRPr="000C4CD0">
        <w:t>être</w:t>
      </w:r>
      <w:proofErr w:type="spellEnd"/>
      <w:r w:rsidRPr="000C4CD0">
        <w:t xml:space="preserve"> </w:t>
      </w:r>
      <w:proofErr w:type="spellStart"/>
      <w:r w:rsidRPr="000C4CD0">
        <w:t>interdit</w:t>
      </w:r>
      <w:proofErr w:type="spellEnd"/>
      <w:r w:rsidRPr="000C4CD0">
        <w:t xml:space="preserve"> </w:t>
      </w:r>
      <w:proofErr w:type="spellStart"/>
      <w:r w:rsidRPr="000C4CD0">
        <w:t>dans</w:t>
      </w:r>
      <w:proofErr w:type="spellEnd"/>
      <w:r w:rsidRPr="000C4CD0">
        <w:t xml:space="preserve"> la zone 1.</w:t>
      </w:r>
    </w:p>
    <w:p w:rsidR="008B1B69" w:rsidRPr="000C4CD0" w:rsidRDefault="00FF3208" w:rsidP="00D352B4">
      <w:pPr>
        <w:pStyle w:val="SingleTxtG"/>
        <w:tabs>
          <w:tab w:val="left" w:pos="1701"/>
        </w:tabs>
      </w:pPr>
      <w:r w:rsidRPr="000C4CD0">
        <w:t>10.</w:t>
      </w:r>
      <w:r w:rsidRPr="000C4CD0">
        <w:tab/>
      </w:r>
      <w:r w:rsidR="008B1B69" w:rsidRPr="000C4CD0">
        <w:t>7.2.3.51.6</w:t>
      </w:r>
      <w:r w:rsidR="008B1B69" w:rsidRPr="000C4CD0">
        <w:tab/>
      </w:r>
      <w:r w:rsidR="008B1B69" w:rsidRPr="000C4CD0">
        <w:rPr>
          <w:rFonts w:eastAsia="Calibri"/>
        </w:rPr>
        <w:t xml:space="preserve">[La modification </w:t>
      </w:r>
      <w:proofErr w:type="spellStart"/>
      <w:r w:rsidR="008B1B69" w:rsidRPr="000C4CD0">
        <w:rPr>
          <w:rFonts w:eastAsia="Calibri"/>
        </w:rPr>
        <w:t>dans</w:t>
      </w:r>
      <w:proofErr w:type="spellEnd"/>
      <w:r w:rsidR="008B1B69" w:rsidRPr="000C4CD0">
        <w:rPr>
          <w:rFonts w:eastAsia="Calibri"/>
        </w:rPr>
        <w:t xml:space="preserve"> la version allemande </w:t>
      </w:r>
      <w:proofErr w:type="spellStart"/>
      <w:r w:rsidR="008B1B69" w:rsidRPr="000C4CD0">
        <w:rPr>
          <w:rFonts w:eastAsia="Calibri"/>
        </w:rPr>
        <w:t>n’a</w:t>
      </w:r>
      <w:proofErr w:type="spellEnd"/>
      <w:r w:rsidR="008B1B69" w:rsidRPr="000C4CD0">
        <w:rPr>
          <w:rFonts w:eastAsia="Calibri"/>
        </w:rPr>
        <w:t xml:space="preserve"> pas </w:t>
      </w:r>
      <w:proofErr w:type="spellStart"/>
      <w:r w:rsidR="008B1B69" w:rsidRPr="000C4CD0">
        <w:rPr>
          <w:rFonts w:eastAsia="Calibri"/>
        </w:rPr>
        <w:t>d’incidence</w:t>
      </w:r>
      <w:proofErr w:type="spellEnd"/>
      <w:r w:rsidR="008B1B69" w:rsidRPr="000C4CD0">
        <w:rPr>
          <w:rFonts w:eastAsia="Calibri"/>
        </w:rPr>
        <w:t xml:space="preserve"> sur le </w:t>
      </w:r>
      <w:proofErr w:type="spellStart"/>
      <w:r w:rsidR="008B1B69" w:rsidRPr="000C4CD0">
        <w:rPr>
          <w:rFonts w:eastAsia="Calibri"/>
        </w:rPr>
        <w:t>texte</w:t>
      </w:r>
      <w:proofErr w:type="spellEnd"/>
      <w:r w:rsidR="008B1B69" w:rsidRPr="000C4CD0">
        <w:rPr>
          <w:rFonts w:eastAsia="Calibri"/>
        </w:rPr>
        <w:t xml:space="preserve"> </w:t>
      </w:r>
      <w:proofErr w:type="spellStart"/>
      <w:r w:rsidR="008B1B69" w:rsidRPr="000C4CD0">
        <w:rPr>
          <w:rFonts w:eastAsia="Calibri"/>
        </w:rPr>
        <w:t>français</w:t>
      </w:r>
      <w:proofErr w:type="spellEnd"/>
      <w:r w:rsidR="008B1B69" w:rsidRPr="000C4CD0">
        <w:rPr>
          <w:rFonts w:eastAsia="Calibri"/>
        </w:rPr>
        <w:t>.]</w:t>
      </w:r>
    </w:p>
    <w:p w:rsidR="00FF3208" w:rsidRPr="000C4CD0" w:rsidRDefault="0014242A" w:rsidP="00A74215">
      <w:pPr>
        <w:pStyle w:val="SingleTxtG"/>
        <w:rPr>
          <w:u w:val="single"/>
        </w:rPr>
      </w:pPr>
      <w:proofErr w:type="gramStart"/>
      <w:r w:rsidRPr="000C4CD0">
        <w:rPr>
          <w:u w:val="single"/>
        </w:rPr>
        <w:t xml:space="preserve">Motif </w:t>
      </w:r>
      <w:r w:rsidR="00FF3208" w:rsidRPr="000C4CD0">
        <w:rPr>
          <w:u w:val="single"/>
        </w:rPr>
        <w:t>:</w:t>
      </w:r>
      <w:proofErr w:type="gramEnd"/>
    </w:p>
    <w:p w:rsidR="00FF3208" w:rsidRPr="000C4CD0" w:rsidRDefault="00FF3208" w:rsidP="00A74215">
      <w:pPr>
        <w:pStyle w:val="SingleTxtG"/>
      </w:pPr>
      <w:proofErr w:type="spellStart"/>
      <w:r w:rsidRPr="000C4CD0">
        <w:t>Dans</w:t>
      </w:r>
      <w:proofErr w:type="spellEnd"/>
      <w:r w:rsidRPr="000C4CD0">
        <w:t xml:space="preserve"> les </w:t>
      </w:r>
      <w:proofErr w:type="spellStart"/>
      <w:r w:rsidRPr="000C4CD0">
        <w:t>autres</w:t>
      </w:r>
      <w:proofErr w:type="spellEnd"/>
      <w:r w:rsidRPr="000C4CD0">
        <w:t xml:space="preserve"> </w:t>
      </w:r>
      <w:proofErr w:type="spellStart"/>
      <w:r w:rsidRPr="000C4CD0">
        <w:t>demandes</w:t>
      </w:r>
      <w:proofErr w:type="spellEnd"/>
      <w:r w:rsidRPr="000C4CD0">
        <w:t xml:space="preserve"> de modifications </w:t>
      </w:r>
      <w:proofErr w:type="spellStart"/>
      <w:r w:rsidRPr="000C4CD0">
        <w:t>est</w:t>
      </w:r>
      <w:proofErr w:type="spellEnd"/>
      <w:r w:rsidRPr="000C4CD0">
        <w:t xml:space="preserve"> </w:t>
      </w:r>
      <w:proofErr w:type="spellStart"/>
      <w:r w:rsidRPr="000C4CD0">
        <w:t>toujours</w:t>
      </w:r>
      <w:proofErr w:type="spellEnd"/>
      <w:r w:rsidRPr="000C4CD0">
        <w:t xml:space="preserve"> </w:t>
      </w:r>
      <w:proofErr w:type="spellStart"/>
      <w:r w:rsidRPr="000C4CD0">
        <w:t>utilisé</w:t>
      </w:r>
      <w:proofErr w:type="spellEnd"/>
      <w:r w:rsidRPr="000C4CD0">
        <w:t xml:space="preserve"> « </w:t>
      </w:r>
      <w:proofErr w:type="spellStart"/>
      <w:r w:rsidRPr="000C4CD0">
        <w:t>logements</w:t>
      </w:r>
      <w:proofErr w:type="spellEnd"/>
      <w:r w:rsidRPr="000C4CD0">
        <w:t xml:space="preserve"> » au </w:t>
      </w:r>
      <w:proofErr w:type="spellStart"/>
      <w:r w:rsidRPr="000C4CD0">
        <w:t>pluriel</w:t>
      </w:r>
      <w:proofErr w:type="spellEnd"/>
      <w:r w:rsidRPr="000C4CD0">
        <w:t>, et non « </w:t>
      </w:r>
      <w:proofErr w:type="spellStart"/>
      <w:r w:rsidRPr="000C4CD0">
        <w:t>logement</w:t>
      </w:r>
      <w:proofErr w:type="spellEnd"/>
      <w:r w:rsidRPr="000C4CD0">
        <w:t xml:space="preserve"> » au </w:t>
      </w:r>
      <w:proofErr w:type="spellStart"/>
      <w:r w:rsidRPr="000C4CD0">
        <w:t>singulier</w:t>
      </w:r>
      <w:proofErr w:type="spellEnd"/>
      <w:r w:rsidRPr="000C4CD0">
        <w:t>.</w:t>
      </w:r>
    </w:p>
    <w:p w:rsidR="00FF3208" w:rsidRPr="000C4CD0" w:rsidRDefault="00FF3208" w:rsidP="00D352B4">
      <w:pPr>
        <w:pStyle w:val="SingleTxtG"/>
        <w:tabs>
          <w:tab w:val="left" w:pos="1701"/>
        </w:tabs>
      </w:pPr>
      <w:r w:rsidRPr="000C4CD0">
        <w:t>11.</w:t>
      </w:r>
      <w:r w:rsidRPr="000C4CD0">
        <w:tab/>
      </w:r>
      <w:proofErr w:type="spellStart"/>
      <w:r w:rsidRPr="000C4CD0">
        <w:t>Dans</w:t>
      </w:r>
      <w:proofErr w:type="spellEnd"/>
      <w:r w:rsidRPr="000C4CD0">
        <w:t xml:space="preserve"> la </w:t>
      </w:r>
      <w:proofErr w:type="spellStart"/>
      <w:r w:rsidRPr="000C4CD0">
        <w:t>demande</w:t>
      </w:r>
      <w:proofErr w:type="spellEnd"/>
      <w:r w:rsidRPr="000C4CD0">
        <w:t xml:space="preserve"> de modification du 7.2.4.7.1 ADN, </w:t>
      </w:r>
      <w:proofErr w:type="spellStart"/>
      <w:r w:rsidRPr="000C4CD0">
        <w:t>ajouter</w:t>
      </w:r>
      <w:proofErr w:type="spellEnd"/>
      <w:r w:rsidRPr="000C4CD0">
        <w:t xml:space="preserve"> la phrase </w:t>
      </w:r>
      <w:proofErr w:type="spellStart"/>
      <w:r w:rsidRPr="000C4CD0">
        <w:t>suivante</w:t>
      </w:r>
      <w:proofErr w:type="spellEnd"/>
      <w:r w:rsidRPr="000C4CD0">
        <w:t>: « </w:t>
      </w:r>
      <w:proofErr w:type="spellStart"/>
      <w:r w:rsidRPr="000C4CD0">
        <w:t>L'autorité</w:t>
      </w:r>
      <w:proofErr w:type="spellEnd"/>
      <w:r w:rsidRPr="000C4CD0">
        <w:t xml:space="preserve"> </w:t>
      </w:r>
      <w:proofErr w:type="spellStart"/>
      <w:r w:rsidRPr="000C4CD0">
        <w:t>compétente</w:t>
      </w:r>
      <w:proofErr w:type="spellEnd"/>
      <w:r w:rsidRPr="000C4CD0">
        <w:t xml:space="preserve"> </w:t>
      </w:r>
      <w:proofErr w:type="spellStart"/>
      <w:r w:rsidRPr="000C4CD0">
        <w:t>peut</w:t>
      </w:r>
      <w:proofErr w:type="spellEnd"/>
      <w:r w:rsidRPr="000C4CD0">
        <w:t xml:space="preserve"> accorder des </w:t>
      </w:r>
      <w:proofErr w:type="spellStart"/>
      <w:r w:rsidRPr="000C4CD0">
        <w:t>dérogations</w:t>
      </w:r>
      <w:proofErr w:type="spellEnd"/>
      <w:r w:rsidRPr="000C4CD0">
        <w:t xml:space="preserve"> au </w:t>
      </w:r>
      <w:proofErr w:type="spellStart"/>
      <w:r w:rsidRPr="000C4CD0">
        <w:t>cas</w:t>
      </w:r>
      <w:proofErr w:type="spellEnd"/>
      <w:r w:rsidRPr="000C4CD0">
        <w:t xml:space="preserve"> par </w:t>
      </w:r>
      <w:proofErr w:type="spellStart"/>
      <w:r w:rsidRPr="000C4CD0">
        <w:t>cas</w:t>
      </w:r>
      <w:proofErr w:type="spellEnd"/>
      <w:r w:rsidRPr="000C4CD0">
        <w:t> ».</w:t>
      </w:r>
    </w:p>
    <w:p w:rsidR="00FF3208" w:rsidRPr="000C4CD0" w:rsidRDefault="0014242A" w:rsidP="00A74215">
      <w:pPr>
        <w:pStyle w:val="SingleTxtG"/>
        <w:rPr>
          <w:u w:val="single"/>
        </w:rPr>
      </w:pPr>
      <w:proofErr w:type="gramStart"/>
      <w:r w:rsidRPr="000C4CD0">
        <w:rPr>
          <w:u w:val="single"/>
        </w:rPr>
        <w:t xml:space="preserve">Motif </w:t>
      </w:r>
      <w:r w:rsidR="00FF3208" w:rsidRPr="000C4CD0">
        <w:rPr>
          <w:u w:val="single"/>
        </w:rPr>
        <w:t>:</w:t>
      </w:r>
      <w:proofErr w:type="gramEnd"/>
    </w:p>
    <w:p w:rsidR="00FF3208" w:rsidRPr="000C4CD0" w:rsidRDefault="00FF3208" w:rsidP="00A74215">
      <w:pPr>
        <w:pStyle w:val="SingleTxtG"/>
      </w:pPr>
      <w:r w:rsidRPr="000C4CD0">
        <w:t xml:space="preserve">Les conditions de </w:t>
      </w:r>
      <w:proofErr w:type="spellStart"/>
      <w:r w:rsidRPr="000C4CD0">
        <w:t>trafic</w:t>
      </w:r>
      <w:proofErr w:type="spellEnd"/>
      <w:r w:rsidRPr="000C4CD0">
        <w:t xml:space="preserve"> </w:t>
      </w:r>
      <w:proofErr w:type="spellStart"/>
      <w:r w:rsidRPr="000C4CD0">
        <w:t>ou</w:t>
      </w:r>
      <w:proofErr w:type="spellEnd"/>
      <w:r w:rsidRPr="000C4CD0">
        <w:t xml:space="preserve"> les </w:t>
      </w:r>
      <w:proofErr w:type="spellStart"/>
      <w:r w:rsidRPr="000C4CD0">
        <w:t>avaries</w:t>
      </w:r>
      <w:proofErr w:type="spellEnd"/>
      <w:r w:rsidRPr="000C4CD0">
        <w:t xml:space="preserve"> </w:t>
      </w:r>
      <w:proofErr w:type="spellStart"/>
      <w:r w:rsidRPr="000C4CD0">
        <w:t>peuvent</w:t>
      </w:r>
      <w:proofErr w:type="spellEnd"/>
      <w:r w:rsidRPr="000C4CD0">
        <w:t xml:space="preserve"> </w:t>
      </w:r>
      <w:proofErr w:type="spellStart"/>
      <w:r w:rsidRPr="000C4CD0">
        <w:t>rendre</w:t>
      </w:r>
      <w:proofErr w:type="spellEnd"/>
      <w:r w:rsidRPr="000C4CD0">
        <w:t xml:space="preserve"> </w:t>
      </w:r>
      <w:proofErr w:type="spellStart"/>
      <w:r w:rsidRPr="000C4CD0">
        <w:t>nécessaire</w:t>
      </w:r>
      <w:proofErr w:type="spellEnd"/>
      <w:r w:rsidRPr="000C4CD0">
        <w:t xml:space="preserve"> de </w:t>
      </w:r>
      <w:proofErr w:type="spellStart"/>
      <w:r w:rsidRPr="000C4CD0">
        <w:t>regagner</w:t>
      </w:r>
      <w:proofErr w:type="spellEnd"/>
      <w:r w:rsidRPr="000C4CD0">
        <w:t xml:space="preserve"> </w:t>
      </w:r>
      <w:proofErr w:type="spellStart"/>
      <w:r w:rsidRPr="000C4CD0">
        <w:t>immédiatement</w:t>
      </w:r>
      <w:proofErr w:type="spellEnd"/>
      <w:r w:rsidRPr="000C4CD0">
        <w:t xml:space="preserve"> un </w:t>
      </w:r>
      <w:proofErr w:type="spellStart"/>
      <w:r w:rsidRPr="000C4CD0">
        <w:t>tel</w:t>
      </w:r>
      <w:proofErr w:type="spellEnd"/>
      <w:r w:rsidRPr="000C4CD0">
        <w:t xml:space="preserve"> poste de </w:t>
      </w:r>
      <w:proofErr w:type="spellStart"/>
      <w:r w:rsidRPr="000C4CD0">
        <w:t>chargement</w:t>
      </w:r>
      <w:proofErr w:type="spellEnd"/>
      <w:r w:rsidRPr="000C4CD0">
        <w:t xml:space="preserve"> et de </w:t>
      </w:r>
      <w:proofErr w:type="spellStart"/>
      <w:r w:rsidRPr="000C4CD0">
        <w:t>déchargement</w:t>
      </w:r>
      <w:proofErr w:type="spellEnd"/>
      <w:r w:rsidRPr="000C4CD0">
        <w:t xml:space="preserve">. </w:t>
      </w:r>
      <w:proofErr w:type="spellStart"/>
      <w:r w:rsidRPr="000C4CD0">
        <w:t>L'autorité</w:t>
      </w:r>
      <w:proofErr w:type="spellEnd"/>
      <w:r w:rsidRPr="000C4CD0">
        <w:t xml:space="preserve"> </w:t>
      </w:r>
      <w:proofErr w:type="spellStart"/>
      <w:r w:rsidRPr="000C4CD0">
        <w:t>compétente</w:t>
      </w:r>
      <w:proofErr w:type="spellEnd"/>
      <w:r w:rsidRPr="000C4CD0">
        <w:t xml:space="preserve"> </w:t>
      </w:r>
      <w:proofErr w:type="spellStart"/>
      <w:r w:rsidRPr="000C4CD0">
        <w:t>doit</w:t>
      </w:r>
      <w:proofErr w:type="spellEnd"/>
      <w:r w:rsidRPr="000C4CD0">
        <w:t xml:space="preserve"> </w:t>
      </w:r>
      <w:proofErr w:type="spellStart"/>
      <w:r w:rsidRPr="000C4CD0">
        <w:t>vérifier</w:t>
      </w:r>
      <w:proofErr w:type="spellEnd"/>
      <w:r w:rsidRPr="000C4CD0">
        <w:t xml:space="preserve"> </w:t>
      </w:r>
      <w:proofErr w:type="spellStart"/>
      <w:r w:rsidRPr="000C4CD0">
        <w:t>si</w:t>
      </w:r>
      <w:proofErr w:type="spellEnd"/>
      <w:r w:rsidRPr="000C4CD0">
        <w:t xml:space="preserve"> la protection </w:t>
      </w:r>
      <w:proofErr w:type="spellStart"/>
      <w:r w:rsidRPr="000C4CD0">
        <w:t>contre</w:t>
      </w:r>
      <w:proofErr w:type="spellEnd"/>
      <w:r w:rsidRPr="000C4CD0">
        <w:t xml:space="preserve"> </w:t>
      </w:r>
      <w:proofErr w:type="spellStart"/>
      <w:r w:rsidRPr="000C4CD0">
        <w:t>l'explosion</w:t>
      </w:r>
      <w:proofErr w:type="spellEnd"/>
      <w:r w:rsidRPr="000C4CD0">
        <w:t xml:space="preserve"> </w:t>
      </w:r>
      <w:proofErr w:type="spellStart"/>
      <w:r w:rsidRPr="000C4CD0">
        <w:t>peut</w:t>
      </w:r>
      <w:proofErr w:type="spellEnd"/>
      <w:r w:rsidRPr="000C4CD0">
        <w:t xml:space="preserve"> </w:t>
      </w:r>
      <w:proofErr w:type="spellStart"/>
      <w:r w:rsidRPr="000C4CD0">
        <w:t>être</w:t>
      </w:r>
      <w:proofErr w:type="spellEnd"/>
      <w:r w:rsidRPr="000C4CD0">
        <w:t xml:space="preserve"> </w:t>
      </w:r>
      <w:proofErr w:type="spellStart"/>
      <w:r w:rsidRPr="000C4CD0">
        <w:t>assurée</w:t>
      </w:r>
      <w:proofErr w:type="spellEnd"/>
      <w:r w:rsidRPr="000C4CD0">
        <w:t xml:space="preserve"> par </w:t>
      </w:r>
      <w:proofErr w:type="spellStart"/>
      <w:r w:rsidRPr="000C4CD0">
        <w:t>d'autres</w:t>
      </w:r>
      <w:proofErr w:type="spellEnd"/>
      <w:r w:rsidRPr="000C4CD0">
        <w:t xml:space="preserve"> </w:t>
      </w:r>
      <w:proofErr w:type="spellStart"/>
      <w:r w:rsidRPr="000C4CD0">
        <w:t>moyens</w:t>
      </w:r>
      <w:proofErr w:type="spellEnd"/>
      <w:r w:rsidRPr="000C4CD0">
        <w:t xml:space="preserve"> </w:t>
      </w:r>
      <w:proofErr w:type="spellStart"/>
      <w:r w:rsidRPr="000C4CD0">
        <w:t>ou</w:t>
      </w:r>
      <w:proofErr w:type="spellEnd"/>
      <w:r w:rsidRPr="000C4CD0">
        <w:t xml:space="preserve"> </w:t>
      </w:r>
      <w:proofErr w:type="spellStart"/>
      <w:r w:rsidRPr="000C4CD0">
        <w:t>si</w:t>
      </w:r>
      <w:proofErr w:type="spellEnd"/>
      <w:r w:rsidRPr="000C4CD0">
        <w:t xml:space="preserve"> des </w:t>
      </w:r>
      <w:proofErr w:type="spellStart"/>
      <w:r w:rsidRPr="000C4CD0">
        <w:t>allégements</w:t>
      </w:r>
      <w:proofErr w:type="spellEnd"/>
      <w:r w:rsidRPr="000C4CD0">
        <w:t xml:space="preserve"> </w:t>
      </w:r>
      <w:proofErr w:type="spellStart"/>
      <w:r w:rsidRPr="000C4CD0">
        <w:t>peuvent</w:t>
      </w:r>
      <w:proofErr w:type="spellEnd"/>
      <w:r w:rsidRPr="000C4CD0">
        <w:t xml:space="preserve"> </w:t>
      </w:r>
      <w:proofErr w:type="spellStart"/>
      <w:r w:rsidRPr="000C4CD0">
        <w:t>être</w:t>
      </w:r>
      <w:proofErr w:type="spellEnd"/>
      <w:r w:rsidRPr="000C4CD0">
        <w:t xml:space="preserve"> </w:t>
      </w:r>
      <w:proofErr w:type="spellStart"/>
      <w:r w:rsidRPr="000C4CD0">
        <w:t>accordés</w:t>
      </w:r>
      <w:proofErr w:type="spellEnd"/>
      <w:r w:rsidRPr="000C4CD0">
        <w:t>.</w:t>
      </w:r>
    </w:p>
    <w:p w:rsidR="00FF3208" w:rsidRPr="000C4CD0" w:rsidRDefault="00FF3208" w:rsidP="00D352B4">
      <w:pPr>
        <w:pStyle w:val="SingleTxtG"/>
        <w:tabs>
          <w:tab w:val="left" w:pos="1701"/>
        </w:tabs>
      </w:pPr>
      <w:r w:rsidRPr="000C4CD0">
        <w:t>12.</w:t>
      </w:r>
      <w:r w:rsidRPr="000C4CD0">
        <w:tab/>
      </w:r>
      <w:proofErr w:type="spellStart"/>
      <w:r w:rsidR="00852474" w:rsidRPr="000C4CD0">
        <w:t>Insérer</w:t>
      </w:r>
      <w:proofErr w:type="spellEnd"/>
      <w:r w:rsidR="00852474" w:rsidRPr="000C4CD0">
        <w:t xml:space="preserve"> la nouvelle </w:t>
      </w:r>
      <w:r w:rsidR="00303FF8" w:rsidRPr="000C4CD0">
        <w:t>proposition de modification</w:t>
      </w:r>
      <w:r w:rsidR="00852474" w:rsidRPr="000C4CD0">
        <w:t xml:space="preserve"> </w:t>
      </w:r>
      <w:proofErr w:type="spellStart"/>
      <w:proofErr w:type="gramStart"/>
      <w:r w:rsidR="00852474" w:rsidRPr="000C4CD0">
        <w:t>suivante</w:t>
      </w:r>
      <w:proofErr w:type="spellEnd"/>
      <w:r w:rsidR="00852474" w:rsidRPr="000C4CD0">
        <w:t xml:space="preserve"> </w:t>
      </w:r>
      <w:r w:rsidRPr="000C4CD0">
        <w:t>:</w:t>
      </w:r>
      <w:proofErr w:type="gramEnd"/>
    </w:p>
    <w:p w:rsidR="00BB5724" w:rsidRPr="000C4CD0" w:rsidRDefault="00BB5724" w:rsidP="00D352B4">
      <w:pPr>
        <w:pStyle w:val="SingleTxtG"/>
        <w:ind w:left="1701"/>
      </w:pPr>
      <w:r w:rsidRPr="000C4CD0">
        <w:t>« 7.2.4.75</w:t>
      </w:r>
      <w:r w:rsidRPr="000C4CD0">
        <w:tab/>
        <w:t xml:space="preserve">Modifier pour lire </w:t>
      </w:r>
      <w:proofErr w:type="spellStart"/>
      <w:r w:rsidRPr="000C4CD0">
        <w:t>comme</w:t>
      </w:r>
      <w:proofErr w:type="spellEnd"/>
      <w:r w:rsidRPr="000C4CD0">
        <w:t xml:space="preserve"> </w:t>
      </w:r>
      <w:proofErr w:type="gramStart"/>
      <w:r w:rsidRPr="000C4CD0">
        <w:t>suit :</w:t>
      </w:r>
      <w:proofErr w:type="gramEnd"/>
    </w:p>
    <w:p w:rsidR="00BB5724" w:rsidRPr="000C4CD0" w:rsidRDefault="00BB5724" w:rsidP="00D352B4">
      <w:pPr>
        <w:pStyle w:val="SingleTxtG"/>
        <w:ind w:left="1701"/>
        <w:rPr>
          <w:bCs/>
          <w:iCs/>
        </w:rPr>
      </w:pPr>
      <w:r w:rsidRPr="000C4CD0">
        <w:rPr>
          <w:bCs/>
        </w:rPr>
        <w:t>« 7.2.4.75</w:t>
      </w:r>
      <w:r w:rsidRPr="000C4CD0">
        <w:rPr>
          <w:bCs/>
        </w:rPr>
        <w:tab/>
      </w:r>
      <w:proofErr w:type="spellStart"/>
      <w:r w:rsidRPr="000C4CD0">
        <w:rPr>
          <w:bCs/>
          <w:iCs/>
        </w:rPr>
        <w:t>Risque</w:t>
      </w:r>
      <w:proofErr w:type="spellEnd"/>
      <w:r w:rsidRPr="000C4CD0">
        <w:rPr>
          <w:bCs/>
          <w:iCs/>
        </w:rPr>
        <w:t xml:space="preserve"> de formation </w:t>
      </w:r>
      <w:proofErr w:type="spellStart"/>
      <w:r w:rsidRPr="000C4CD0">
        <w:rPr>
          <w:bCs/>
          <w:iCs/>
        </w:rPr>
        <w:t>d'étincelles</w:t>
      </w:r>
      <w:proofErr w:type="spellEnd"/>
    </w:p>
    <w:p w:rsidR="00BB5724" w:rsidRPr="00722623" w:rsidRDefault="00722623" w:rsidP="00D352B4">
      <w:pPr>
        <w:pStyle w:val="SingleTxtG"/>
        <w:ind w:left="1701"/>
        <w:rPr>
          <w:spacing w:val="-2"/>
        </w:rPr>
      </w:pPr>
      <w:proofErr w:type="spellStart"/>
      <w:r w:rsidRPr="00722623">
        <w:rPr>
          <w:spacing w:val="-2"/>
        </w:rPr>
        <w:t>Toutes</w:t>
      </w:r>
      <w:proofErr w:type="spellEnd"/>
      <w:r w:rsidRPr="00722623">
        <w:rPr>
          <w:spacing w:val="-2"/>
        </w:rPr>
        <w:t xml:space="preserve"> les liaisons continues entre le bateau et la </w:t>
      </w:r>
      <w:proofErr w:type="spellStart"/>
      <w:r w:rsidRPr="00722623">
        <w:rPr>
          <w:spacing w:val="-2"/>
        </w:rPr>
        <w:t>terre</w:t>
      </w:r>
      <w:proofErr w:type="spellEnd"/>
      <w:r w:rsidRPr="00722623">
        <w:rPr>
          <w:spacing w:val="-2"/>
        </w:rPr>
        <w:t xml:space="preserve"> conductrices </w:t>
      </w:r>
      <w:proofErr w:type="spellStart"/>
      <w:r w:rsidRPr="00722623">
        <w:rPr>
          <w:spacing w:val="-2"/>
        </w:rPr>
        <w:t>d'électricité</w:t>
      </w:r>
      <w:proofErr w:type="spellEnd"/>
      <w:r w:rsidRPr="00722623">
        <w:rPr>
          <w:spacing w:val="-2"/>
        </w:rPr>
        <w:t xml:space="preserve"> </w:t>
      </w:r>
      <w:proofErr w:type="spellStart"/>
      <w:r w:rsidRPr="00722623">
        <w:rPr>
          <w:spacing w:val="-2"/>
        </w:rPr>
        <w:t>doivent</w:t>
      </w:r>
      <w:proofErr w:type="spellEnd"/>
      <w:r w:rsidRPr="00722623">
        <w:rPr>
          <w:spacing w:val="-2"/>
        </w:rPr>
        <w:t xml:space="preserve"> </w:t>
      </w:r>
      <w:proofErr w:type="spellStart"/>
      <w:r w:rsidRPr="00722623">
        <w:rPr>
          <w:spacing w:val="-2"/>
        </w:rPr>
        <w:t>être</w:t>
      </w:r>
      <w:proofErr w:type="spellEnd"/>
      <w:r w:rsidRPr="00722623">
        <w:rPr>
          <w:spacing w:val="-2"/>
        </w:rPr>
        <w:t xml:space="preserve"> </w:t>
      </w:r>
      <w:proofErr w:type="spellStart"/>
      <w:r w:rsidRPr="00722623">
        <w:rPr>
          <w:spacing w:val="-2"/>
        </w:rPr>
        <w:t>conçues</w:t>
      </w:r>
      <w:proofErr w:type="spellEnd"/>
      <w:r w:rsidRPr="00722623">
        <w:rPr>
          <w:spacing w:val="-2"/>
        </w:rPr>
        <w:t xml:space="preserve"> de </w:t>
      </w:r>
      <w:proofErr w:type="spellStart"/>
      <w:r w:rsidRPr="00722623">
        <w:rPr>
          <w:spacing w:val="-2"/>
        </w:rPr>
        <w:t>manière</w:t>
      </w:r>
      <w:proofErr w:type="spellEnd"/>
      <w:r w:rsidRPr="00722623">
        <w:rPr>
          <w:spacing w:val="-2"/>
        </w:rPr>
        <w:t xml:space="preserve"> à ne pas </w:t>
      </w:r>
      <w:proofErr w:type="spellStart"/>
      <w:r w:rsidRPr="00722623">
        <w:rPr>
          <w:spacing w:val="-2"/>
        </w:rPr>
        <w:t>constituer</w:t>
      </w:r>
      <w:proofErr w:type="spellEnd"/>
      <w:r w:rsidRPr="00722623">
        <w:rPr>
          <w:spacing w:val="-2"/>
        </w:rPr>
        <w:t xml:space="preserve"> </w:t>
      </w:r>
      <w:proofErr w:type="spellStart"/>
      <w:r w:rsidRPr="00722623">
        <w:rPr>
          <w:spacing w:val="-2"/>
        </w:rPr>
        <w:t>une</w:t>
      </w:r>
      <w:proofErr w:type="spellEnd"/>
      <w:r w:rsidRPr="00722623">
        <w:rPr>
          <w:spacing w:val="-2"/>
        </w:rPr>
        <w:t xml:space="preserve"> source </w:t>
      </w:r>
      <w:proofErr w:type="spellStart"/>
      <w:r w:rsidRPr="00722623">
        <w:rPr>
          <w:spacing w:val="-2"/>
        </w:rPr>
        <w:t>d'inflammation</w:t>
      </w:r>
      <w:proofErr w:type="spellEnd"/>
      <w:r w:rsidRPr="00722623">
        <w:rPr>
          <w:spacing w:val="-2"/>
        </w:rPr>
        <w:t xml:space="preserve">. </w:t>
      </w:r>
      <w:proofErr w:type="spellStart"/>
      <w:r w:rsidRPr="00722623">
        <w:rPr>
          <w:spacing w:val="-2"/>
        </w:rPr>
        <w:t>Lorsque</w:t>
      </w:r>
      <w:proofErr w:type="spellEnd"/>
      <w:r w:rsidRPr="00722623">
        <w:rPr>
          <w:spacing w:val="-2"/>
        </w:rPr>
        <w:t xml:space="preserve"> la </w:t>
      </w:r>
      <w:proofErr w:type="spellStart"/>
      <w:r w:rsidRPr="00722623">
        <w:rPr>
          <w:spacing w:val="-2"/>
        </w:rPr>
        <w:t>liste</w:t>
      </w:r>
      <w:proofErr w:type="spellEnd"/>
      <w:r w:rsidRPr="00722623">
        <w:rPr>
          <w:spacing w:val="-2"/>
        </w:rPr>
        <w:t xml:space="preserve"> des </w:t>
      </w:r>
      <w:proofErr w:type="spellStart"/>
      <w:r w:rsidRPr="00722623">
        <w:rPr>
          <w:spacing w:val="-2"/>
        </w:rPr>
        <w:t>matières</w:t>
      </w:r>
      <w:proofErr w:type="spellEnd"/>
      <w:r w:rsidRPr="00722623">
        <w:rPr>
          <w:spacing w:val="-2"/>
        </w:rPr>
        <w:t xml:space="preserve"> du bateau </w:t>
      </w:r>
      <w:proofErr w:type="spellStart"/>
      <w:r w:rsidRPr="00722623">
        <w:rPr>
          <w:spacing w:val="-2"/>
        </w:rPr>
        <w:t>selon</w:t>
      </w:r>
      <w:proofErr w:type="spellEnd"/>
      <w:r w:rsidRPr="00722623">
        <w:rPr>
          <w:spacing w:val="-2"/>
        </w:rPr>
        <w:t xml:space="preserve"> 1.16.1.2.5 </w:t>
      </w:r>
      <w:proofErr w:type="spellStart"/>
      <w:r w:rsidRPr="00722623">
        <w:rPr>
          <w:spacing w:val="-2"/>
        </w:rPr>
        <w:t>contient</w:t>
      </w:r>
      <w:proofErr w:type="spellEnd"/>
      <w:r w:rsidRPr="00722623">
        <w:rPr>
          <w:spacing w:val="-2"/>
        </w:rPr>
        <w:t xml:space="preserve"> des </w:t>
      </w:r>
      <w:proofErr w:type="spellStart"/>
      <w:r w:rsidRPr="00722623">
        <w:rPr>
          <w:spacing w:val="-2"/>
        </w:rPr>
        <w:t>matières</w:t>
      </w:r>
      <w:proofErr w:type="spellEnd"/>
      <w:r w:rsidRPr="00722623">
        <w:rPr>
          <w:spacing w:val="-2"/>
        </w:rPr>
        <w:t xml:space="preserve"> pour </w:t>
      </w:r>
      <w:proofErr w:type="spellStart"/>
      <w:r w:rsidRPr="00722623">
        <w:rPr>
          <w:spacing w:val="-2"/>
        </w:rPr>
        <w:t>lesquelles</w:t>
      </w:r>
      <w:proofErr w:type="spellEnd"/>
      <w:r w:rsidRPr="00722623">
        <w:rPr>
          <w:spacing w:val="-2"/>
        </w:rPr>
        <w:t xml:space="preserve"> la protection </w:t>
      </w:r>
      <w:proofErr w:type="spellStart"/>
      <w:r w:rsidRPr="00722623">
        <w:rPr>
          <w:spacing w:val="-2"/>
        </w:rPr>
        <w:t>contre</w:t>
      </w:r>
      <w:proofErr w:type="spellEnd"/>
      <w:r w:rsidRPr="00722623">
        <w:rPr>
          <w:spacing w:val="-2"/>
        </w:rPr>
        <w:t xml:space="preserve"> les explosions </w:t>
      </w:r>
      <w:proofErr w:type="spellStart"/>
      <w:r w:rsidRPr="00722623">
        <w:rPr>
          <w:spacing w:val="-2"/>
        </w:rPr>
        <w:t>est</w:t>
      </w:r>
      <w:proofErr w:type="spellEnd"/>
      <w:r w:rsidRPr="00722623">
        <w:rPr>
          <w:spacing w:val="-2"/>
        </w:rPr>
        <w:t xml:space="preserve"> </w:t>
      </w:r>
      <w:proofErr w:type="spellStart"/>
      <w:r w:rsidRPr="00722623">
        <w:rPr>
          <w:spacing w:val="-2"/>
        </w:rPr>
        <w:t>exigée</w:t>
      </w:r>
      <w:proofErr w:type="spellEnd"/>
      <w:r w:rsidRPr="00722623">
        <w:rPr>
          <w:spacing w:val="-2"/>
        </w:rPr>
        <w:t xml:space="preserve"> à la </w:t>
      </w:r>
      <w:proofErr w:type="spellStart"/>
      <w:r w:rsidRPr="00722623">
        <w:rPr>
          <w:spacing w:val="-2"/>
        </w:rPr>
        <w:t>colonne</w:t>
      </w:r>
      <w:proofErr w:type="spellEnd"/>
      <w:r w:rsidRPr="00722623">
        <w:rPr>
          <w:spacing w:val="-2"/>
        </w:rPr>
        <w:t xml:space="preserve"> (17) du tableau C de la </w:t>
      </w:r>
      <w:proofErr w:type="spellStart"/>
      <w:r w:rsidRPr="00722623">
        <w:rPr>
          <w:spacing w:val="-2"/>
        </w:rPr>
        <w:t>sous</w:t>
      </w:r>
      <w:proofErr w:type="spellEnd"/>
      <w:r w:rsidRPr="00722623">
        <w:rPr>
          <w:spacing w:val="-2"/>
        </w:rPr>
        <w:t xml:space="preserve">-section 3.2.3.2, </w:t>
      </w:r>
      <w:proofErr w:type="spellStart"/>
      <w:r w:rsidRPr="00722623">
        <w:rPr>
          <w:spacing w:val="-2"/>
        </w:rPr>
        <w:t>il</w:t>
      </w:r>
      <w:proofErr w:type="spellEnd"/>
      <w:r w:rsidRPr="00722623">
        <w:rPr>
          <w:spacing w:val="-2"/>
        </w:rPr>
        <w:t xml:space="preserve"> </w:t>
      </w:r>
      <w:proofErr w:type="spellStart"/>
      <w:r w:rsidRPr="00722623">
        <w:rPr>
          <w:spacing w:val="-2"/>
        </w:rPr>
        <w:t>est</w:t>
      </w:r>
      <w:proofErr w:type="spellEnd"/>
      <w:r w:rsidRPr="00722623">
        <w:rPr>
          <w:spacing w:val="-2"/>
        </w:rPr>
        <w:t xml:space="preserve"> </w:t>
      </w:r>
      <w:proofErr w:type="spellStart"/>
      <w:r w:rsidRPr="00722623">
        <w:rPr>
          <w:spacing w:val="-2"/>
        </w:rPr>
        <w:t>interdit</w:t>
      </w:r>
      <w:proofErr w:type="spellEnd"/>
      <w:r w:rsidRPr="00722623">
        <w:rPr>
          <w:spacing w:val="-2"/>
        </w:rPr>
        <w:t xml:space="preserve"> de </w:t>
      </w:r>
      <w:proofErr w:type="spellStart"/>
      <w:r w:rsidRPr="00722623">
        <w:rPr>
          <w:spacing w:val="-2"/>
        </w:rPr>
        <w:t>retirer</w:t>
      </w:r>
      <w:proofErr w:type="spellEnd"/>
      <w:r w:rsidRPr="00722623">
        <w:rPr>
          <w:spacing w:val="-2"/>
        </w:rPr>
        <w:t xml:space="preserve"> des </w:t>
      </w:r>
      <w:proofErr w:type="spellStart"/>
      <w:r w:rsidRPr="00722623">
        <w:rPr>
          <w:spacing w:val="-2"/>
        </w:rPr>
        <w:t>vêtements</w:t>
      </w:r>
      <w:proofErr w:type="spellEnd"/>
      <w:r w:rsidRPr="00722623">
        <w:rPr>
          <w:spacing w:val="-2"/>
        </w:rPr>
        <w:t xml:space="preserve"> </w:t>
      </w:r>
      <w:proofErr w:type="spellStart"/>
      <w:r w:rsidRPr="00722623">
        <w:rPr>
          <w:spacing w:val="-2"/>
        </w:rPr>
        <w:t>dans</w:t>
      </w:r>
      <w:proofErr w:type="spellEnd"/>
      <w:r w:rsidRPr="00722623">
        <w:rPr>
          <w:spacing w:val="-2"/>
        </w:rPr>
        <w:t xml:space="preserve"> la zone 1.</w:t>
      </w:r>
      <w:r w:rsidR="00BB5724" w:rsidRPr="00722623">
        <w:rPr>
          <w:spacing w:val="-2"/>
        </w:rPr>
        <w:t> ». ».</w:t>
      </w:r>
    </w:p>
    <w:p w:rsidR="00FF3208" w:rsidRPr="000C4CD0" w:rsidRDefault="0014242A" w:rsidP="00D352B4">
      <w:pPr>
        <w:pStyle w:val="SingleTxtG"/>
        <w:keepNext/>
        <w:keepLines/>
        <w:rPr>
          <w:u w:val="single"/>
        </w:rPr>
      </w:pPr>
      <w:proofErr w:type="gramStart"/>
      <w:r w:rsidRPr="000C4CD0">
        <w:rPr>
          <w:u w:val="single"/>
        </w:rPr>
        <w:lastRenderedPageBreak/>
        <w:t xml:space="preserve">Motif </w:t>
      </w:r>
      <w:r w:rsidR="00FF3208" w:rsidRPr="000C4CD0">
        <w:rPr>
          <w:u w:val="single"/>
        </w:rPr>
        <w:t>:</w:t>
      </w:r>
      <w:proofErr w:type="gramEnd"/>
    </w:p>
    <w:p w:rsidR="00FF3208" w:rsidRPr="000C4CD0" w:rsidRDefault="00FF3208" w:rsidP="00D352B4">
      <w:pPr>
        <w:pStyle w:val="SingleTxtG"/>
        <w:keepNext/>
        <w:keepLines/>
      </w:pPr>
      <w:r w:rsidRPr="000C4CD0">
        <w:t xml:space="preserve">La </w:t>
      </w:r>
      <w:proofErr w:type="spellStart"/>
      <w:r w:rsidRPr="000C4CD0">
        <w:t>prévention</w:t>
      </w:r>
      <w:proofErr w:type="spellEnd"/>
      <w:r w:rsidRPr="000C4CD0">
        <w:t xml:space="preserve"> des sources </w:t>
      </w:r>
      <w:proofErr w:type="spellStart"/>
      <w:r w:rsidRPr="000C4CD0">
        <w:t>d'inflammation</w:t>
      </w:r>
      <w:proofErr w:type="spellEnd"/>
      <w:r w:rsidRPr="000C4CD0">
        <w:t xml:space="preserve"> par charge </w:t>
      </w:r>
      <w:proofErr w:type="spellStart"/>
      <w:r w:rsidRPr="000C4CD0">
        <w:t>électrostatique</w:t>
      </w:r>
      <w:proofErr w:type="spellEnd"/>
      <w:r w:rsidRPr="000C4CD0">
        <w:t xml:space="preserve"> </w:t>
      </w:r>
      <w:proofErr w:type="spellStart"/>
      <w:r w:rsidRPr="000C4CD0">
        <w:t>est</w:t>
      </w:r>
      <w:proofErr w:type="spellEnd"/>
      <w:r w:rsidRPr="000C4CD0">
        <w:t xml:space="preserve"> un </w:t>
      </w:r>
      <w:proofErr w:type="spellStart"/>
      <w:r w:rsidRPr="000C4CD0">
        <w:t>élément</w:t>
      </w:r>
      <w:proofErr w:type="spellEnd"/>
      <w:r w:rsidRPr="000C4CD0">
        <w:t xml:space="preserve"> indispensable des </w:t>
      </w:r>
      <w:proofErr w:type="spellStart"/>
      <w:r w:rsidRPr="000C4CD0">
        <w:t>mesures</w:t>
      </w:r>
      <w:proofErr w:type="spellEnd"/>
      <w:r w:rsidRPr="000C4CD0">
        <w:t xml:space="preserve"> de protection </w:t>
      </w:r>
      <w:proofErr w:type="spellStart"/>
      <w:r w:rsidRPr="000C4CD0">
        <w:t>contre</w:t>
      </w:r>
      <w:proofErr w:type="spellEnd"/>
      <w:r w:rsidRPr="000C4CD0">
        <w:t xml:space="preserve"> les explosions. Le fait de </w:t>
      </w:r>
      <w:proofErr w:type="spellStart"/>
      <w:r w:rsidRPr="000C4CD0">
        <w:t>retirer</w:t>
      </w:r>
      <w:proofErr w:type="spellEnd"/>
      <w:r w:rsidRPr="000C4CD0">
        <w:t xml:space="preserve"> des </w:t>
      </w:r>
      <w:proofErr w:type="spellStart"/>
      <w:r w:rsidRPr="000C4CD0">
        <w:t>vêtements</w:t>
      </w:r>
      <w:proofErr w:type="spellEnd"/>
      <w:r w:rsidRPr="000C4CD0">
        <w:t xml:space="preserve"> qui ne </w:t>
      </w:r>
      <w:proofErr w:type="spellStart"/>
      <w:r w:rsidRPr="000C4CD0">
        <w:t>sont</w:t>
      </w:r>
      <w:proofErr w:type="spellEnd"/>
      <w:r w:rsidRPr="000C4CD0">
        <w:t xml:space="preserve"> pas </w:t>
      </w:r>
      <w:proofErr w:type="spellStart"/>
      <w:r w:rsidRPr="000C4CD0">
        <w:t>suffisamment</w:t>
      </w:r>
      <w:proofErr w:type="spellEnd"/>
      <w:r w:rsidRPr="000C4CD0">
        <w:t xml:space="preserve"> </w:t>
      </w:r>
      <w:proofErr w:type="spellStart"/>
      <w:r w:rsidRPr="000C4CD0">
        <w:t>dissipateurs</w:t>
      </w:r>
      <w:proofErr w:type="spellEnd"/>
      <w:r w:rsidRPr="000C4CD0">
        <w:t xml:space="preserve"> </w:t>
      </w:r>
      <w:proofErr w:type="spellStart"/>
      <w:r w:rsidRPr="000C4CD0">
        <w:t>peut</w:t>
      </w:r>
      <w:proofErr w:type="spellEnd"/>
      <w:r w:rsidRPr="000C4CD0">
        <w:t xml:space="preserve"> </w:t>
      </w:r>
      <w:proofErr w:type="spellStart"/>
      <w:r w:rsidRPr="000C4CD0">
        <w:t>entraîner</w:t>
      </w:r>
      <w:proofErr w:type="spellEnd"/>
      <w:r w:rsidRPr="000C4CD0">
        <w:t xml:space="preserve"> </w:t>
      </w:r>
      <w:proofErr w:type="spellStart"/>
      <w:r w:rsidRPr="000C4CD0">
        <w:t>une</w:t>
      </w:r>
      <w:proofErr w:type="spellEnd"/>
      <w:r w:rsidRPr="000C4CD0">
        <w:t xml:space="preserve"> </w:t>
      </w:r>
      <w:proofErr w:type="spellStart"/>
      <w:r w:rsidRPr="000C4CD0">
        <w:t>telle</w:t>
      </w:r>
      <w:proofErr w:type="spellEnd"/>
      <w:r w:rsidRPr="000C4CD0">
        <w:t xml:space="preserve"> charge </w:t>
      </w:r>
      <w:proofErr w:type="spellStart"/>
      <w:r w:rsidRPr="000C4CD0">
        <w:t>électrostatique</w:t>
      </w:r>
      <w:proofErr w:type="spellEnd"/>
      <w:r w:rsidRPr="000C4CD0">
        <w:t xml:space="preserve"> et </w:t>
      </w:r>
      <w:proofErr w:type="spellStart"/>
      <w:r w:rsidRPr="000C4CD0">
        <w:t>doit</w:t>
      </w:r>
      <w:proofErr w:type="spellEnd"/>
      <w:r w:rsidRPr="000C4CD0">
        <w:t xml:space="preserve"> par </w:t>
      </w:r>
      <w:proofErr w:type="spellStart"/>
      <w:r w:rsidRPr="000C4CD0">
        <w:t>conséquent</w:t>
      </w:r>
      <w:proofErr w:type="spellEnd"/>
      <w:r w:rsidRPr="000C4CD0">
        <w:t xml:space="preserve"> </w:t>
      </w:r>
      <w:proofErr w:type="spellStart"/>
      <w:r w:rsidRPr="000C4CD0">
        <w:t>être</w:t>
      </w:r>
      <w:proofErr w:type="spellEnd"/>
      <w:r w:rsidRPr="000C4CD0">
        <w:t xml:space="preserve"> </w:t>
      </w:r>
      <w:proofErr w:type="spellStart"/>
      <w:r w:rsidRPr="000C4CD0">
        <w:t>interdit</w:t>
      </w:r>
      <w:proofErr w:type="spellEnd"/>
      <w:r w:rsidRPr="000C4CD0">
        <w:t xml:space="preserve"> </w:t>
      </w:r>
      <w:proofErr w:type="spellStart"/>
      <w:r w:rsidRPr="000C4CD0">
        <w:t>dans</w:t>
      </w:r>
      <w:proofErr w:type="spellEnd"/>
      <w:r w:rsidRPr="000C4CD0">
        <w:t xml:space="preserve"> la zone 1.</w:t>
      </w:r>
    </w:p>
    <w:p w:rsidR="00FF3208" w:rsidRPr="000C4CD0" w:rsidRDefault="00FF3208" w:rsidP="00D352B4">
      <w:pPr>
        <w:pStyle w:val="SingleTxtG"/>
        <w:tabs>
          <w:tab w:val="left" w:pos="1701"/>
        </w:tabs>
      </w:pPr>
      <w:r w:rsidRPr="000C4CD0">
        <w:t>13.</w:t>
      </w:r>
      <w:r w:rsidRPr="000C4CD0">
        <w:tab/>
      </w:r>
      <w:proofErr w:type="spellStart"/>
      <w:r w:rsidR="00297787" w:rsidRPr="000C4CD0">
        <w:t>Dans</w:t>
      </w:r>
      <w:proofErr w:type="spellEnd"/>
      <w:r w:rsidR="00297787" w:rsidRPr="000C4CD0">
        <w:t xml:space="preserve"> la modification </w:t>
      </w:r>
      <w:r w:rsidR="000C4CD0">
        <w:t>de</w:t>
      </w:r>
      <w:r w:rsidR="00297787" w:rsidRPr="000C4CD0">
        <w:t xml:space="preserve"> la section 8.3.5 </w:t>
      </w:r>
      <w:proofErr w:type="spellStart"/>
      <w:r w:rsidR="00297787" w:rsidRPr="000C4CD0">
        <w:t>remplacer</w:t>
      </w:r>
      <w:proofErr w:type="spellEnd"/>
      <w:r w:rsidR="00297787" w:rsidRPr="000C4CD0">
        <w:t xml:space="preserve"> le </w:t>
      </w:r>
      <w:proofErr w:type="spellStart"/>
      <w:r w:rsidR="00297787" w:rsidRPr="000C4CD0">
        <w:t>troisième</w:t>
      </w:r>
      <w:proofErr w:type="spellEnd"/>
      <w:r w:rsidR="00297787" w:rsidRPr="000C4CD0">
        <w:t xml:space="preserve"> </w:t>
      </w:r>
      <w:proofErr w:type="spellStart"/>
      <w:r w:rsidR="00297787" w:rsidRPr="000C4CD0">
        <w:t>tiret</w:t>
      </w:r>
      <w:proofErr w:type="spellEnd"/>
      <w:r w:rsidR="00297787" w:rsidRPr="000C4CD0">
        <w:t xml:space="preserve"> </w:t>
      </w:r>
      <w:proofErr w:type="gramStart"/>
      <w:r w:rsidR="00297787" w:rsidRPr="000C4CD0">
        <w:t>par :</w:t>
      </w:r>
      <w:proofErr w:type="gramEnd"/>
    </w:p>
    <w:p w:rsidR="00FD4DF7" w:rsidRPr="000C4CD0" w:rsidRDefault="00FD4DF7" w:rsidP="00D352B4">
      <w:pPr>
        <w:pStyle w:val="SingleTxtG"/>
        <w:ind w:left="1701"/>
      </w:pPr>
      <w:r w:rsidRPr="000C4CD0">
        <w:t xml:space="preserve">« - </w:t>
      </w:r>
      <w:proofErr w:type="spellStart"/>
      <w:r w:rsidRPr="000C4CD0">
        <w:t>lorsque</w:t>
      </w:r>
      <w:proofErr w:type="spellEnd"/>
      <w:r w:rsidRPr="000C4CD0">
        <w:t xml:space="preserve"> le bateau ne </w:t>
      </w:r>
      <w:proofErr w:type="spellStart"/>
      <w:r w:rsidRPr="000C4CD0">
        <w:t>séjourne</w:t>
      </w:r>
      <w:proofErr w:type="spellEnd"/>
      <w:r w:rsidRPr="000C4CD0">
        <w:t xml:space="preserve"> pas à </w:t>
      </w:r>
      <w:proofErr w:type="spellStart"/>
      <w:r w:rsidRPr="000C4CD0">
        <w:t>proximité</w:t>
      </w:r>
      <w:proofErr w:type="spellEnd"/>
      <w:r w:rsidRPr="000C4CD0">
        <w:t xml:space="preserve"> </w:t>
      </w:r>
      <w:proofErr w:type="spellStart"/>
      <w:r w:rsidRPr="000C4CD0">
        <w:t>ou</w:t>
      </w:r>
      <w:proofErr w:type="spellEnd"/>
      <w:r w:rsidRPr="000C4CD0">
        <w:t xml:space="preserve"> à </w:t>
      </w:r>
      <w:proofErr w:type="spellStart"/>
      <w:r w:rsidRPr="000C4CD0">
        <w:t>l’intérieur</w:t>
      </w:r>
      <w:proofErr w:type="spellEnd"/>
      <w:r w:rsidRPr="000C4CD0">
        <w:t xml:space="preserve"> </w:t>
      </w:r>
      <w:proofErr w:type="spellStart"/>
      <w:r w:rsidRPr="000C4CD0">
        <w:t>d’une</w:t>
      </w:r>
      <w:proofErr w:type="spellEnd"/>
      <w:r w:rsidRPr="000C4CD0">
        <w:t xml:space="preserve"> zone </w:t>
      </w:r>
      <w:proofErr w:type="spellStart"/>
      <w:r w:rsidRPr="000C4CD0">
        <w:t>assignée</w:t>
      </w:r>
      <w:proofErr w:type="spellEnd"/>
      <w:r w:rsidRPr="000C4CD0">
        <w:t xml:space="preserve"> à </w:t>
      </w:r>
      <w:proofErr w:type="spellStart"/>
      <w:r w:rsidRPr="000C4CD0">
        <w:t>terre</w:t>
      </w:r>
      <w:proofErr w:type="spellEnd"/>
      <w:r w:rsidRPr="000C4CD0">
        <w:t xml:space="preserve"> et que, </w:t>
      </w:r>
      <w:proofErr w:type="spellStart"/>
      <w:r w:rsidRPr="000C4CD0">
        <w:t>dans</w:t>
      </w:r>
      <w:proofErr w:type="spellEnd"/>
      <w:r w:rsidRPr="000C4CD0">
        <w:t xml:space="preserve"> le </w:t>
      </w:r>
      <w:proofErr w:type="spellStart"/>
      <w:r w:rsidRPr="000C4CD0">
        <w:t>cas</w:t>
      </w:r>
      <w:proofErr w:type="spellEnd"/>
      <w:r w:rsidRPr="000C4CD0">
        <w:t xml:space="preserve"> d’un bateau-</w:t>
      </w:r>
      <w:proofErr w:type="spellStart"/>
      <w:r w:rsidRPr="000C4CD0">
        <w:t>citerne</w:t>
      </w:r>
      <w:proofErr w:type="spellEnd"/>
      <w:r w:rsidRPr="000C4CD0">
        <w:t xml:space="preserve">, </w:t>
      </w:r>
      <w:proofErr w:type="spellStart"/>
      <w:r w:rsidRPr="000C4CD0">
        <w:t>celui</w:t>
      </w:r>
      <w:proofErr w:type="spellEnd"/>
      <w:r w:rsidRPr="000C4CD0">
        <w:t xml:space="preserve">-ci </w:t>
      </w:r>
      <w:proofErr w:type="spellStart"/>
      <w:r w:rsidRPr="000C4CD0">
        <w:t>est</w:t>
      </w:r>
      <w:proofErr w:type="spellEnd"/>
      <w:r w:rsidRPr="000C4CD0">
        <w:t xml:space="preserve"> muni </w:t>
      </w:r>
      <w:proofErr w:type="spellStart"/>
      <w:r w:rsidRPr="000C4CD0">
        <w:t>d’une</w:t>
      </w:r>
      <w:proofErr w:type="spellEnd"/>
      <w:r w:rsidRPr="000C4CD0">
        <w:t xml:space="preserve"> attestation </w:t>
      </w:r>
      <w:proofErr w:type="spellStart"/>
      <w:r w:rsidRPr="000C4CD0">
        <w:t>confirmant</w:t>
      </w:r>
      <w:proofErr w:type="spellEnd"/>
      <w:r w:rsidRPr="000C4CD0">
        <w:t xml:space="preserve"> le </w:t>
      </w:r>
      <w:proofErr w:type="spellStart"/>
      <w:r w:rsidRPr="000C4CD0">
        <w:t>dégazage</w:t>
      </w:r>
      <w:proofErr w:type="spellEnd"/>
      <w:r w:rsidRPr="000C4CD0">
        <w:t xml:space="preserve"> total du bateau </w:t>
      </w:r>
      <w:proofErr w:type="spellStart"/>
      <w:r w:rsidRPr="000C4CD0">
        <w:t>conformément</w:t>
      </w:r>
      <w:proofErr w:type="spellEnd"/>
      <w:r w:rsidRPr="000C4CD0">
        <w:t xml:space="preserve"> au 7.2.3.7.6 </w:t>
      </w:r>
      <w:proofErr w:type="spellStart"/>
      <w:r w:rsidRPr="000C4CD0">
        <w:t>ou</w:t>
      </w:r>
      <w:proofErr w:type="spellEnd"/>
      <w:r w:rsidRPr="000C4CD0">
        <w:t xml:space="preserve"> </w:t>
      </w:r>
      <w:proofErr w:type="spellStart"/>
      <w:r w:rsidRPr="000C4CD0">
        <w:t>d’une</w:t>
      </w:r>
      <w:proofErr w:type="spellEnd"/>
      <w:r w:rsidRPr="000C4CD0">
        <w:t xml:space="preserve"> </w:t>
      </w:r>
      <w:proofErr w:type="spellStart"/>
      <w:r w:rsidRPr="000C4CD0">
        <w:t>autorisation</w:t>
      </w:r>
      <w:proofErr w:type="spellEnd"/>
      <w:r w:rsidRPr="000C4CD0">
        <w:t xml:space="preserve"> de </w:t>
      </w:r>
      <w:proofErr w:type="spellStart"/>
      <w:r w:rsidRPr="000C4CD0">
        <w:t>l’autorité</w:t>
      </w:r>
      <w:proofErr w:type="spellEnd"/>
      <w:r w:rsidRPr="000C4CD0">
        <w:t xml:space="preserve"> </w:t>
      </w:r>
      <w:proofErr w:type="spellStart"/>
      <w:r w:rsidRPr="000C4CD0">
        <w:t>compétente</w:t>
      </w:r>
      <w:proofErr w:type="spellEnd"/>
      <w:r w:rsidRPr="000C4CD0">
        <w:t xml:space="preserve"> </w:t>
      </w:r>
      <w:proofErr w:type="spellStart"/>
      <w:r w:rsidRPr="000C4CD0">
        <w:t>ou</w:t>
      </w:r>
      <w:proofErr w:type="spellEnd"/>
      <w:r w:rsidRPr="000C4CD0">
        <w:t xml:space="preserve">, </w:t>
      </w:r>
      <w:proofErr w:type="spellStart"/>
      <w:r w:rsidRPr="000C4CD0">
        <w:t>dans</w:t>
      </w:r>
      <w:proofErr w:type="spellEnd"/>
      <w:r w:rsidRPr="000C4CD0">
        <w:t xml:space="preserve"> le </w:t>
      </w:r>
      <w:proofErr w:type="spellStart"/>
      <w:r w:rsidRPr="000C4CD0">
        <w:t>cas</w:t>
      </w:r>
      <w:proofErr w:type="spellEnd"/>
      <w:r w:rsidRPr="000C4CD0">
        <w:t xml:space="preserve"> d’un bateau à </w:t>
      </w:r>
      <w:proofErr w:type="spellStart"/>
      <w:r w:rsidRPr="000C4CD0">
        <w:t>marchandises</w:t>
      </w:r>
      <w:proofErr w:type="spellEnd"/>
      <w:r w:rsidRPr="000C4CD0">
        <w:t xml:space="preserve"> </w:t>
      </w:r>
      <w:proofErr w:type="spellStart"/>
      <w:r w:rsidRPr="000C4CD0">
        <w:t>sèches</w:t>
      </w:r>
      <w:proofErr w:type="spellEnd"/>
      <w:r w:rsidRPr="000C4CD0">
        <w:t xml:space="preserve">, </w:t>
      </w:r>
      <w:proofErr w:type="spellStart"/>
      <w:r w:rsidRPr="000C4CD0">
        <w:t>celui</w:t>
      </w:r>
      <w:proofErr w:type="spellEnd"/>
      <w:r w:rsidRPr="000C4CD0">
        <w:t xml:space="preserve">-ci </w:t>
      </w:r>
      <w:proofErr w:type="spellStart"/>
      <w:r w:rsidRPr="000C4CD0">
        <w:t>est</w:t>
      </w:r>
      <w:proofErr w:type="spellEnd"/>
      <w:r w:rsidRPr="000C4CD0">
        <w:t xml:space="preserve"> muni </w:t>
      </w:r>
      <w:proofErr w:type="spellStart"/>
      <w:r w:rsidRPr="000C4CD0">
        <w:t>d’une</w:t>
      </w:r>
      <w:proofErr w:type="spellEnd"/>
      <w:r w:rsidRPr="000C4CD0">
        <w:t xml:space="preserve"> attestation </w:t>
      </w:r>
      <w:proofErr w:type="spellStart"/>
      <w:r w:rsidRPr="000C4CD0">
        <w:t>confirmant</w:t>
      </w:r>
      <w:proofErr w:type="spellEnd"/>
      <w:r w:rsidRPr="000C4CD0">
        <w:t xml:space="preserve"> le </w:t>
      </w:r>
      <w:proofErr w:type="spellStart"/>
      <w:r w:rsidRPr="000C4CD0">
        <w:t>dégazage</w:t>
      </w:r>
      <w:proofErr w:type="spellEnd"/>
      <w:r w:rsidRPr="000C4CD0">
        <w:t xml:space="preserve"> total de la zone protégée </w:t>
      </w:r>
      <w:proofErr w:type="spellStart"/>
      <w:r w:rsidRPr="000C4CD0">
        <w:t>ou</w:t>
      </w:r>
      <w:proofErr w:type="spellEnd"/>
      <w:r w:rsidRPr="000C4CD0">
        <w:t xml:space="preserve"> </w:t>
      </w:r>
      <w:proofErr w:type="spellStart"/>
      <w:r w:rsidRPr="000C4CD0">
        <w:t>d’une</w:t>
      </w:r>
      <w:proofErr w:type="spellEnd"/>
      <w:r w:rsidRPr="000C4CD0">
        <w:t xml:space="preserve"> </w:t>
      </w:r>
      <w:proofErr w:type="spellStart"/>
      <w:r w:rsidRPr="000C4CD0">
        <w:t>autorisation</w:t>
      </w:r>
      <w:proofErr w:type="spellEnd"/>
      <w:r w:rsidRPr="000C4CD0">
        <w:t xml:space="preserve"> de </w:t>
      </w:r>
      <w:proofErr w:type="spellStart"/>
      <w:r w:rsidRPr="000C4CD0">
        <w:t>l’autorité</w:t>
      </w:r>
      <w:proofErr w:type="spellEnd"/>
      <w:r w:rsidRPr="000C4CD0">
        <w:t xml:space="preserve"> </w:t>
      </w:r>
      <w:proofErr w:type="spellStart"/>
      <w:r w:rsidRPr="000C4CD0">
        <w:t>compétente</w:t>
      </w:r>
      <w:proofErr w:type="spellEnd"/>
      <w:r w:rsidRPr="000C4CD0">
        <w:t>. ».</w:t>
      </w:r>
    </w:p>
    <w:p w:rsidR="00FF3208" w:rsidRPr="000C4CD0" w:rsidRDefault="0014242A" w:rsidP="00A74215">
      <w:pPr>
        <w:pStyle w:val="SingleTxtG"/>
        <w:rPr>
          <w:u w:val="single"/>
        </w:rPr>
      </w:pPr>
      <w:proofErr w:type="gramStart"/>
      <w:r w:rsidRPr="000C4CD0">
        <w:rPr>
          <w:u w:val="single"/>
        </w:rPr>
        <w:t xml:space="preserve">Motif </w:t>
      </w:r>
      <w:r w:rsidR="00FF3208" w:rsidRPr="000C4CD0">
        <w:rPr>
          <w:u w:val="single"/>
        </w:rPr>
        <w:t>:</w:t>
      </w:r>
      <w:proofErr w:type="gramEnd"/>
    </w:p>
    <w:p w:rsidR="00FF3208" w:rsidRPr="000C4CD0" w:rsidRDefault="00FF3208" w:rsidP="00A74215">
      <w:pPr>
        <w:pStyle w:val="SingleTxtG"/>
      </w:pPr>
      <w:r w:rsidRPr="000C4CD0">
        <w:t xml:space="preserve">La </w:t>
      </w:r>
      <w:proofErr w:type="spellStart"/>
      <w:r w:rsidRPr="000C4CD0">
        <w:t>possibilité</w:t>
      </w:r>
      <w:proofErr w:type="spellEnd"/>
      <w:r w:rsidRPr="000C4CD0">
        <w:t xml:space="preserve"> </w:t>
      </w:r>
      <w:proofErr w:type="spellStart"/>
      <w:r w:rsidRPr="000C4CD0">
        <w:t>prévue</w:t>
      </w:r>
      <w:proofErr w:type="spellEnd"/>
      <w:r w:rsidRPr="000C4CD0">
        <w:t xml:space="preserve"> </w:t>
      </w:r>
      <w:proofErr w:type="spellStart"/>
      <w:r w:rsidRPr="000C4CD0">
        <w:t>jusqu</w:t>
      </w:r>
      <w:proofErr w:type="spellEnd"/>
      <w:r w:rsidRPr="000C4CD0">
        <w:t xml:space="preserve">' à </w:t>
      </w:r>
      <w:proofErr w:type="spellStart"/>
      <w:r w:rsidRPr="000C4CD0">
        <w:t>l'ADN</w:t>
      </w:r>
      <w:proofErr w:type="spellEnd"/>
      <w:r w:rsidRPr="000C4CD0">
        <w:t xml:space="preserve"> 2017 de </w:t>
      </w:r>
      <w:proofErr w:type="spellStart"/>
      <w:r w:rsidRPr="000C4CD0">
        <w:t>remplacer</w:t>
      </w:r>
      <w:proofErr w:type="spellEnd"/>
      <w:r w:rsidRPr="000C4CD0">
        <w:t xml:space="preserve"> </w:t>
      </w:r>
      <w:proofErr w:type="spellStart"/>
      <w:r w:rsidRPr="000C4CD0">
        <w:t>l'attestation</w:t>
      </w:r>
      <w:proofErr w:type="spellEnd"/>
      <w:r w:rsidRPr="000C4CD0">
        <w:t xml:space="preserve"> </w:t>
      </w:r>
      <w:proofErr w:type="spellStart"/>
      <w:r w:rsidRPr="000C4CD0">
        <w:t>confirmant</w:t>
      </w:r>
      <w:proofErr w:type="spellEnd"/>
      <w:r w:rsidRPr="000C4CD0">
        <w:t xml:space="preserve"> le </w:t>
      </w:r>
      <w:proofErr w:type="spellStart"/>
      <w:r w:rsidRPr="000C4CD0">
        <w:t>dégazage</w:t>
      </w:r>
      <w:proofErr w:type="spellEnd"/>
      <w:r w:rsidRPr="000C4CD0">
        <w:t xml:space="preserve"> total par </w:t>
      </w:r>
      <w:proofErr w:type="spellStart"/>
      <w:r w:rsidRPr="000C4CD0">
        <w:t>une</w:t>
      </w:r>
      <w:proofErr w:type="spellEnd"/>
      <w:r w:rsidRPr="000C4CD0">
        <w:t xml:space="preserve"> </w:t>
      </w:r>
      <w:proofErr w:type="spellStart"/>
      <w:r w:rsidRPr="000C4CD0">
        <w:t>autorisation</w:t>
      </w:r>
      <w:proofErr w:type="spellEnd"/>
      <w:r w:rsidRPr="000C4CD0">
        <w:t xml:space="preserve"> administrative </w:t>
      </w:r>
      <w:proofErr w:type="spellStart"/>
      <w:r w:rsidRPr="000C4CD0">
        <w:t>doit</w:t>
      </w:r>
      <w:proofErr w:type="spellEnd"/>
      <w:r w:rsidRPr="000C4CD0">
        <w:t xml:space="preserve"> </w:t>
      </w:r>
      <w:proofErr w:type="spellStart"/>
      <w:r w:rsidRPr="000C4CD0">
        <w:t>également</w:t>
      </w:r>
      <w:proofErr w:type="spellEnd"/>
      <w:r w:rsidRPr="000C4CD0">
        <w:t xml:space="preserve"> </w:t>
      </w:r>
      <w:proofErr w:type="spellStart"/>
      <w:r w:rsidRPr="000C4CD0">
        <w:t>être</w:t>
      </w:r>
      <w:proofErr w:type="spellEnd"/>
      <w:r w:rsidRPr="000C4CD0">
        <w:t xml:space="preserve"> </w:t>
      </w:r>
      <w:proofErr w:type="spellStart"/>
      <w:r w:rsidRPr="000C4CD0">
        <w:t>maintenue</w:t>
      </w:r>
      <w:proofErr w:type="spellEnd"/>
      <w:r w:rsidRPr="000C4CD0">
        <w:t xml:space="preserve"> pour les bateaux-</w:t>
      </w:r>
      <w:proofErr w:type="spellStart"/>
      <w:r w:rsidRPr="000C4CD0">
        <w:t>citernes</w:t>
      </w:r>
      <w:proofErr w:type="spellEnd"/>
      <w:r w:rsidRPr="000C4CD0">
        <w:t>.</w:t>
      </w:r>
    </w:p>
    <w:p w:rsidR="00FF3208" w:rsidRPr="000C4CD0" w:rsidRDefault="00FF3208" w:rsidP="00D352B4">
      <w:pPr>
        <w:pStyle w:val="SingleTxtG"/>
        <w:tabs>
          <w:tab w:val="left" w:pos="1701"/>
        </w:tabs>
      </w:pPr>
      <w:r w:rsidRPr="000C4CD0">
        <w:t xml:space="preserve">14. </w:t>
      </w:r>
      <w:r w:rsidRPr="000C4CD0">
        <w:tab/>
      </w:r>
      <w:proofErr w:type="spellStart"/>
      <w:r w:rsidR="00297787" w:rsidRPr="000C4CD0">
        <w:t>Dans</w:t>
      </w:r>
      <w:proofErr w:type="spellEnd"/>
      <w:r w:rsidR="00297787" w:rsidRPr="000C4CD0">
        <w:t xml:space="preserve"> la proposition de modification </w:t>
      </w:r>
      <w:r w:rsidR="000C4CD0">
        <w:t>de</w:t>
      </w:r>
      <w:r w:rsidR="00297787" w:rsidRPr="000C4CD0">
        <w:t xml:space="preserve"> </w:t>
      </w:r>
      <w:r w:rsidRPr="000C4CD0">
        <w:t xml:space="preserve">9.1.0.52.1 </w:t>
      </w:r>
      <w:proofErr w:type="spellStart"/>
      <w:r w:rsidR="00297787" w:rsidRPr="000C4CD0">
        <w:t>remplacer</w:t>
      </w:r>
      <w:proofErr w:type="spellEnd"/>
      <w:r w:rsidR="00297787" w:rsidRPr="000C4CD0">
        <w:t xml:space="preserve"> </w:t>
      </w:r>
      <w:proofErr w:type="spellStart"/>
      <w:r w:rsidR="00297787" w:rsidRPr="000C4CD0">
        <w:t>l’alinéa</w:t>
      </w:r>
      <w:proofErr w:type="spellEnd"/>
      <w:r w:rsidR="00297787" w:rsidRPr="000C4CD0">
        <w:t xml:space="preserve"> </w:t>
      </w:r>
      <w:r w:rsidRPr="000C4CD0">
        <w:t xml:space="preserve">b) </w:t>
      </w:r>
      <w:proofErr w:type="gramStart"/>
      <w:r w:rsidR="00297787" w:rsidRPr="000C4CD0">
        <w:t xml:space="preserve">par </w:t>
      </w:r>
      <w:r w:rsidRPr="000C4CD0">
        <w:t>:</w:t>
      </w:r>
      <w:proofErr w:type="gramEnd"/>
    </w:p>
    <w:p w:rsidR="00FF3208" w:rsidRPr="000C4CD0" w:rsidRDefault="00FF3208" w:rsidP="00D352B4">
      <w:pPr>
        <w:pStyle w:val="SingleTxtG"/>
        <w:tabs>
          <w:tab w:val="left" w:pos="2268"/>
        </w:tabs>
        <w:ind w:left="1701"/>
        <w:rPr>
          <w:rFonts w:eastAsia="Calibri"/>
        </w:rPr>
      </w:pPr>
      <w:r w:rsidRPr="000C4CD0">
        <w:rPr>
          <w:rFonts w:eastAsia="Calibri"/>
        </w:rPr>
        <w:t>« b)</w:t>
      </w:r>
      <w:r w:rsidRPr="000C4CD0">
        <w:rPr>
          <w:rFonts w:eastAsia="Calibri"/>
        </w:rPr>
        <w:tab/>
        <w:t xml:space="preserve">aux installations </w:t>
      </w:r>
      <w:proofErr w:type="spellStart"/>
      <w:r w:rsidRPr="000C4CD0">
        <w:rPr>
          <w:rFonts w:eastAsia="Calibri"/>
        </w:rPr>
        <w:t>téléphoniques</w:t>
      </w:r>
      <w:proofErr w:type="spellEnd"/>
      <w:r w:rsidRPr="000C4CD0">
        <w:rPr>
          <w:rFonts w:eastAsia="Calibri"/>
        </w:rPr>
        <w:t xml:space="preserve"> portables et fixes </w:t>
      </w:r>
      <w:proofErr w:type="spellStart"/>
      <w:r w:rsidRPr="000C4CD0">
        <w:rPr>
          <w:rFonts w:eastAsia="Calibri"/>
        </w:rPr>
        <w:t>ainsi</w:t>
      </w:r>
      <w:proofErr w:type="spellEnd"/>
      <w:r w:rsidRPr="000C4CD0">
        <w:rPr>
          <w:rFonts w:eastAsia="Calibri"/>
        </w:rPr>
        <w:t xml:space="preserve"> </w:t>
      </w:r>
      <w:proofErr w:type="spellStart"/>
      <w:r w:rsidRPr="000C4CD0">
        <w:rPr>
          <w:rFonts w:eastAsia="Calibri"/>
        </w:rPr>
        <w:t>qu'aux</w:t>
      </w:r>
      <w:proofErr w:type="spellEnd"/>
      <w:r w:rsidRPr="000C4CD0">
        <w:rPr>
          <w:rFonts w:eastAsia="Calibri"/>
        </w:rPr>
        <w:t xml:space="preserve"> </w:t>
      </w:r>
      <w:proofErr w:type="spellStart"/>
      <w:r w:rsidRPr="000C4CD0">
        <w:rPr>
          <w:rFonts w:eastAsia="Calibri"/>
        </w:rPr>
        <w:t>ordinateurs</w:t>
      </w:r>
      <w:proofErr w:type="spellEnd"/>
      <w:r w:rsidRPr="000C4CD0">
        <w:rPr>
          <w:rFonts w:eastAsia="Calibri"/>
        </w:rPr>
        <w:t xml:space="preserve"> </w:t>
      </w:r>
      <w:proofErr w:type="spellStart"/>
      <w:r w:rsidRPr="000C4CD0">
        <w:rPr>
          <w:rFonts w:eastAsia="Calibri"/>
        </w:rPr>
        <w:t>stationnaires</w:t>
      </w:r>
      <w:proofErr w:type="spellEnd"/>
      <w:r w:rsidRPr="000C4CD0">
        <w:rPr>
          <w:rFonts w:eastAsia="Calibri"/>
        </w:rPr>
        <w:t xml:space="preserve"> et </w:t>
      </w:r>
      <w:proofErr w:type="spellStart"/>
      <w:r w:rsidRPr="000C4CD0">
        <w:rPr>
          <w:rFonts w:eastAsia="Calibri"/>
        </w:rPr>
        <w:t>ordinateurs</w:t>
      </w:r>
      <w:proofErr w:type="spellEnd"/>
      <w:r w:rsidRPr="000C4CD0">
        <w:rPr>
          <w:rFonts w:eastAsia="Calibri"/>
        </w:rPr>
        <w:t xml:space="preserve"> portables </w:t>
      </w:r>
      <w:proofErr w:type="spellStart"/>
      <w:r w:rsidRPr="000C4CD0">
        <w:rPr>
          <w:rFonts w:eastAsia="Calibri"/>
        </w:rPr>
        <w:t>dans</w:t>
      </w:r>
      <w:proofErr w:type="spellEnd"/>
      <w:r w:rsidRPr="000C4CD0">
        <w:rPr>
          <w:rFonts w:eastAsia="Calibri"/>
        </w:rPr>
        <w:t xml:space="preserve"> les </w:t>
      </w:r>
      <w:proofErr w:type="spellStart"/>
      <w:r w:rsidRPr="000C4CD0">
        <w:rPr>
          <w:rFonts w:eastAsia="Calibri"/>
        </w:rPr>
        <w:t>logements</w:t>
      </w:r>
      <w:proofErr w:type="spellEnd"/>
      <w:r w:rsidRPr="000C4CD0">
        <w:rPr>
          <w:rFonts w:eastAsia="Calibri"/>
        </w:rPr>
        <w:t xml:space="preserve"> et </w:t>
      </w:r>
      <w:proofErr w:type="spellStart"/>
      <w:r w:rsidRPr="000C4CD0">
        <w:rPr>
          <w:rFonts w:eastAsia="Calibri"/>
        </w:rPr>
        <w:t>dans</w:t>
      </w:r>
      <w:proofErr w:type="spellEnd"/>
      <w:r w:rsidRPr="000C4CD0">
        <w:rPr>
          <w:rFonts w:eastAsia="Calibri"/>
        </w:rPr>
        <w:t xml:space="preserve"> la </w:t>
      </w:r>
      <w:proofErr w:type="spellStart"/>
      <w:proofErr w:type="gramStart"/>
      <w:r w:rsidRPr="000C4CD0">
        <w:rPr>
          <w:rFonts w:eastAsia="Calibri"/>
        </w:rPr>
        <w:t>timonerie</w:t>
      </w:r>
      <w:proofErr w:type="spellEnd"/>
      <w:r w:rsidRPr="000C4CD0">
        <w:rPr>
          <w:rFonts w:eastAsia="Calibri"/>
        </w:rPr>
        <w:t xml:space="preserve"> ;</w:t>
      </w:r>
      <w:proofErr w:type="gramEnd"/>
      <w:r w:rsidRPr="000C4CD0">
        <w:rPr>
          <w:rFonts w:eastAsia="Calibri"/>
        </w:rPr>
        <w:t> »</w:t>
      </w:r>
    </w:p>
    <w:p w:rsidR="0014242A" w:rsidRPr="000C4CD0" w:rsidRDefault="0014242A" w:rsidP="00A74215">
      <w:pPr>
        <w:pStyle w:val="SingleTxtG"/>
        <w:rPr>
          <w:u w:val="single"/>
        </w:rPr>
      </w:pPr>
      <w:proofErr w:type="gramStart"/>
      <w:r w:rsidRPr="000C4CD0">
        <w:rPr>
          <w:u w:val="single"/>
        </w:rPr>
        <w:t>Motif :</w:t>
      </w:r>
      <w:proofErr w:type="gramEnd"/>
    </w:p>
    <w:p w:rsidR="00FF3208" w:rsidRPr="000C4CD0" w:rsidRDefault="00FF3208" w:rsidP="00A74215">
      <w:pPr>
        <w:pStyle w:val="SingleTxtG"/>
        <w:rPr>
          <w:rFonts w:eastAsia="Calibri"/>
        </w:rPr>
      </w:pPr>
      <w:r w:rsidRPr="000C4CD0">
        <w:t xml:space="preserve">Les </w:t>
      </w:r>
      <w:proofErr w:type="spellStart"/>
      <w:r w:rsidRPr="000C4CD0">
        <w:t>appareils</w:t>
      </w:r>
      <w:proofErr w:type="spellEnd"/>
      <w:r w:rsidRPr="000C4CD0">
        <w:t xml:space="preserve"> </w:t>
      </w:r>
      <w:proofErr w:type="spellStart"/>
      <w:r w:rsidRPr="000C4CD0">
        <w:t>susmentionnés</w:t>
      </w:r>
      <w:proofErr w:type="spellEnd"/>
      <w:r w:rsidRPr="000C4CD0">
        <w:t xml:space="preserve"> </w:t>
      </w:r>
      <w:proofErr w:type="spellStart"/>
      <w:r w:rsidRPr="000C4CD0">
        <w:t>sont</w:t>
      </w:r>
      <w:proofErr w:type="spellEnd"/>
      <w:r w:rsidRPr="000C4CD0">
        <w:t xml:space="preserve"> </w:t>
      </w:r>
      <w:proofErr w:type="spellStart"/>
      <w:r w:rsidRPr="000C4CD0">
        <w:t>soit</w:t>
      </w:r>
      <w:proofErr w:type="spellEnd"/>
      <w:r w:rsidRPr="000C4CD0">
        <w:t xml:space="preserve"> </w:t>
      </w:r>
      <w:proofErr w:type="spellStart"/>
      <w:r w:rsidRPr="000C4CD0">
        <w:t>utilisés</w:t>
      </w:r>
      <w:proofErr w:type="spellEnd"/>
      <w:r w:rsidRPr="000C4CD0">
        <w:t xml:space="preserve"> </w:t>
      </w:r>
      <w:proofErr w:type="spellStart"/>
      <w:r w:rsidRPr="000C4CD0">
        <w:t>dans</w:t>
      </w:r>
      <w:proofErr w:type="spellEnd"/>
      <w:r w:rsidRPr="000C4CD0">
        <w:t xml:space="preserve"> la </w:t>
      </w:r>
      <w:proofErr w:type="spellStart"/>
      <w:r w:rsidRPr="000C4CD0">
        <w:t>timonerie</w:t>
      </w:r>
      <w:proofErr w:type="spellEnd"/>
      <w:r w:rsidRPr="000C4CD0">
        <w:t xml:space="preserve"> </w:t>
      </w:r>
      <w:proofErr w:type="spellStart"/>
      <w:r w:rsidRPr="000C4CD0">
        <w:t>comme</w:t>
      </w:r>
      <w:proofErr w:type="spellEnd"/>
      <w:r w:rsidRPr="000C4CD0">
        <w:t xml:space="preserve"> </w:t>
      </w:r>
      <w:proofErr w:type="spellStart"/>
      <w:r w:rsidRPr="000C4CD0">
        <w:t>ordinateurs</w:t>
      </w:r>
      <w:proofErr w:type="spellEnd"/>
      <w:r w:rsidRPr="000C4CD0">
        <w:t xml:space="preserve"> de </w:t>
      </w:r>
      <w:proofErr w:type="spellStart"/>
      <w:r w:rsidRPr="000C4CD0">
        <w:t>bord</w:t>
      </w:r>
      <w:proofErr w:type="spellEnd"/>
      <w:r w:rsidRPr="000C4CD0">
        <w:t xml:space="preserve">, par </w:t>
      </w:r>
      <w:proofErr w:type="spellStart"/>
      <w:r w:rsidRPr="000C4CD0">
        <w:t>exemple</w:t>
      </w:r>
      <w:proofErr w:type="spellEnd"/>
      <w:r w:rsidRPr="000C4CD0">
        <w:t xml:space="preserve"> </w:t>
      </w:r>
      <w:proofErr w:type="spellStart"/>
      <w:r w:rsidRPr="000C4CD0">
        <w:t>dans</w:t>
      </w:r>
      <w:proofErr w:type="spellEnd"/>
      <w:r w:rsidRPr="000C4CD0">
        <w:t xml:space="preserve"> le </w:t>
      </w:r>
      <w:proofErr w:type="spellStart"/>
      <w:r w:rsidRPr="000C4CD0">
        <w:t>système</w:t>
      </w:r>
      <w:proofErr w:type="spellEnd"/>
      <w:r w:rsidRPr="000C4CD0">
        <w:t xml:space="preserve"> de </w:t>
      </w:r>
      <w:proofErr w:type="spellStart"/>
      <w:r w:rsidRPr="000C4CD0">
        <w:t>calcul</w:t>
      </w:r>
      <w:proofErr w:type="spellEnd"/>
      <w:r w:rsidRPr="000C4CD0">
        <w:t xml:space="preserve"> pour la </w:t>
      </w:r>
      <w:proofErr w:type="spellStart"/>
      <w:r w:rsidRPr="000C4CD0">
        <w:t>cargaison</w:t>
      </w:r>
      <w:proofErr w:type="spellEnd"/>
      <w:r w:rsidRPr="000C4CD0">
        <w:t xml:space="preserve">, </w:t>
      </w:r>
      <w:proofErr w:type="spellStart"/>
      <w:r w:rsidRPr="000C4CD0">
        <w:t>soit</w:t>
      </w:r>
      <w:proofErr w:type="spellEnd"/>
      <w:r w:rsidRPr="000C4CD0">
        <w:t xml:space="preserve"> </w:t>
      </w:r>
      <w:proofErr w:type="spellStart"/>
      <w:r w:rsidRPr="000C4CD0">
        <w:t>utilisés</w:t>
      </w:r>
      <w:proofErr w:type="spellEnd"/>
      <w:r w:rsidRPr="000C4CD0">
        <w:t xml:space="preserve"> par </w:t>
      </w:r>
      <w:proofErr w:type="spellStart"/>
      <w:r w:rsidRPr="000C4CD0">
        <w:t>l'équipage</w:t>
      </w:r>
      <w:proofErr w:type="spellEnd"/>
      <w:r w:rsidRPr="000C4CD0">
        <w:t xml:space="preserve"> du bateau à des fins </w:t>
      </w:r>
      <w:proofErr w:type="spellStart"/>
      <w:r w:rsidRPr="000C4CD0">
        <w:t>opérationnelles</w:t>
      </w:r>
      <w:proofErr w:type="spellEnd"/>
      <w:r w:rsidRPr="000C4CD0">
        <w:t xml:space="preserve"> </w:t>
      </w:r>
      <w:proofErr w:type="spellStart"/>
      <w:r w:rsidRPr="000C4CD0">
        <w:t>ou</w:t>
      </w:r>
      <w:proofErr w:type="spellEnd"/>
      <w:r w:rsidRPr="000C4CD0">
        <w:t xml:space="preserve"> </w:t>
      </w:r>
      <w:proofErr w:type="spellStart"/>
      <w:r w:rsidRPr="000C4CD0">
        <w:t>personnelles</w:t>
      </w:r>
      <w:proofErr w:type="spellEnd"/>
      <w:r w:rsidRPr="000C4CD0">
        <w:t xml:space="preserve"> de la </w:t>
      </w:r>
      <w:proofErr w:type="spellStart"/>
      <w:r w:rsidRPr="000C4CD0">
        <w:t>même</w:t>
      </w:r>
      <w:proofErr w:type="spellEnd"/>
      <w:r w:rsidRPr="000C4CD0">
        <w:t xml:space="preserve"> </w:t>
      </w:r>
      <w:proofErr w:type="spellStart"/>
      <w:r w:rsidRPr="000C4CD0">
        <w:t>manière</w:t>
      </w:r>
      <w:proofErr w:type="spellEnd"/>
      <w:r w:rsidRPr="000C4CD0">
        <w:t xml:space="preserve"> que des </w:t>
      </w:r>
      <w:proofErr w:type="spellStart"/>
      <w:r w:rsidRPr="000C4CD0">
        <w:t>téléphones</w:t>
      </w:r>
      <w:proofErr w:type="spellEnd"/>
      <w:r w:rsidRPr="000C4CD0">
        <w:t xml:space="preserve"> portables. Pour </w:t>
      </w:r>
      <w:proofErr w:type="spellStart"/>
      <w:r w:rsidRPr="000C4CD0">
        <w:t>ces</w:t>
      </w:r>
      <w:proofErr w:type="spellEnd"/>
      <w:r w:rsidRPr="000C4CD0">
        <w:t xml:space="preserve"> </w:t>
      </w:r>
      <w:proofErr w:type="spellStart"/>
      <w:r w:rsidRPr="000C4CD0">
        <w:t>appareils</w:t>
      </w:r>
      <w:proofErr w:type="spellEnd"/>
      <w:r w:rsidRPr="000C4CD0">
        <w:t xml:space="preserve"> </w:t>
      </w:r>
      <w:proofErr w:type="spellStart"/>
      <w:r w:rsidRPr="000C4CD0">
        <w:t>également</w:t>
      </w:r>
      <w:proofErr w:type="spellEnd"/>
      <w:r w:rsidRPr="000C4CD0">
        <w:t xml:space="preserve">, </w:t>
      </w:r>
      <w:proofErr w:type="spellStart"/>
      <w:r w:rsidRPr="000C4CD0">
        <w:t>l'exigence</w:t>
      </w:r>
      <w:proofErr w:type="spellEnd"/>
      <w:r w:rsidRPr="000C4CD0">
        <w:t xml:space="preserve"> </w:t>
      </w:r>
      <w:proofErr w:type="spellStart"/>
      <w:r w:rsidRPr="000C4CD0">
        <w:t>su</w:t>
      </w:r>
      <w:proofErr w:type="spellEnd"/>
      <w:r w:rsidRPr="000C4CD0">
        <w:t xml:space="preserve"> type « à </w:t>
      </w:r>
      <w:proofErr w:type="spellStart"/>
      <w:r w:rsidRPr="000C4CD0">
        <w:t>risque</w:t>
      </w:r>
      <w:proofErr w:type="spellEnd"/>
      <w:r w:rsidRPr="000C4CD0">
        <w:t xml:space="preserve"> </w:t>
      </w:r>
      <w:proofErr w:type="spellStart"/>
      <w:r w:rsidRPr="000C4CD0">
        <w:t>limité</w:t>
      </w:r>
      <w:proofErr w:type="spellEnd"/>
      <w:r w:rsidRPr="000C4CD0">
        <w:t xml:space="preserve"> </w:t>
      </w:r>
      <w:proofErr w:type="spellStart"/>
      <w:r w:rsidRPr="000C4CD0">
        <w:t>d'explosion</w:t>
      </w:r>
      <w:proofErr w:type="spellEnd"/>
      <w:r w:rsidRPr="000C4CD0">
        <w:t xml:space="preserve"> » </w:t>
      </w:r>
      <w:proofErr w:type="spellStart"/>
      <w:r w:rsidRPr="000C4CD0">
        <w:t>est</w:t>
      </w:r>
      <w:proofErr w:type="spellEnd"/>
      <w:r w:rsidRPr="000C4CD0">
        <w:t xml:space="preserve"> </w:t>
      </w:r>
      <w:proofErr w:type="spellStart"/>
      <w:r w:rsidRPr="000C4CD0">
        <w:t>disproportionnée</w:t>
      </w:r>
      <w:proofErr w:type="spellEnd"/>
      <w:r w:rsidRPr="000C4CD0">
        <w:t>.</w:t>
      </w:r>
    </w:p>
    <w:p w:rsidR="00FF3208" w:rsidRPr="000C4CD0" w:rsidRDefault="00FF3208" w:rsidP="00D352B4">
      <w:pPr>
        <w:pStyle w:val="SingleTxtG"/>
        <w:tabs>
          <w:tab w:val="left" w:pos="1701"/>
        </w:tabs>
      </w:pPr>
      <w:r w:rsidRPr="000C4CD0">
        <w:t>15.</w:t>
      </w:r>
      <w:r w:rsidRPr="000C4CD0">
        <w:tab/>
      </w:r>
      <w:proofErr w:type="spellStart"/>
      <w:r w:rsidR="009A5296" w:rsidRPr="000C4CD0">
        <w:t>Dans</w:t>
      </w:r>
      <w:proofErr w:type="spellEnd"/>
      <w:r w:rsidR="009A5296" w:rsidRPr="000C4CD0">
        <w:t xml:space="preserve"> la proposition de modification </w:t>
      </w:r>
      <w:r w:rsidR="000C4CD0">
        <w:t>de</w:t>
      </w:r>
      <w:r w:rsidR="009A5296" w:rsidRPr="000C4CD0">
        <w:t xml:space="preserve"> </w:t>
      </w:r>
      <w:r w:rsidR="0086213F" w:rsidRPr="000C4CD0">
        <w:t>« </w:t>
      </w:r>
      <w:r w:rsidRPr="000C4CD0">
        <w:t xml:space="preserve">9.3.2.21.1 f) </w:t>
      </w:r>
      <w:r w:rsidR="009A5296" w:rsidRPr="000C4CD0">
        <w:t>et</w:t>
      </w:r>
      <w:r w:rsidRPr="000C4CD0">
        <w:t xml:space="preserve"> 9.3.2.21.1 f)</w:t>
      </w:r>
      <w:r w:rsidR="0086213F" w:rsidRPr="000C4CD0">
        <w:t> »</w:t>
      </w:r>
      <w:r w:rsidRPr="000C4CD0">
        <w:t xml:space="preserve"> </w:t>
      </w:r>
      <w:proofErr w:type="spellStart"/>
      <w:r w:rsidR="0086213F" w:rsidRPr="000C4CD0">
        <w:t>remplacer</w:t>
      </w:r>
      <w:proofErr w:type="spellEnd"/>
      <w:r w:rsidR="0086213F" w:rsidRPr="000C4CD0">
        <w:t xml:space="preserve"> la </w:t>
      </w:r>
      <w:proofErr w:type="spellStart"/>
      <w:r w:rsidR="0086213F" w:rsidRPr="000C4CD0">
        <w:t>deuxième</w:t>
      </w:r>
      <w:proofErr w:type="spellEnd"/>
      <w:r w:rsidR="0086213F" w:rsidRPr="000C4CD0">
        <w:t xml:space="preserve"> </w:t>
      </w:r>
      <w:proofErr w:type="spellStart"/>
      <w:r w:rsidR="0086213F" w:rsidRPr="000C4CD0">
        <w:t>référence</w:t>
      </w:r>
      <w:proofErr w:type="spellEnd"/>
      <w:r w:rsidR="0086213F" w:rsidRPr="000C4CD0">
        <w:t xml:space="preserve"> au « 9.3.2.21.1 » par « </w:t>
      </w:r>
      <w:r w:rsidRPr="000C4CD0">
        <w:t>9.3.3.21.1</w:t>
      </w:r>
      <w:r w:rsidR="0086213F" w:rsidRPr="000C4CD0">
        <w:t> »</w:t>
      </w:r>
      <w:r w:rsidRPr="000C4CD0">
        <w:t>.</w:t>
      </w:r>
    </w:p>
    <w:p w:rsidR="00FF3208" w:rsidRPr="000C4CD0" w:rsidRDefault="0014242A" w:rsidP="00A74215">
      <w:pPr>
        <w:pStyle w:val="SingleTxtG"/>
        <w:rPr>
          <w:u w:val="single"/>
        </w:rPr>
      </w:pPr>
      <w:proofErr w:type="gramStart"/>
      <w:r w:rsidRPr="000C4CD0">
        <w:rPr>
          <w:u w:val="single"/>
        </w:rPr>
        <w:t>Motif :</w:t>
      </w:r>
      <w:proofErr w:type="gramEnd"/>
    </w:p>
    <w:p w:rsidR="00FF3208" w:rsidRPr="000C4CD0" w:rsidRDefault="00FF3208" w:rsidP="00A74215">
      <w:pPr>
        <w:pStyle w:val="SingleTxtG"/>
        <w:rPr>
          <w:u w:val="single"/>
        </w:rPr>
      </w:pPr>
      <w:proofErr w:type="spellStart"/>
      <w:r w:rsidRPr="000C4CD0">
        <w:t>Cette</w:t>
      </w:r>
      <w:proofErr w:type="spellEnd"/>
      <w:r w:rsidRPr="000C4CD0">
        <w:t xml:space="preserve"> disposition </w:t>
      </w:r>
      <w:proofErr w:type="spellStart"/>
      <w:r w:rsidRPr="000C4CD0">
        <w:t>s'applique</w:t>
      </w:r>
      <w:proofErr w:type="spellEnd"/>
      <w:r w:rsidRPr="000C4CD0">
        <w:t xml:space="preserve"> </w:t>
      </w:r>
      <w:proofErr w:type="spellStart"/>
      <w:r w:rsidRPr="000C4CD0">
        <w:t>également</w:t>
      </w:r>
      <w:proofErr w:type="spellEnd"/>
      <w:r w:rsidRPr="000C4CD0">
        <w:t xml:space="preserve"> aux bateaux de type N.</w:t>
      </w:r>
    </w:p>
    <w:p w:rsidR="00FF3208" w:rsidRPr="000C4CD0" w:rsidRDefault="00FF3208" w:rsidP="00D352B4">
      <w:pPr>
        <w:pStyle w:val="SingleTxtG"/>
        <w:tabs>
          <w:tab w:val="left" w:pos="1701"/>
        </w:tabs>
      </w:pPr>
      <w:r w:rsidRPr="000C4CD0">
        <w:t>16.</w:t>
      </w:r>
      <w:r w:rsidRPr="000C4CD0">
        <w:tab/>
      </w:r>
      <w:proofErr w:type="spellStart"/>
      <w:r w:rsidR="00D12BE4" w:rsidRPr="000C4CD0">
        <w:t>Dans</w:t>
      </w:r>
      <w:proofErr w:type="spellEnd"/>
      <w:r w:rsidR="00D12BE4" w:rsidRPr="000C4CD0">
        <w:t xml:space="preserve"> la proposition de modification </w:t>
      </w:r>
      <w:r w:rsidR="000C4CD0">
        <w:t>de</w:t>
      </w:r>
      <w:r w:rsidRPr="000C4CD0">
        <w:t xml:space="preserve"> 9.3.2.22.4 b) </w:t>
      </w:r>
      <w:proofErr w:type="spellStart"/>
      <w:r w:rsidR="00581D44" w:rsidRPr="000C4CD0">
        <w:t>supprimer</w:t>
      </w:r>
      <w:proofErr w:type="spellEnd"/>
      <w:r w:rsidR="00581D44" w:rsidRPr="000C4CD0">
        <w:t xml:space="preserve"> le </w:t>
      </w:r>
      <w:proofErr w:type="spellStart"/>
      <w:r w:rsidR="00581D44" w:rsidRPr="000C4CD0">
        <w:t>deuxième</w:t>
      </w:r>
      <w:proofErr w:type="spellEnd"/>
      <w:r w:rsidR="00581D44" w:rsidRPr="000C4CD0">
        <w:t xml:space="preserve"> </w:t>
      </w:r>
      <w:proofErr w:type="spellStart"/>
      <w:r w:rsidR="00581D44" w:rsidRPr="000C4CD0">
        <w:t>tiret</w:t>
      </w:r>
      <w:proofErr w:type="spellEnd"/>
      <w:r w:rsidRPr="000C4CD0">
        <w:t>.</w:t>
      </w:r>
    </w:p>
    <w:p w:rsidR="00FF3208" w:rsidRPr="000C4CD0" w:rsidRDefault="00581D44" w:rsidP="00A74215">
      <w:pPr>
        <w:pStyle w:val="SingleTxtG"/>
      </w:pPr>
      <w:r w:rsidRPr="000C4CD0">
        <w:t xml:space="preserve">Le début de la première phrase de </w:t>
      </w:r>
      <w:proofErr w:type="spellStart"/>
      <w:r w:rsidRPr="000C4CD0">
        <w:t>l’alinéa</w:t>
      </w:r>
      <w:proofErr w:type="spellEnd"/>
      <w:r w:rsidRPr="000C4CD0">
        <w:t xml:space="preserve"> e) </w:t>
      </w:r>
      <w:proofErr w:type="spellStart"/>
      <w:r w:rsidRPr="000C4CD0">
        <w:t>est</w:t>
      </w:r>
      <w:proofErr w:type="spellEnd"/>
      <w:r w:rsidRPr="000C4CD0">
        <w:t xml:space="preserve"> </w:t>
      </w:r>
      <w:proofErr w:type="spellStart"/>
      <w:r w:rsidRPr="000C4CD0">
        <w:t>remplacé</w:t>
      </w:r>
      <w:proofErr w:type="spellEnd"/>
      <w:r w:rsidRPr="000C4CD0">
        <w:t xml:space="preserve"> par le </w:t>
      </w:r>
      <w:proofErr w:type="spellStart"/>
      <w:r w:rsidRPr="000C4CD0">
        <w:t>texte</w:t>
      </w:r>
      <w:proofErr w:type="spellEnd"/>
      <w:r w:rsidRPr="000C4CD0">
        <w:t xml:space="preserve"> </w:t>
      </w:r>
      <w:proofErr w:type="spellStart"/>
      <w:r w:rsidRPr="000C4CD0">
        <w:t>suivant</w:t>
      </w:r>
      <w:proofErr w:type="spellEnd"/>
      <w:r w:rsidRPr="000C4CD0">
        <w:t>: « e)</w:t>
      </w:r>
      <w:r w:rsidRPr="000C4CD0">
        <w:rPr>
          <w:rFonts w:eastAsia="Calibri"/>
          <w:szCs w:val="24"/>
        </w:rPr>
        <w:t xml:space="preserve"> Les </w:t>
      </w:r>
      <w:proofErr w:type="spellStart"/>
      <w:r w:rsidRPr="000C4CD0">
        <w:rPr>
          <w:rFonts w:eastAsia="Calibri"/>
          <w:szCs w:val="24"/>
        </w:rPr>
        <w:t>systèmes</w:t>
      </w:r>
      <w:proofErr w:type="spellEnd"/>
      <w:r w:rsidRPr="000C4CD0">
        <w:rPr>
          <w:rFonts w:eastAsia="Calibri"/>
          <w:szCs w:val="24"/>
        </w:rPr>
        <w:t xml:space="preserve"> de protection </w:t>
      </w:r>
      <w:proofErr w:type="spellStart"/>
      <w:r w:rsidRPr="000C4CD0">
        <w:rPr>
          <w:rFonts w:eastAsia="Calibri"/>
          <w:szCs w:val="24"/>
        </w:rPr>
        <w:t>autonomes</w:t>
      </w:r>
      <w:proofErr w:type="spellEnd"/>
      <w:r w:rsidRPr="000C4CD0">
        <w:rPr>
          <w:rFonts w:eastAsia="Calibri"/>
          <w:szCs w:val="24"/>
        </w:rPr>
        <w:t xml:space="preserve"> </w:t>
      </w:r>
      <w:proofErr w:type="spellStart"/>
      <w:r w:rsidRPr="000C4CD0">
        <w:rPr>
          <w:rFonts w:eastAsia="Calibri"/>
          <w:szCs w:val="24"/>
        </w:rPr>
        <w:t>visés</w:t>
      </w:r>
      <w:proofErr w:type="spellEnd"/>
      <w:r w:rsidRPr="000C4CD0">
        <w:rPr>
          <w:rFonts w:eastAsia="Calibri"/>
          <w:szCs w:val="24"/>
        </w:rPr>
        <w:t xml:space="preserve"> à </w:t>
      </w:r>
      <w:proofErr w:type="spellStart"/>
      <w:r w:rsidRPr="000C4CD0">
        <w:rPr>
          <w:rFonts w:eastAsia="Calibri"/>
          <w:szCs w:val="24"/>
        </w:rPr>
        <w:t>l’alinéa</w:t>
      </w:r>
      <w:proofErr w:type="spellEnd"/>
      <w:r w:rsidRPr="000C4CD0">
        <w:rPr>
          <w:rFonts w:eastAsia="Calibri"/>
          <w:szCs w:val="24"/>
        </w:rPr>
        <w:t xml:space="preserve"> c) </w:t>
      </w:r>
      <w:proofErr w:type="spellStart"/>
      <w:r w:rsidRPr="000C4CD0">
        <w:rPr>
          <w:rFonts w:eastAsia="Calibri"/>
          <w:szCs w:val="24"/>
        </w:rPr>
        <w:t>doivent</w:t>
      </w:r>
      <w:proofErr w:type="spellEnd"/>
      <w:r w:rsidRPr="000C4CD0">
        <w:rPr>
          <w:rFonts w:eastAsia="Calibri"/>
          <w:szCs w:val="24"/>
        </w:rPr>
        <w:t xml:space="preserve"> </w:t>
      </w:r>
      <w:r w:rsidR="00FF3208" w:rsidRPr="000C4CD0">
        <w:rPr>
          <w:rFonts w:eastAsia="Calibri"/>
        </w:rPr>
        <w:t>[…]</w:t>
      </w:r>
      <w:r w:rsidRPr="000C4CD0">
        <w:rPr>
          <w:rFonts w:eastAsia="Calibri"/>
        </w:rPr>
        <w:t> »</w:t>
      </w:r>
      <w:r w:rsidR="00FF3208" w:rsidRPr="000C4CD0">
        <w:rPr>
          <w:rFonts w:eastAsia="Calibri"/>
        </w:rPr>
        <w:t>.</w:t>
      </w:r>
    </w:p>
    <w:p w:rsidR="00FF3208" w:rsidRPr="000C4CD0" w:rsidRDefault="0014242A" w:rsidP="00A74215">
      <w:pPr>
        <w:pStyle w:val="SingleTxtG"/>
        <w:rPr>
          <w:u w:val="single"/>
        </w:rPr>
      </w:pPr>
      <w:proofErr w:type="gramStart"/>
      <w:r w:rsidRPr="000C4CD0">
        <w:rPr>
          <w:u w:val="single"/>
        </w:rPr>
        <w:t>Motif :</w:t>
      </w:r>
      <w:proofErr w:type="gramEnd"/>
    </w:p>
    <w:p w:rsidR="00FF3208" w:rsidRPr="000C4CD0" w:rsidRDefault="00FF3208" w:rsidP="00A74215">
      <w:pPr>
        <w:pStyle w:val="SingleTxtG"/>
        <w:rPr>
          <w:rFonts w:eastAsia="Calibri"/>
        </w:rPr>
      </w:pPr>
      <w:proofErr w:type="spellStart"/>
      <w:r w:rsidRPr="000C4CD0">
        <w:rPr>
          <w:rFonts w:eastAsia="Calibri"/>
        </w:rPr>
        <w:t>Cette</w:t>
      </w:r>
      <w:proofErr w:type="spellEnd"/>
      <w:r w:rsidRPr="000C4CD0">
        <w:rPr>
          <w:rFonts w:eastAsia="Calibri"/>
        </w:rPr>
        <w:t xml:space="preserve"> exigence figure déjà </w:t>
      </w:r>
      <w:proofErr w:type="spellStart"/>
      <w:r w:rsidRPr="000C4CD0">
        <w:rPr>
          <w:rFonts w:eastAsia="Calibri"/>
        </w:rPr>
        <w:t>dans</w:t>
      </w:r>
      <w:proofErr w:type="spellEnd"/>
      <w:r w:rsidRPr="000C4CD0">
        <w:rPr>
          <w:rFonts w:eastAsia="Calibri"/>
        </w:rPr>
        <w:t xml:space="preserve"> la </w:t>
      </w:r>
      <w:proofErr w:type="spellStart"/>
      <w:r w:rsidRPr="000C4CD0">
        <w:rPr>
          <w:rFonts w:eastAsia="Calibri"/>
        </w:rPr>
        <w:t>définition</w:t>
      </w:r>
      <w:proofErr w:type="spellEnd"/>
      <w:r w:rsidRPr="000C4CD0">
        <w:rPr>
          <w:rFonts w:eastAsia="Calibri"/>
        </w:rPr>
        <w:t>.</w:t>
      </w:r>
    </w:p>
    <w:p w:rsidR="00FF3208" w:rsidRPr="000C4CD0" w:rsidRDefault="00FF3208" w:rsidP="00A74215">
      <w:pPr>
        <w:pStyle w:val="SingleTxtG"/>
      </w:pPr>
      <w:proofErr w:type="spellStart"/>
      <w:proofErr w:type="gramStart"/>
      <w:r w:rsidRPr="000C4CD0">
        <w:rPr>
          <w:rFonts w:eastAsia="Calibri"/>
        </w:rPr>
        <w:t>Nota</w:t>
      </w:r>
      <w:proofErr w:type="spellEnd"/>
      <w:r w:rsidRPr="000C4CD0">
        <w:rPr>
          <w:rFonts w:eastAsia="Calibri"/>
        </w:rPr>
        <w:t xml:space="preserve"> :</w:t>
      </w:r>
      <w:proofErr w:type="gramEnd"/>
      <w:r w:rsidRPr="000C4CD0">
        <w:rPr>
          <w:rFonts w:eastAsia="Calibri"/>
        </w:rPr>
        <w:t xml:space="preserve"> </w:t>
      </w:r>
      <w:proofErr w:type="spellStart"/>
      <w:r w:rsidRPr="000C4CD0">
        <w:rPr>
          <w:rFonts w:eastAsia="Calibri"/>
        </w:rPr>
        <w:t>dans</w:t>
      </w:r>
      <w:proofErr w:type="spellEnd"/>
      <w:r w:rsidRPr="000C4CD0">
        <w:rPr>
          <w:rFonts w:eastAsia="Calibri"/>
        </w:rPr>
        <w:t xml:space="preserve"> la version allemande du document 2018/11 </w:t>
      </w:r>
      <w:proofErr w:type="spellStart"/>
      <w:r w:rsidRPr="000C4CD0">
        <w:rPr>
          <w:rFonts w:eastAsia="Calibri"/>
        </w:rPr>
        <w:t>est</w:t>
      </w:r>
      <w:proofErr w:type="spellEnd"/>
      <w:r w:rsidRPr="000C4CD0">
        <w:rPr>
          <w:rFonts w:eastAsia="Calibri"/>
        </w:rPr>
        <w:t xml:space="preserve"> </w:t>
      </w:r>
      <w:proofErr w:type="spellStart"/>
      <w:r w:rsidRPr="000C4CD0">
        <w:rPr>
          <w:rFonts w:eastAsia="Calibri"/>
        </w:rPr>
        <w:t>utilisé</w:t>
      </w:r>
      <w:proofErr w:type="spellEnd"/>
      <w:r w:rsidRPr="000C4CD0">
        <w:rPr>
          <w:rFonts w:eastAsia="Calibri"/>
        </w:rPr>
        <w:t xml:space="preserve"> le </w:t>
      </w:r>
      <w:proofErr w:type="spellStart"/>
      <w:r w:rsidRPr="000C4CD0">
        <w:rPr>
          <w:rFonts w:eastAsia="Calibri"/>
        </w:rPr>
        <w:t>pluriel</w:t>
      </w:r>
      <w:proofErr w:type="spellEnd"/>
      <w:r w:rsidRPr="000C4CD0">
        <w:rPr>
          <w:rFonts w:eastAsia="Calibri"/>
        </w:rPr>
        <w:t xml:space="preserve"> « </w:t>
      </w:r>
      <w:proofErr w:type="spellStart"/>
      <w:r w:rsidRPr="000C4CD0">
        <w:rPr>
          <w:rFonts w:eastAsia="Calibri"/>
        </w:rPr>
        <w:t>autonome</w:t>
      </w:r>
      <w:proofErr w:type="spellEnd"/>
      <w:r w:rsidRPr="000C4CD0">
        <w:rPr>
          <w:rFonts w:eastAsia="Calibri"/>
        </w:rPr>
        <w:t xml:space="preserve"> </w:t>
      </w:r>
      <w:proofErr w:type="spellStart"/>
      <w:r w:rsidRPr="000C4CD0">
        <w:rPr>
          <w:rFonts w:eastAsia="Calibri"/>
        </w:rPr>
        <w:t>Schutzsysteme</w:t>
      </w:r>
      <w:proofErr w:type="spellEnd"/>
      <w:r w:rsidRPr="000C4CD0">
        <w:rPr>
          <w:rFonts w:eastAsia="Calibri"/>
        </w:rPr>
        <w:t xml:space="preserve"> », </w:t>
      </w:r>
      <w:proofErr w:type="spellStart"/>
      <w:r w:rsidRPr="000C4CD0">
        <w:rPr>
          <w:rFonts w:eastAsia="Calibri"/>
        </w:rPr>
        <w:t>dans</w:t>
      </w:r>
      <w:proofErr w:type="spellEnd"/>
      <w:r w:rsidRPr="000C4CD0">
        <w:rPr>
          <w:rFonts w:eastAsia="Calibri"/>
        </w:rPr>
        <w:t xml:space="preserve"> la version </w:t>
      </w:r>
      <w:proofErr w:type="spellStart"/>
      <w:r w:rsidRPr="000C4CD0">
        <w:rPr>
          <w:rFonts w:eastAsia="Calibri"/>
        </w:rPr>
        <w:t>anglaise</w:t>
      </w:r>
      <w:proofErr w:type="spellEnd"/>
      <w:r w:rsidRPr="000C4CD0">
        <w:rPr>
          <w:rFonts w:eastAsia="Calibri"/>
        </w:rPr>
        <w:t xml:space="preserve"> du document 2018/11 </w:t>
      </w:r>
      <w:proofErr w:type="spellStart"/>
      <w:r w:rsidRPr="000C4CD0">
        <w:rPr>
          <w:rFonts w:eastAsia="Calibri"/>
        </w:rPr>
        <w:t>est</w:t>
      </w:r>
      <w:proofErr w:type="spellEnd"/>
      <w:r w:rsidRPr="000C4CD0">
        <w:rPr>
          <w:rFonts w:eastAsia="Calibri"/>
        </w:rPr>
        <w:t xml:space="preserve"> </w:t>
      </w:r>
      <w:proofErr w:type="spellStart"/>
      <w:r w:rsidRPr="000C4CD0">
        <w:rPr>
          <w:rFonts w:eastAsia="Calibri"/>
        </w:rPr>
        <w:t>utilisé</w:t>
      </w:r>
      <w:proofErr w:type="spellEnd"/>
      <w:r w:rsidRPr="000C4CD0">
        <w:rPr>
          <w:rFonts w:eastAsia="Calibri"/>
        </w:rPr>
        <w:t xml:space="preserve"> le </w:t>
      </w:r>
      <w:proofErr w:type="spellStart"/>
      <w:r w:rsidRPr="000C4CD0">
        <w:rPr>
          <w:rFonts w:eastAsia="Calibri"/>
        </w:rPr>
        <w:t>singulier</w:t>
      </w:r>
      <w:proofErr w:type="spellEnd"/>
      <w:r w:rsidRPr="000C4CD0">
        <w:rPr>
          <w:rFonts w:eastAsia="Calibri"/>
        </w:rPr>
        <w:t xml:space="preserve"> « autonomous protection system ».</w:t>
      </w:r>
    </w:p>
    <w:p w:rsidR="00FF3208" w:rsidRPr="000C4CD0" w:rsidRDefault="00FF3208" w:rsidP="00D352B4">
      <w:pPr>
        <w:pStyle w:val="SingleTxtG"/>
        <w:tabs>
          <w:tab w:val="left" w:pos="1701"/>
        </w:tabs>
      </w:pPr>
      <w:r w:rsidRPr="000C4CD0">
        <w:t>17.</w:t>
      </w:r>
      <w:r w:rsidRPr="000C4CD0">
        <w:tab/>
      </w:r>
      <w:proofErr w:type="spellStart"/>
      <w:r w:rsidR="00D12BE4" w:rsidRPr="000C4CD0">
        <w:t>Dans</w:t>
      </w:r>
      <w:proofErr w:type="spellEnd"/>
      <w:r w:rsidR="00D12BE4" w:rsidRPr="000C4CD0">
        <w:t xml:space="preserve"> la proposition de modification </w:t>
      </w:r>
      <w:r w:rsidR="000C4CD0">
        <w:t>du</w:t>
      </w:r>
      <w:r w:rsidR="00D12BE4" w:rsidRPr="000C4CD0">
        <w:t xml:space="preserve"> </w:t>
      </w:r>
      <w:r w:rsidRPr="000C4CD0">
        <w:t xml:space="preserve">9.3.2.22.4 a) </w:t>
      </w:r>
      <w:proofErr w:type="spellStart"/>
      <w:r w:rsidR="00D12BE4" w:rsidRPr="000C4CD0">
        <w:t>dans</w:t>
      </w:r>
      <w:proofErr w:type="spellEnd"/>
      <w:r w:rsidR="00D12BE4" w:rsidRPr="000C4CD0">
        <w:t xml:space="preserve"> le </w:t>
      </w:r>
      <w:proofErr w:type="spellStart"/>
      <w:r w:rsidR="00D12BE4" w:rsidRPr="000C4CD0">
        <w:t>deuxième</w:t>
      </w:r>
      <w:proofErr w:type="spellEnd"/>
      <w:r w:rsidR="00D12BE4" w:rsidRPr="000C4CD0">
        <w:t xml:space="preserve"> </w:t>
      </w:r>
      <w:proofErr w:type="spellStart"/>
      <w:r w:rsidR="00D12BE4" w:rsidRPr="000C4CD0">
        <w:t>tiret</w:t>
      </w:r>
      <w:proofErr w:type="spellEnd"/>
      <w:r w:rsidR="00D12BE4" w:rsidRPr="000C4CD0">
        <w:t xml:space="preserve"> </w:t>
      </w:r>
      <w:proofErr w:type="spellStart"/>
      <w:proofErr w:type="gramStart"/>
      <w:r w:rsidR="00D12BE4" w:rsidRPr="000C4CD0">
        <w:t>supprimer</w:t>
      </w:r>
      <w:proofErr w:type="spellEnd"/>
      <w:r w:rsidR="00D12BE4" w:rsidRPr="000C4CD0">
        <w:t> :</w:t>
      </w:r>
      <w:proofErr w:type="gramEnd"/>
      <w:r w:rsidR="00D12BE4" w:rsidRPr="000C4CD0">
        <w:t xml:space="preserve"> « du </w:t>
      </w:r>
      <w:proofErr w:type="spellStart"/>
      <w:r w:rsidR="00D12BE4" w:rsidRPr="000C4CD0">
        <w:t>robinet</w:t>
      </w:r>
      <w:proofErr w:type="spellEnd"/>
      <w:r w:rsidR="00D12BE4" w:rsidRPr="000C4CD0">
        <w:t xml:space="preserve"> </w:t>
      </w:r>
      <w:proofErr w:type="spellStart"/>
      <w:r w:rsidR="00D12BE4" w:rsidRPr="000C4CD0">
        <w:t>d’arrêt</w:t>
      </w:r>
      <w:proofErr w:type="spellEnd"/>
      <w:r w:rsidR="00D12BE4" w:rsidRPr="000C4CD0">
        <w:t> ».</w:t>
      </w:r>
    </w:p>
    <w:p w:rsidR="00D12BE4" w:rsidRPr="000C4CD0" w:rsidRDefault="00FF3208" w:rsidP="00D352B4">
      <w:pPr>
        <w:pStyle w:val="SingleTxtG"/>
        <w:tabs>
          <w:tab w:val="left" w:pos="1701"/>
        </w:tabs>
      </w:pPr>
      <w:r w:rsidRPr="000C4CD0">
        <w:t>18.</w:t>
      </w:r>
      <w:r w:rsidRPr="000C4CD0">
        <w:tab/>
      </w:r>
      <w:proofErr w:type="spellStart"/>
      <w:r w:rsidR="00D12BE4" w:rsidRPr="000C4CD0">
        <w:t>Dans</w:t>
      </w:r>
      <w:proofErr w:type="spellEnd"/>
      <w:r w:rsidR="00D12BE4" w:rsidRPr="000C4CD0">
        <w:t xml:space="preserve"> la proposition de modification </w:t>
      </w:r>
      <w:r w:rsidR="000C4CD0">
        <w:t>du</w:t>
      </w:r>
      <w:r w:rsidR="00D12BE4" w:rsidRPr="000C4CD0">
        <w:t xml:space="preserve"> 9.3.3.22.4 b) </w:t>
      </w:r>
      <w:proofErr w:type="spellStart"/>
      <w:proofErr w:type="gramStart"/>
      <w:r w:rsidR="00D12BE4" w:rsidRPr="000C4CD0">
        <w:t>supprimer</w:t>
      </w:r>
      <w:proofErr w:type="spellEnd"/>
      <w:r w:rsidR="00D12BE4" w:rsidRPr="000C4CD0">
        <w:t> :</w:t>
      </w:r>
      <w:proofErr w:type="gramEnd"/>
      <w:r w:rsidR="00D12BE4" w:rsidRPr="000C4CD0">
        <w:t xml:space="preserve"> « du </w:t>
      </w:r>
      <w:proofErr w:type="spellStart"/>
      <w:r w:rsidR="00D12BE4" w:rsidRPr="000C4CD0">
        <w:t>robinet</w:t>
      </w:r>
      <w:proofErr w:type="spellEnd"/>
      <w:r w:rsidR="00D12BE4" w:rsidRPr="000C4CD0">
        <w:t xml:space="preserve"> </w:t>
      </w:r>
      <w:proofErr w:type="spellStart"/>
      <w:r w:rsidR="00D12BE4" w:rsidRPr="000C4CD0">
        <w:t>d’arrêt</w:t>
      </w:r>
      <w:proofErr w:type="spellEnd"/>
      <w:r w:rsidR="00D12BE4" w:rsidRPr="000C4CD0">
        <w:t> ».</w:t>
      </w:r>
    </w:p>
    <w:p w:rsidR="00FF3208" w:rsidRPr="000C4CD0" w:rsidRDefault="00B3234B" w:rsidP="00381E82">
      <w:pPr>
        <w:pStyle w:val="SingleTxtG"/>
        <w:keepNext/>
        <w:rPr>
          <w:u w:val="single"/>
        </w:rPr>
      </w:pPr>
      <w:r w:rsidRPr="000C4CD0">
        <w:rPr>
          <w:u w:val="single"/>
        </w:rPr>
        <w:lastRenderedPageBreak/>
        <w:t>Motif pour</w:t>
      </w:r>
      <w:r w:rsidR="00FF3208" w:rsidRPr="000C4CD0">
        <w:rPr>
          <w:u w:val="single"/>
        </w:rPr>
        <w:t xml:space="preserve"> 16. </w:t>
      </w:r>
      <w:r w:rsidRPr="000C4CD0">
        <w:rPr>
          <w:u w:val="single"/>
        </w:rPr>
        <w:t>et</w:t>
      </w:r>
      <w:r w:rsidR="00FF3208" w:rsidRPr="000C4CD0">
        <w:rPr>
          <w:u w:val="single"/>
        </w:rPr>
        <w:t xml:space="preserve"> 17</w:t>
      </w:r>
      <w:proofErr w:type="gramStart"/>
      <w:r w:rsidR="00FF3208" w:rsidRPr="000C4CD0">
        <w:rPr>
          <w:u w:val="single"/>
        </w:rPr>
        <w:t>.</w:t>
      </w:r>
      <w:r w:rsidRPr="000C4CD0">
        <w:rPr>
          <w:u w:val="single"/>
        </w:rPr>
        <w:t xml:space="preserve"> </w:t>
      </w:r>
      <w:r w:rsidR="00FF3208" w:rsidRPr="000C4CD0">
        <w:rPr>
          <w:u w:val="single"/>
        </w:rPr>
        <w:t>:</w:t>
      </w:r>
      <w:proofErr w:type="gramEnd"/>
    </w:p>
    <w:p w:rsidR="00FF3208" w:rsidRPr="000C4CD0" w:rsidRDefault="00FF3208" w:rsidP="00381E82">
      <w:pPr>
        <w:pStyle w:val="SingleTxtG"/>
        <w:keepNext/>
      </w:pPr>
      <w:r w:rsidRPr="000C4CD0">
        <w:t xml:space="preserve">Le </w:t>
      </w:r>
      <w:proofErr w:type="spellStart"/>
      <w:r w:rsidRPr="000C4CD0">
        <w:t>dispositif</w:t>
      </w:r>
      <w:proofErr w:type="spellEnd"/>
      <w:r w:rsidRPr="000C4CD0">
        <w:t xml:space="preserve"> de </w:t>
      </w:r>
      <w:proofErr w:type="spellStart"/>
      <w:r w:rsidRPr="000C4CD0">
        <w:t>fermeture</w:t>
      </w:r>
      <w:proofErr w:type="spellEnd"/>
      <w:r w:rsidRPr="000C4CD0">
        <w:t xml:space="preserve"> </w:t>
      </w:r>
      <w:proofErr w:type="spellStart"/>
      <w:r w:rsidRPr="000C4CD0">
        <w:t>mentionné</w:t>
      </w:r>
      <w:proofErr w:type="spellEnd"/>
      <w:r w:rsidRPr="000C4CD0">
        <w:t xml:space="preserve"> </w:t>
      </w:r>
      <w:proofErr w:type="spellStart"/>
      <w:r w:rsidRPr="000C4CD0">
        <w:t>n'est</w:t>
      </w:r>
      <w:proofErr w:type="spellEnd"/>
      <w:r w:rsidRPr="000C4CD0">
        <w:t xml:space="preserve"> pas un </w:t>
      </w:r>
      <w:proofErr w:type="spellStart"/>
      <w:r w:rsidRPr="000C4CD0">
        <w:t>élément</w:t>
      </w:r>
      <w:proofErr w:type="spellEnd"/>
      <w:r w:rsidRPr="000C4CD0">
        <w:t xml:space="preserve"> </w:t>
      </w:r>
      <w:proofErr w:type="spellStart"/>
      <w:r w:rsidRPr="000C4CD0">
        <w:t>constitutif</w:t>
      </w:r>
      <w:proofErr w:type="spellEnd"/>
      <w:r w:rsidRPr="000C4CD0">
        <w:t xml:space="preserve"> </w:t>
      </w:r>
      <w:proofErr w:type="spellStart"/>
      <w:r w:rsidRPr="000C4CD0">
        <w:t>supplémentaire</w:t>
      </w:r>
      <w:proofErr w:type="spellEnd"/>
      <w:r w:rsidRPr="000C4CD0">
        <w:t xml:space="preserve"> </w:t>
      </w:r>
      <w:proofErr w:type="spellStart"/>
      <w:r w:rsidRPr="000C4CD0">
        <w:t>mais</w:t>
      </w:r>
      <w:proofErr w:type="spellEnd"/>
      <w:r w:rsidRPr="000C4CD0">
        <w:t xml:space="preserve"> </w:t>
      </w:r>
      <w:proofErr w:type="spellStart"/>
      <w:r w:rsidRPr="000C4CD0">
        <w:t>désigne</w:t>
      </w:r>
      <w:proofErr w:type="spellEnd"/>
      <w:r w:rsidRPr="000C4CD0">
        <w:t xml:space="preserve"> le </w:t>
      </w:r>
      <w:proofErr w:type="spellStart"/>
      <w:r w:rsidRPr="000C4CD0">
        <w:t>dispositif</w:t>
      </w:r>
      <w:proofErr w:type="spellEnd"/>
      <w:r w:rsidRPr="000C4CD0">
        <w:t xml:space="preserve"> de </w:t>
      </w:r>
      <w:proofErr w:type="spellStart"/>
      <w:r w:rsidRPr="000C4CD0">
        <w:t>décompression</w:t>
      </w:r>
      <w:proofErr w:type="spellEnd"/>
      <w:r w:rsidRPr="000C4CD0">
        <w:t xml:space="preserve"> </w:t>
      </w:r>
      <w:proofErr w:type="spellStart"/>
      <w:r w:rsidRPr="000C4CD0">
        <w:t>en</w:t>
      </w:r>
      <w:proofErr w:type="spellEnd"/>
      <w:r w:rsidRPr="000C4CD0">
        <w:t xml:space="preserve"> </w:t>
      </w:r>
      <w:proofErr w:type="spellStart"/>
      <w:r w:rsidRPr="000C4CD0">
        <w:t>toute</w:t>
      </w:r>
      <w:proofErr w:type="spellEnd"/>
      <w:r w:rsidRPr="000C4CD0">
        <w:t xml:space="preserve"> </w:t>
      </w:r>
      <w:proofErr w:type="spellStart"/>
      <w:r w:rsidRPr="000C4CD0">
        <w:t>sécurité</w:t>
      </w:r>
      <w:proofErr w:type="spellEnd"/>
      <w:r w:rsidRPr="000C4CD0">
        <w:t xml:space="preserve"> </w:t>
      </w:r>
      <w:proofErr w:type="spellStart"/>
      <w:r w:rsidRPr="000C4CD0">
        <w:t>en</w:t>
      </w:r>
      <w:proofErr w:type="spellEnd"/>
      <w:r w:rsidRPr="000C4CD0">
        <w:t xml:space="preserve"> </w:t>
      </w:r>
      <w:proofErr w:type="spellStart"/>
      <w:r w:rsidRPr="000C4CD0">
        <w:t>tant</w:t>
      </w:r>
      <w:proofErr w:type="spellEnd"/>
      <w:r w:rsidRPr="000C4CD0">
        <w:t xml:space="preserve"> que tel.</w:t>
      </w:r>
    </w:p>
    <w:p w:rsidR="00FF3208" w:rsidRPr="000C4CD0" w:rsidRDefault="00A74215" w:rsidP="00A74215">
      <w:pPr>
        <w:pStyle w:val="HChG"/>
      </w:pPr>
      <w:r>
        <w:tab/>
      </w:r>
      <w:r w:rsidR="00FF3208" w:rsidRPr="000C4CD0">
        <w:t>II.</w:t>
      </w:r>
      <w:r w:rsidR="00FF3208" w:rsidRPr="000C4CD0">
        <w:tab/>
      </w:r>
      <w:r w:rsidR="009368FE" w:rsidRPr="000C4CD0">
        <w:t xml:space="preserve">Mise en </w:t>
      </w:r>
      <w:r w:rsidR="00B96767" w:rsidRPr="000C4CD0">
        <w:t>œuvre</w:t>
      </w:r>
    </w:p>
    <w:p w:rsidR="00FF3208" w:rsidRPr="000C4CD0" w:rsidRDefault="00FF3208" w:rsidP="00D352B4">
      <w:pPr>
        <w:pStyle w:val="SingleTxtG"/>
        <w:tabs>
          <w:tab w:val="left" w:pos="1701"/>
        </w:tabs>
      </w:pPr>
      <w:r w:rsidRPr="000C4CD0">
        <w:t>19.</w:t>
      </w:r>
      <w:r w:rsidRPr="000C4CD0">
        <w:tab/>
      </w:r>
      <w:proofErr w:type="spellStart"/>
      <w:r w:rsidRPr="000C4CD0">
        <w:t>Aucune</w:t>
      </w:r>
      <w:proofErr w:type="spellEnd"/>
      <w:r w:rsidRPr="000C4CD0">
        <w:t xml:space="preserve"> des modifications </w:t>
      </w:r>
      <w:proofErr w:type="spellStart"/>
      <w:r w:rsidRPr="000C4CD0">
        <w:t>proposées</w:t>
      </w:r>
      <w:proofErr w:type="spellEnd"/>
      <w:r w:rsidRPr="000C4CD0">
        <w:t xml:space="preserve"> ne </w:t>
      </w:r>
      <w:proofErr w:type="spellStart"/>
      <w:r w:rsidRPr="000C4CD0">
        <w:t>nécessite</w:t>
      </w:r>
      <w:proofErr w:type="spellEnd"/>
      <w:r w:rsidRPr="000C4CD0">
        <w:t xml:space="preserve"> des </w:t>
      </w:r>
      <w:proofErr w:type="spellStart"/>
      <w:r w:rsidRPr="000C4CD0">
        <w:t>investissements</w:t>
      </w:r>
      <w:proofErr w:type="spellEnd"/>
      <w:r w:rsidRPr="000C4CD0">
        <w:t xml:space="preserve"> </w:t>
      </w:r>
      <w:proofErr w:type="spellStart"/>
      <w:r w:rsidRPr="000C4CD0">
        <w:t>supplémentaires</w:t>
      </w:r>
      <w:proofErr w:type="spellEnd"/>
      <w:r w:rsidRPr="000C4CD0">
        <w:t xml:space="preserve"> </w:t>
      </w:r>
      <w:proofErr w:type="spellStart"/>
      <w:r w:rsidRPr="000C4CD0">
        <w:t>en</w:t>
      </w:r>
      <w:proofErr w:type="spellEnd"/>
      <w:r w:rsidRPr="000C4CD0">
        <w:t xml:space="preserve"> </w:t>
      </w:r>
      <w:proofErr w:type="spellStart"/>
      <w:r w:rsidRPr="000C4CD0">
        <w:t>matière</w:t>
      </w:r>
      <w:proofErr w:type="spellEnd"/>
      <w:r w:rsidRPr="000C4CD0">
        <w:t xml:space="preserve"> de construction </w:t>
      </w:r>
      <w:proofErr w:type="spellStart"/>
      <w:r w:rsidRPr="000C4CD0">
        <w:t>navale</w:t>
      </w:r>
      <w:proofErr w:type="spellEnd"/>
      <w:r w:rsidRPr="000C4CD0">
        <w:t xml:space="preserve"> </w:t>
      </w:r>
      <w:proofErr w:type="spellStart"/>
      <w:r w:rsidRPr="000C4CD0">
        <w:t>ou</w:t>
      </w:r>
      <w:proofErr w:type="spellEnd"/>
      <w:r w:rsidRPr="000C4CD0">
        <w:t xml:space="preserve"> des modifications des </w:t>
      </w:r>
      <w:proofErr w:type="spellStart"/>
      <w:r w:rsidRPr="000C4CD0">
        <w:t>opérations</w:t>
      </w:r>
      <w:proofErr w:type="spellEnd"/>
      <w:r w:rsidRPr="000C4CD0">
        <w:t xml:space="preserve"> de transport.</w:t>
      </w:r>
    </w:p>
    <w:p w:rsidR="00FF3208" w:rsidRPr="000C4CD0" w:rsidRDefault="00FF3208" w:rsidP="00A74215">
      <w:pPr>
        <w:pStyle w:val="SingleTxtG"/>
      </w:pPr>
      <w:r w:rsidRPr="000C4CD0">
        <w:t xml:space="preserve">Les </w:t>
      </w:r>
      <w:proofErr w:type="spellStart"/>
      <w:r w:rsidRPr="000C4CD0">
        <w:t>coûts</w:t>
      </w:r>
      <w:proofErr w:type="spellEnd"/>
      <w:r w:rsidRPr="000C4CD0">
        <w:t xml:space="preserve"> </w:t>
      </w:r>
      <w:proofErr w:type="spellStart"/>
      <w:r w:rsidRPr="000C4CD0">
        <w:t>supplémentaires</w:t>
      </w:r>
      <w:proofErr w:type="spellEnd"/>
      <w:r w:rsidRPr="000C4CD0">
        <w:t xml:space="preserve"> pour des </w:t>
      </w:r>
      <w:proofErr w:type="spellStart"/>
      <w:r w:rsidRPr="000C4CD0">
        <w:t>gants</w:t>
      </w:r>
      <w:proofErr w:type="spellEnd"/>
      <w:r w:rsidRPr="000C4CD0">
        <w:t xml:space="preserve"> de protection, des </w:t>
      </w:r>
      <w:proofErr w:type="spellStart"/>
      <w:r w:rsidRPr="000C4CD0">
        <w:t>chaussures</w:t>
      </w:r>
      <w:proofErr w:type="spellEnd"/>
      <w:r w:rsidRPr="000C4CD0">
        <w:t xml:space="preserve"> de protection </w:t>
      </w:r>
      <w:proofErr w:type="spellStart"/>
      <w:r w:rsidRPr="000C4CD0">
        <w:t>ou</w:t>
      </w:r>
      <w:proofErr w:type="spellEnd"/>
      <w:r w:rsidRPr="000C4CD0">
        <w:t xml:space="preserve"> des bottes de protection </w:t>
      </w:r>
      <w:proofErr w:type="spellStart"/>
      <w:r w:rsidRPr="000C4CD0">
        <w:t>sont</w:t>
      </w:r>
      <w:proofErr w:type="spellEnd"/>
      <w:r w:rsidRPr="000C4CD0">
        <w:t xml:space="preserve"> </w:t>
      </w:r>
      <w:proofErr w:type="spellStart"/>
      <w:r w:rsidRPr="000C4CD0">
        <w:t>justifiés</w:t>
      </w:r>
      <w:proofErr w:type="spellEnd"/>
      <w:r w:rsidRPr="000C4CD0">
        <w:t xml:space="preserve"> par </w:t>
      </w:r>
      <w:proofErr w:type="spellStart"/>
      <w:r w:rsidRPr="000C4CD0">
        <w:t>l'efficacité</w:t>
      </w:r>
      <w:proofErr w:type="spellEnd"/>
      <w:r w:rsidRPr="000C4CD0">
        <w:t xml:space="preserve"> de la protection </w:t>
      </w:r>
      <w:proofErr w:type="spellStart"/>
      <w:r w:rsidRPr="000C4CD0">
        <w:t>contre</w:t>
      </w:r>
      <w:proofErr w:type="spellEnd"/>
      <w:r w:rsidRPr="000C4CD0">
        <w:t xml:space="preserve"> </w:t>
      </w:r>
      <w:proofErr w:type="spellStart"/>
      <w:r w:rsidRPr="000C4CD0">
        <w:t>l'explosion</w:t>
      </w:r>
      <w:proofErr w:type="spellEnd"/>
      <w:r w:rsidRPr="000C4CD0">
        <w:t xml:space="preserve"> </w:t>
      </w:r>
      <w:proofErr w:type="spellStart"/>
      <w:r w:rsidRPr="000C4CD0">
        <w:t>et</w:t>
      </w:r>
      <w:proofErr w:type="spellEnd"/>
      <w:r w:rsidRPr="000C4CD0">
        <w:t xml:space="preserve"> par </w:t>
      </w:r>
      <w:proofErr w:type="spellStart"/>
      <w:r w:rsidRPr="000C4CD0">
        <w:t>une</w:t>
      </w:r>
      <w:proofErr w:type="spellEnd"/>
      <w:r w:rsidRPr="000C4CD0">
        <w:t xml:space="preserve"> </w:t>
      </w:r>
      <w:proofErr w:type="spellStart"/>
      <w:r w:rsidRPr="000C4CD0">
        <w:t>meilleure</w:t>
      </w:r>
      <w:proofErr w:type="spellEnd"/>
      <w:r w:rsidRPr="000C4CD0">
        <w:t xml:space="preserve"> protection du personnel à </w:t>
      </w:r>
      <w:proofErr w:type="spellStart"/>
      <w:r w:rsidRPr="000C4CD0">
        <w:t>bord</w:t>
      </w:r>
      <w:proofErr w:type="spellEnd"/>
      <w:r w:rsidRPr="000C4CD0">
        <w:t>.</w:t>
      </w:r>
    </w:p>
    <w:p w:rsidR="00FF3208" w:rsidRPr="000C4CD0" w:rsidRDefault="00FF3208" w:rsidP="00A74215">
      <w:pPr>
        <w:pStyle w:val="SingleTxtG"/>
      </w:pPr>
      <w:r w:rsidRPr="000C4CD0">
        <w:t xml:space="preserve">La </w:t>
      </w:r>
      <w:proofErr w:type="spellStart"/>
      <w:r w:rsidRPr="000C4CD0">
        <w:t>procédure</w:t>
      </w:r>
      <w:proofErr w:type="spellEnd"/>
      <w:r w:rsidRPr="000C4CD0">
        <w:t xml:space="preserve"> </w:t>
      </w:r>
      <w:proofErr w:type="spellStart"/>
      <w:r w:rsidRPr="000C4CD0">
        <w:t>d'autorisation</w:t>
      </w:r>
      <w:proofErr w:type="spellEnd"/>
      <w:r w:rsidRPr="000C4CD0">
        <w:t xml:space="preserve"> </w:t>
      </w:r>
      <w:proofErr w:type="spellStart"/>
      <w:r w:rsidRPr="000C4CD0">
        <w:t>auprès</w:t>
      </w:r>
      <w:proofErr w:type="spellEnd"/>
      <w:r w:rsidRPr="000C4CD0">
        <w:t xml:space="preserve"> de </w:t>
      </w:r>
      <w:proofErr w:type="spellStart"/>
      <w:r w:rsidRPr="000C4CD0">
        <w:t>l'autorité</w:t>
      </w:r>
      <w:proofErr w:type="spellEnd"/>
      <w:r w:rsidRPr="000C4CD0">
        <w:t xml:space="preserve"> </w:t>
      </w:r>
      <w:proofErr w:type="spellStart"/>
      <w:r w:rsidRPr="000C4CD0">
        <w:t>compétente</w:t>
      </w:r>
      <w:proofErr w:type="spellEnd"/>
      <w:r w:rsidRPr="000C4CD0">
        <w:t xml:space="preserve"> qui </w:t>
      </w:r>
      <w:proofErr w:type="spellStart"/>
      <w:r w:rsidRPr="000C4CD0">
        <w:t>est</w:t>
      </w:r>
      <w:proofErr w:type="spellEnd"/>
      <w:r w:rsidRPr="000C4CD0">
        <w:t xml:space="preserve"> </w:t>
      </w:r>
      <w:proofErr w:type="spellStart"/>
      <w:r w:rsidRPr="000C4CD0">
        <w:t>introduite</w:t>
      </w:r>
      <w:proofErr w:type="spellEnd"/>
      <w:r w:rsidRPr="000C4CD0">
        <w:t xml:space="preserve"> au n°13 </w:t>
      </w:r>
      <w:proofErr w:type="spellStart"/>
      <w:r w:rsidRPr="000C4CD0">
        <w:t>est</w:t>
      </w:r>
      <w:proofErr w:type="spellEnd"/>
      <w:r w:rsidRPr="000C4CD0">
        <w:t xml:space="preserve"> </w:t>
      </w:r>
      <w:proofErr w:type="spellStart"/>
      <w:r w:rsidRPr="000C4CD0">
        <w:t>conforme</w:t>
      </w:r>
      <w:proofErr w:type="spellEnd"/>
      <w:r w:rsidRPr="000C4CD0">
        <w:t xml:space="preserve"> à la </w:t>
      </w:r>
      <w:proofErr w:type="spellStart"/>
      <w:r w:rsidRPr="000C4CD0">
        <w:t>réglementation</w:t>
      </w:r>
      <w:proofErr w:type="spellEnd"/>
      <w:r w:rsidRPr="000C4CD0">
        <w:t xml:space="preserve"> </w:t>
      </w:r>
      <w:proofErr w:type="spellStart"/>
      <w:r w:rsidRPr="000C4CD0">
        <w:t>en</w:t>
      </w:r>
      <w:proofErr w:type="spellEnd"/>
      <w:r w:rsidRPr="000C4CD0">
        <w:t xml:space="preserve"> </w:t>
      </w:r>
      <w:proofErr w:type="spellStart"/>
      <w:r w:rsidRPr="000C4CD0">
        <w:t>vigueur</w:t>
      </w:r>
      <w:proofErr w:type="spellEnd"/>
      <w:r w:rsidRPr="000C4CD0">
        <w:t>.</w:t>
      </w:r>
    </w:p>
    <w:p w:rsidR="00751575" w:rsidRPr="00F77D38" w:rsidRDefault="00F77D38" w:rsidP="00F77D3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51575" w:rsidRPr="00F77D38" w:rsidSect="00A7421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BE" w:rsidRDefault="001629BE" w:rsidP="0011702A">
      <w:r>
        <w:separator/>
      </w:r>
    </w:p>
  </w:endnote>
  <w:endnote w:type="continuationSeparator" w:id="0">
    <w:p w:rsidR="001629BE" w:rsidRDefault="001629BE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38" w:rsidRPr="00F77D38" w:rsidRDefault="00F77D38" w:rsidP="00F77D38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sz w:val="16"/>
        <w:lang w:val="en-GB" w:eastAsia="en-US"/>
      </w:rPr>
    </w:pPr>
    <w:r w:rsidRPr="00F77D38">
      <w:rPr>
        <w:b/>
        <w:sz w:val="18"/>
        <w:lang w:val="en-GB" w:eastAsia="en-US"/>
      </w:rPr>
      <w:fldChar w:fldCharType="begin"/>
    </w:r>
    <w:r w:rsidRPr="00F77D38">
      <w:rPr>
        <w:b/>
        <w:sz w:val="18"/>
        <w:lang w:val="en-GB" w:eastAsia="en-US"/>
      </w:rPr>
      <w:instrText xml:space="preserve"> PAGE  \* MERGEFORMAT </w:instrText>
    </w:r>
    <w:r w:rsidRPr="00F77D38">
      <w:rPr>
        <w:b/>
        <w:sz w:val="18"/>
        <w:lang w:val="en-GB" w:eastAsia="en-US"/>
      </w:rPr>
      <w:fldChar w:fldCharType="separate"/>
    </w:r>
    <w:r w:rsidR="00C05E4C">
      <w:rPr>
        <w:b/>
        <w:noProof/>
        <w:sz w:val="18"/>
        <w:lang w:val="en-GB" w:eastAsia="en-US"/>
      </w:rPr>
      <w:t>4</w:t>
    </w:r>
    <w:r w:rsidRPr="00F77D38">
      <w:rPr>
        <w:b/>
        <w:sz w:val="18"/>
        <w:lang w:val="en-GB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B" w:rsidRPr="00F77D38" w:rsidRDefault="00F77D38" w:rsidP="00F77D38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sz w:val="16"/>
        <w:lang w:val="en-GB" w:eastAsia="en-US"/>
      </w:rPr>
    </w:pPr>
    <w:r w:rsidRPr="00F77D38">
      <w:rPr>
        <w:b/>
        <w:sz w:val="18"/>
        <w:lang w:val="en-GB" w:eastAsia="en-US"/>
      </w:rPr>
      <w:fldChar w:fldCharType="begin"/>
    </w:r>
    <w:r w:rsidRPr="00F77D38">
      <w:rPr>
        <w:b/>
        <w:sz w:val="18"/>
        <w:lang w:val="en-GB" w:eastAsia="en-US"/>
      </w:rPr>
      <w:instrText xml:space="preserve"> PAGE  \* MERGEFORMAT </w:instrText>
    </w:r>
    <w:r w:rsidRPr="00F77D38">
      <w:rPr>
        <w:b/>
        <w:sz w:val="18"/>
        <w:lang w:val="en-GB" w:eastAsia="en-US"/>
      </w:rPr>
      <w:fldChar w:fldCharType="separate"/>
    </w:r>
    <w:r w:rsidR="00C05E4C">
      <w:rPr>
        <w:b/>
        <w:noProof/>
        <w:sz w:val="18"/>
        <w:lang w:val="en-GB" w:eastAsia="en-US"/>
      </w:rPr>
      <w:t>5</w:t>
    </w:r>
    <w:r w:rsidRPr="00F77D38">
      <w:rPr>
        <w:b/>
        <w:sz w:val="18"/>
        <w:lang w:val="en-GB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B4" w:rsidRPr="00F77D38" w:rsidRDefault="00D352B4" w:rsidP="00F77D38">
    <w:pPr>
      <w:widowControl/>
      <w:suppressAutoHyphens/>
      <w:overflowPunct/>
      <w:autoSpaceDE/>
      <w:autoSpaceDN/>
      <w:adjustRightInd/>
      <w:spacing w:line="240" w:lineRule="atLeast"/>
      <w:ind w:left="0" w:firstLine="0"/>
      <w:jc w:val="right"/>
      <w:textAlignment w:val="auto"/>
      <w:rPr>
        <w:b/>
        <w:sz w:val="18"/>
        <w:szCs w:val="18"/>
        <w:lang w:val="en-GB" w:eastAsia="en-US"/>
      </w:rPr>
    </w:pPr>
    <w:r w:rsidRPr="00D352B4">
      <w:rPr>
        <w:b/>
        <w:sz w:val="18"/>
        <w:szCs w:val="18"/>
        <w:lang w:val="en-GB" w:eastAsia="en-US"/>
      </w:rPr>
      <w:fldChar w:fldCharType="begin"/>
    </w:r>
    <w:r w:rsidRPr="00D352B4">
      <w:rPr>
        <w:b/>
        <w:sz w:val="18"/>
        <w:szCs w:val="18"/>
        <w:lang w:val="en-GB" w:eastAsia="en-US"/>
      </w:rPr>
      <w:instrText xml:space="preserve"> PAGE   \* MERGEFORMAT </w:instrText>
    </w:r>
    <w:r w:rsidRPr="00D352B4">
      <w:rPr>
        <w:b/>
        <w:sz w:val="18"/>
        <w:szCs w:val="18"/>
        <w:lang w:val="en-GB" w:eastAsia="en-US"/>
      </w:rPr>
      <w:fldChar w:fldCharType="separate"/>
    </w:r>
    <w:r w:rsidR="00C05E4C">
      <w:rPr>
        <w:b/>
        <w:noProof/>
        <w:sz w:val="18"/>
        <w:szCs w:val="18"/>
        <w:lang w:val="en-GB" w:eastAsia="en-US"/>
      </w:rPr>
      <w:t>1</w:t>
    </w:r>
    <w:r w:rsidRPr="00D352B4">
      <w:rPr>
        <w:b/>
        <w:noProof/>
        <w:sz w:val="18"/>
        <w:szCs w:val="18"/>
        <w:lang w:val="en-GB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BE" w:rsidRDefault="001629BE" w:rsidP="0011702A">
      <w:r>
        <w:separator/>
      </w:r>
    </w:p>
  </w:footnote>
  <w:footnote w:type="continuationSeparator" w:id="0">
    <w:p w:rsidR="001629BE" w:rsidRDefault="001629BE" w:rsidP="0011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6A" w:rsidRPr="00F77D38" w:rsidRDefault="00F77D38" w:rsidP="00F77D38">
    <w:pPr>
      <w:widowControl/>
      <w:pBdr>
        <w:bottom w:val="single" w:sz="4" w:space="1" w:color="auto"/>
      </w:pBdr>
      <w:suppressAutoHyphens/>
      <w:overflowPunct/>
      <w:autoSpaceDE/>
      <w:autoSpaceDN/>
      <w:adjustRightInd/>
      <w:ind w:left="0" w:firstLine="0"/>
      <w:jc w:val="left"/>
      <w:textAlignment w:val="auto"/>
      <w:rPr>
        <w:sz w:val="18"/>
        <w:szCs w:val="18"/>
        <w:lang w:val="fr-CH" w:eastAsia="en-US"/>
      </w:rPr>
    </w:pPr>
    <w:r w:rsidRPr="00F77D38">
      <w:rPr>
        <w:b/>
        <w:sz w:val="18"/>
        <w:szCs w:val="18"/>
        <w:lang w:val="fr-CH" w:eastAsia="en-US"/>
      </w:rPr>
      <w:t>INF.14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6A" w:rsidRPr="00F77D38" w:rsidRDefault="00F77D38" w:rsidP="00F77D38">
    <w:pPr>
      <w:widowControl/>
      <w:pBdr>
        <w:bottom w:val="single" w:sz="4" w:space="4" w:color="auto"/>
      </w:pBdr>
      <w:suppressAutoHyphens/>
      <w:overflowPunct/>
      <w:autoSpaceDE/>
      <w:autoSpaceDN/>
      <w:adjustRightInd/>
      <w:ind w:left="0" w:firstLine="0"/>
      <w:jc w:val="right"/>
      <w:textAlignment w:val="auto"/>
      <w:rPr>
        <w:b/>
        <w:sz w:val="18"/>
        <w:lang w:val="en-GB" w:eastAsia="en-US"/>
      </w:rPr>
    </w:pPr>
    <w:bookmarkStart w:id="1" w:name="_Hlk503192455"/>
    <w:r w:rsidRPr="00F77D38">
      <w:rPr>
        <w:b/>
        <w:lang w:val="en-GB" w:eastAsia="en-US"/>
      </w:rPr>
      <w:t>INF.1</w:t>
    </w:r>
    <w:bookmarkEnd w:id="1"/>
    <w:r w:rsidRPr="00F77D38">
      <w:rPr>
        <w:b/>
        <w:lang w:val="en-GB" w:eastAsia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A266EA"/>
    <w:multiLevelType w:val="hybridMultilevel"/>
    <w:tmpl w:val="B20AC76A"/>
    <w:lvl w:ilvl="0" w:tplc="EA3CBE22">
      <w:start w:val="1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4A62228"/>
    <w:multiLevelType w:val="hybridMultilevel"/>
    <w:tmpl w:val="38D0ED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252A3"/>
    <w:multiLevelType w:val="hybridMultilevel"/>
    <w:tmpl w:val="00646E5A"/>
    <w:lvl w:ilvl="0" w:tplc="133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6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6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8A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45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4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C702F0"/>
    <w:multiLevelType w:val="hybridMultilevel"/>
    <w:tmpl w:val="82B27154"/>
    <w:lvl w:ilvl="0" w:tplc="D2D48D2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DE"/>
    <w:rsid w:val="0000495B"/>
    <w:rsid w:val="000049F5"/>
    <w:rsid w:val="00006820"/>
    <w:rsid w:val="000143A3"/>
    <w:rsid w:val="00014D4F"/>
    <w:rsid w:val="00016593"/>
    <w:rsid w:val="00026176"/>
    <w:rsid w:val="0003284B"/>
    <w:rsid w:val="00034828"/>
    <w:rsid w:val="0003543D"/>
    <w:rsid w:val="0004134B"/>
    <w:rsid w:val="0004436E"/>
    <w:rsid w:val="00047E84"/>
    <w:rsid w:val="00052E7E"/>
    <w:rsid w:val="000563D5"/>
    <w:rsid w:val="00056B10"/>
    <w:rsid w:val="000610A7"/>
    <w:rsid w:val="000625E5"/>
    <w:rsid w:val="0006293A"/>
    <w:rsid w:val="00072FB1"/>
    <w:rsid w:val="0007424D"/>
    <w:rsid w:val="00076F9A"/>
    <w:rsid w:val="00080275"/>
    <w:rsid w:val="00080F60"/>
    <w:rsid w:val="00090A58"/>
    <w:rsid w:val="0009215A"/>
    <w:rsid w:val="00095D13"/>
    <w:rsid w:val="00097410"/>
    <w:rsid w:val="000A1A85"/>
    <w:rsid w:val="000A324C"/>
    <w:rsid w:val="000A6549"/>
    <w:rsid w:val="000B1F29"/>
    <w:rsid w:val="000B3573"/>
    <w:rsid w:val="000C108A"/>
    <w:rsid w:val="000C4CD0"/>
    <w:rsid w:val="000C6E63"/>
    <w:rsid w:val="000C72ED"/>
    <w:rsid w:val="000C754F"/>
    <w:rsid w:val="000C795B"/>
    <w:rsid w:val="000D3D4C"/>
    <w:rsid w:val="000D4406"/>
    <w:rsid w:val="000D4F22"/>
    <w:rsid w:val="000D5D27"/>
    <w:rsid w:val="000D7FD6"/>
    <w:rsid w:val="000E4620"/>
    <w:rsid w:val="000E4CDE"/>
    <w:rsid w:val="000E6786"/>
    <w:rsid w:val="000F6242"/>
    <w:rsid w:val="000F79E4"/>
    <w:rsid w:val="001013D7"/>
    <w:rsid w:val="00106FC3"/>
    <w:rsid w:val="00113A60"/>
    <w:rsid w:val="00113F54"/>
    <w:rsid w:val="00114102"/>
    <w:rsid w:val="0011545F"/>
    <w:rsid w:val="0011702A"/>
    <w:rsid w:val="0012236C"/>
    <w:rsid w:val="00124B75"/>
    <w:rsid w:val="00126AA9"/>
    <w:rsid w:val="00131CD7"/>
    <w:rsid w:val="0013626E"/>
    <w:rsid w:val="0014242A"/>
    <w:rsid w:val="00143354"/>
    <w:rsid w:val="00144FA5"/>
    <w:rsid w:val="00156782"/>
    <w:rsid w:val="00156903"/>
    <w:rsid w:val="00156ACE"/>
    <w:rsid w:val="001629BE"/>
    <w:rsid w:val="0016790C"/>
    <w:rsid w:val="00171E38"/>
    <w:rsid w:val="001729A2"/>
    <w:rsid w:val="001738C0"/>
    <w:rsid w:val="001739E9"/>
    <w:rsid w:val="00176072"/>
    <w:rsid w:val="0017767A"/>
    <w:rsid w:val="001878DE"/>
    <w:rsid w:val="00190390"/>
    <w:rsid w:val="001A078E"/>
    <w:rsid w:val="001B28F2"/>
    <w:rsid w:val="001B4F22"/>
    <w:rsid w:val="001B7B3E"/>
    <w:rsid w:val="001C0E5C"/>
    <w:rsid w:val="001C1D1B"/>
    <w:rsid w:val="001C269B"/>
    <w:rsid w:val="001C4ED8"/>
    <w:rsid w:val="001C67C4"/>
    <w:rsid w:val="001D1B0A"/>
    <w:rsid w:val="001E4D07"/>
    <w:rsid w:val="001F6ABC"/>
    <w:rsid w:val="0020240A"/>
    <w:rsid w:val="00202E6D"/>
    <w:rsid w:val="0020431D"/>
    <w:rsid w:val="00205465"/>
    <w:rsid w:val="002132D2"/>
    <w:rsid w:val="00223DF9"/>
    <w:rsid w:val="002265F5"/>
    <w:rsid w:val="0023023E"/>
    <w:rsid w:val="0023288F"/>
    <w:rsid w:val="00235B56"/>
    <w:rsid w:val="00240203"/>
    <w:rsid w:val="002412CD"/>
    <w:rsid w:val="002431F2"/>
    <w:rsid w:val="0024675B"/>
    <w:rsid w:val="002473E1"/>
    <w:rsid w:val="00250138"/>
    <w:rsid w:val="00250FDB"/>
    <w:rsid w:val="00255192"/>
    <w:rsid w:val="00257C39"/>
    <w:rsid w:val="00272277"/>
    <w:rsid w:val="0027414F"/>
    <w:rsid w:val="00283323"/>
    <w:rsid w:val="00291CB3"/>
    <w:rsid w:val="00296C76"/>
    <w:rsid w:val="00297787"/>
    <w:rsid w:val="002A0C52"/>
    <w:rsid w:val="002A337E"/>
    <w:rsid w:val="002A53A6"/>
    <w:rsid w:val="002B6697"/>
    <w:rsid w:val="002C0469"/>
    <w:rsid w:val="002D1BFB"/>
    <w:rsid w:val="002E3745"/>
    <w:rsid w:val="002E6A16"/>
    <w:rsid w:val="002E7227"/>
    <w:rsid w:val="002F4FC6"/>
    <w:rsid w:val="003033DD"/>
    <w:rsid w:val="00303FF8"/>
    <w:rsid w:val="00305CDB"/>
    <w:rsid w:val="00316D5A"/>
    <w:rsid w:val="0032045B"/>
    <w:rsid w:val="00322637"/>
    <w:rsid w:val="003233C8"/>
    <w:rsid w:val="00324B71"/>
    <w:rsid w:val="00325D76"/>
    <w:rsid w:val="00326B14"/>
    <w:rsid w:val="00326DE9"/>
    <w:rsid w:val="003307BA"/>
    <w:rsid w:val="003317A7"/>
    <w:rsid w:val="003362E9"/>
    <w:rsid w:val="00337284"/>
    <w:rsid w:val="003439FC"/>
    <w:rsid w:val="00344C19"/>
    <w:rsid w:val="00357412"/>
    <w:rsid w:val="00361725"/>
    <w:rsid w:val="00364E68"/>
    <w:rsid w:val="003702C7"/>
    <w:rsid w:val="00370BB8"/>
    <w:rsid w:val="00377CE8"/>
    <w:rsid w:val="00381E82"/>
    <w:rsid w:val="0038428F"/>
    <w:rsid w:val="00387545"/>
    <w:rsid w:val="003931FE"/>
    <w:rsid w:val="00394C7F"/>
    <w:rsid w:val="00397E52"/>
    <w:rsid w:val="003A2337"/>
    <w:rsid w:val="003A3C57"/>
    <w:rsid w:val="003B0DF4"/>
    <w:rsid w:val="003B23DA"/>
    <w:rsid w:val="003B3484"/>
    <w:rsid w:val="003C61C4"/>
    <w:rsid w:val="003D3605"/>
    <w:rsid w:val="003E6E61"/>
    <w:rsid w:val="003F4348"/>
    <w:rsid w:val="00400ADD"/>
    <w:rsid w:val="00401179"/>
    <w:rsid w:val="00401DA8"/>
    <w:rsid w:val="00406965"/>
    <w:rsid w:val="004077BF"/>
    <w:rsid w:val="00410285"/>
    <w:rsid w:val="00415DCE"/>
    <w:rsid w:val="004176F9"/>
    <w:rsid w:val="00422321"/>
    <w:rsid w:val="00427609"/>
    <w:rsid w:val="00427804"/>
    <w:rsid w:val="00430CD0"/>
    <w:rsid w:val="00432779"/>
    <w:rsid w:val="00436386"/>
    <w:rsid w:val="00446085"/>
    <w:rsid w:val="00466FB5"/>
    <w:rsid w:val="00472198"/>
    <w:rsid w:val="00476E9E"/>
    <w:rsid w:val="004819A4"/>
    <w:rsid w:val="0048292C"/>
    <w:rsid w:val="004836F9"/>
    <w:rsid w:val="004847DC"/>
    <w:rsid w:val="00485BB7"/>
    <w:rsid w:val="00490887"/>
    <w:rsid w:val="00492FA6"/>
    <w:rsid w:val="004937B0"/>
    <w:rsid w:val="0049746A"/>
    <w:rsid w:val="004A0752"/>
    <w:rsid w:val="004A3FE7"/>
    <w:rsid w:val="004A46B8"/>
    <w:rsid w:val="004B0D93"/>
    <w:rsid w:val="004B7EA6"/>
    <w:rsid w:val="004C18DE"/>
    <w:rsid w:val="004C6017"/>
    <w:rsid w:val="004D4CA5"/>
    <w:rsid w:val="004D4E53"/>
    <w:rsid w:val="004E622A"/>
    <w:rsid w:val="004F4DE3"/>
    <w:rsid w:val="004F5608"/>
    <w:rsid w:val="00506BFE"/>
    <w:rsid w:val="0051476B"/>
    <w:rsid w:val="00516067"/>
    <w:rsid w:val="00516CD1"/>
    <w:rsid w:val="005173C9"/>
    <w:rsid w:val="00534340"/>
    <w:rsid w:val="005368C4"/>
    <w:rsid w:val="00540683"/>
    <w:rsid w:val="00546FC1"/>
    <w:rsid w:val="00550E70"/>
    <w:rsid w:val="005533B4"/>
    <w:rsid w:val="005533C3"/>
    <w:rsid w:val="00561447"/>
    <w:rsid w:val="005632F5"/>
    <w:rsid w:val="0056605A"/>
    <w:rsid w:val="00573D3E"/>
    <w:rsid w:val="00573FC4"/>
    <w:rsid w:val="00574986"/>
    <w:rsid w:val="0057786D"/>
    <w:rsid w:val="00581D44"/>
    <w:rsid w:val="00582B60"/>
    <w:rsid w:val="00583496"/>
    <w:rsid w:val="00585999"/>
    <w:rsid w:val="00586819"/>
    <w:rsid w:val="0058753C"/>
    <w:rsid w:val="00591A7D"/>
    <w:rsid w:val="005926B2"/>
    <w:rsid w:val="00593E26"/>
    <w:rsid w:val="00595C5C"/>
    <w:rsid w:val="00596953"/>
    <w:rsid w:val="005A1A44"/>
    <w:rsid w:val="005A5B6A"/>
    <w:rsid w:val="005B6280"/>
    <w:rsid w:val="005C1940"/>
    <w:rsid w:val="005C558D"/>
    <w:rsid w:val="005C7246"/>
    <w:rsid w:val="005D3B31"/>
    <w:rsid w:val="005D7CBC"/>
    <w:rsid w:val="005E1804"/>
    <w:rsid w:val="005E5104"/>
    <w:rsid w:val="005E5EF7"/>
    <w:rsid w:val="005F26AD"/>
    <w:rsid w:val="005F5118"/>
    <w:rsid w:val="005F58DF"/>
    <w:rsid w:val="0060269E"/>
    <w:rsid w:val="006047AC"/>
    <w:rsid w:val="00607B11"/>
    <w:rsid w:val="006111A3"/>
    <w:rsid w:val="00611C20"/>
    <w:rsid w:val="0061668A"/>
    <w:rsid w:val="00620982"/>
    <w:rsid w:val="006256AF"/>
    <w:rsid w:val="00626C86"/>
    <w:rsid w:val="00630422"/>
    <w:rsid w:val="0063444B"/>
    <w:rsid w:val="00637818"/>
    <w:rsid w:val="00642215"/>
    <w:rsid w:val="00643AEA"/>
    <w:rsid w:val="00651386"/>
    <w:rsid w:val="006518A3"/>
    <w:rsid w:val="00661FED"/>
    <w:rsid w:val="0066280E"/>
    <w:rsid w:val="0066312D"/>
    <w:rsid w:val="00666284"/>
    <w:rsid w:val="00670028"/>
    <w:rsid w:val="006803BD"/>
    <w:rsid w:val="0068608E"/>
    <w:rsid w:val="00690A5F"/>
    <w:rsid w:val="0069164E"/>
    <w:rsid w:val="006924C5"/>
    <w:rsid w:val="006970A1"/>
    <w:rsid w:val="006A0959"/>
    <w:rsid w:val="006A507B"/>
    <w:rsid w:val="006A73AD"/>
    <w:rsid w:val="006A7F94"/>
    <w:rsid w:val="006B57B7"/>
    <w:rsid w:val="006B5B8A"/>
    <w:rsid w:val="006B6FC7"/>
    <w:rsid w:val="006B7C55"/>
    <w:rsid w:val="006D1972"/>
    <w:rsid w:val="006D6409"/>
    <w:rsid w:val="006D78CA"/>
    <w:rsid w:val="006E1542"/>
    <w:rsid w:val="006E27AB"/>
    <w:rsid w:val="006E498C"/>
    <w:rsid w:val="006F2F6A"/>
    <w:rsid w:val="006F3C42"/>
    <w:rsid w:val="00702BE6"/>
    <w:rsid w:val="00703329"/>
    <w:rsid w:val="00706883"/>
    <w:rsid w:val="007151F5"/>
    <w:rsid w:val="007225A1"/>
    <w:rsid w:val="00722623"/>
    <w:rsid w:val="00730533"/>
    <w:rsid w:val="00742BD3"/>
    <w:rsid w:val="00751575"/>
    <w:rsid w:val="00753690"/>
    <w:rsid w:val="00754516"/>
    <w:rsid w:val="0075583E"/>
    <w:rsid w:val="0076007D"/>
    <w:rsid w:val="00760FB2"/>
    <w:rsid w:val="007652AB"/>
    <w:rsid w:val="007705CB"/>
    <w:rsid w:val="00773B7E"/>
    <w:rsid w:val="007877DE"/>
    <w:rsid w:val="0079124E"/>
    <w:rsid w:val="00792E94"/>
    <w:rsid w:val="007A07B3"/>
    <w:rsid w:val="007A19A7"/>
    <w:rsid w:val="007A584D"/>
    <w:rsid w:val="007B5D5A"/>
    <w:rsid w:val="007C1AA7"/>
    <w:rsid w:val="007C4E98"/>
    <w:rsid w:val="007D1EF9"/>
    <w:rsid w:val="007D2FA0"/>
    <w:rsid w:val="007D6265"/>
    <w:rsid w:val="007D716D"/>
    <w:rsid w:val="007E6863"/>
    <w:rsid w:val="007E7F2A"/>
    <w:rsid w:val="007F7716"/>
    <w:rsid w:val="00805AEB"/>
    <w:rsid w:val="0080725B"/>
    <w:rsid w:val="00810504"/>
    <w:rsid w:val="0081450F"/>
    <w:rsid w:val="00826787"/>
    <w:rsid w:val="00834438"/>
    <w:rsid w:val="00835551"/>
    <w:rsid w:val="00837FB8"/>
    <w:rsid w:val="00841328"/>
    <w:rsid w:val="00852474"/>
    <w:rsid w:val="00852BEF"/>
    <w:rsid w:val="00854209"/>
    <w:rsid w:val="0086213F"/>
    <w:rsid w:val="0086267A"/>
    <w:rsid w:val="0086477D"/>
    <w:rsid w:val="00876F50"/>
    <w:rsid w:val="008808AA"/>
    <w:rsid w:val="008864F8"/>
    <w:rsid w:val="00894221"/>
    <w:rsid w:val="00896081"/>
    <w:rsid w:val="008967B7"/>
    <w:rsid w:val="008A16E9"/>
    <w:rsid w:val="008A683C"/>
    <w:rsid w:val="008B1B69"/>
    <w:rsid w:val="008B2D55"/>
    <w:rsid w:val="008B3106"/>
    <w:rsid w:val="008B5544"/>
    <w:rsid w:val="008B7C4B"/>
    <w:rsid w:val="008C14D8"/>
    <w:rsid w:val="008C3113"/>
    <w:rsid w:val="008D3CEC"/>
    <w:rsid w:val="008E6069"/>
    <w:rsid w:val="008E6B36"/>
    <w:rsid w:val="008F4B57"/>
    <w:rsid w:val="00903D48"/>
    <w:rsid w:val="009067D0"/>
    <w:rsid w:val="0090748A"/>
    <w:rsid w:val="009102B8"/>
    <w:rsid w:val="00912A46"/>
    <w:rsid w:val="00935C84"/>
    <w:rsid w:val="009368FE"/>
    <w:rsid w:val="009422FA"/>
    <w:rsid w:val="009440DC"/>
    <w:rsid w:val="0094733D"/>
    <w:rsid w:val="00953866"/>
    <w:rsid w:val="00956D0E"/>
    <w:rsid w:val="00962147"/>
    <w:rsid w:val="00962E31"/>
    <w:rsid w:val="00965DC5"/>
    <w:rsid w:val="00966C68"/>
    <w:rsid w:val="00966CE6"/>
    <w:rsid w:val="00975B09"/>
    <w:rsid w:val="009771C0"/>
    <w:rsid w:val="009777E8"/>
    <w:rsid w:val="0098158C"/>
    <w:rsid w:val="00981925"/>
    <w:rsid w:val="0099031A"/>
    <w:rsid w:val="00991BA0"/>
    <w:rsid w:val="009A4FC8"/>
    <w:rsid w:val="009A5296"/>
    <w:rsid w:val="009C79C4"/>
    <w:rsid w:val="009E281C"/>
    <w:rsid w:val="009E3EBD"/>
    <w:rsid w:val="009E795B"/>
    <w:rsid w:val="009F0973"/>
    <w:rsid w:val="009F2DD9"/>
    <w:rsid w:val="00A005D6"/>
    <w:rsid w:val="00A03892"/>
    <w:rsid w:val="00A0723D"/>
    <w:rsid w:val="00A1389E"/>
    <w:rsid w:val="00A13C90"/>
    <w:rsid w:val="00A17F67"/>
    <w:rsid w:val="00A21A7D"/>
    <w:rsid w:val="00A2645D"/>
    <w:rsid w:val="00A27409"/>
    <w:rsid w:val="00A410D7"/>
    <w:rsid w:val="00A44AF1"/>
    <w:rsid w:val="00A57CE8"/>
    <w:rsid w:val="00A61472"/>
    <w:rsid w:val="00A62126"/>
    <w:rsid w:val="00A71FAE"/>
    <w:rsid w:val="00A72CE1"/>
    <w:rsid w:val="00A74215"/>
    <w:rsid w:val="00A7621C"/>
    <w:rsid w:val="00A77993"/>
    <w:rsid w:val="00A77C4E"/>
    <w:rsid w:val="00A81D2D"/>
    <w:rsid w:val="00A849B8"/>
    <w:rsid w:val="00A917C1"/>
    <w:rsid w:val="00A92623"/>
    <w:rsid w:val="00A94B80"/>
    <w:rsid w:val="00AA0D24"/>
    <w:rsid w:val="00AA3039"/>
    <w:rsid w:val="00AB23F2"/>
    <w:rsid w:val="00AB590E"/>
    <w:rsid w:val="00AB6055"/>
    <w:rsid w:val="00AC0F57"/>
    <w:rsid w:val="00AC1577"/>
    <w:rsid w:val="00AC3059"/>
    <w:rsid w:val="00AD14D7"/>
    <w:rsid w:val="00AD27B5"/>
    <w:rsid w:val="00AD68F2"/>
    <w:rsid w:val="00AD69C2"/>
    <w:rsid w:val="00AE33A1"/>
    <w:rsid w:val="00AE50D2"/>
    <w:rsid w:val="00AE73A7"/>
    <w:rsid w:val="00AE7E9E"/>
    <w:rsid w:val="00AF7DC9"/>
    <w:rsid w:val="00B02145"/>
    <w:rsid w:val="00B041A6"/>
    <w:rsid w:val="00B12922"/>
    <w:rsid w:val="00B12D49"/>
    <w:rsid w:val="00B17A75"/>
    <w:rsid w:val="00B2269A"/>
    <w:rsid w:val="00B239F4"/>
    <w:rsid w:val="00B26810"/>
    <w:rsid w:val="00B30626"/>
    <w:rsid w:val="00B3234B"/>
    <w:rsid w:val="00B3498B"/>
    <w:rsid w:val="00B40836"/>
    <w:rsid w:val="00B45122"/>
    <w:rsid w:val="00B4533C"/>
    <w:rsid w:val="00B54C7A"/>
    <w:rsid w:val="00B5558F"/>
    <w:rsid w:val="00B71545"/>
    <w:rsid w:val="00B737F6"/>
    <w:rsid w:val="00B7779D"/>
    <w:rsid w:val="00B83CEA"/>
    <w:rsid w:val="00B8463B"/>
    <w:rsid w:val="00B86696"/>
    <w:rsid w:val="00B87AB9"/>
    <w:rsid w:val="00B9072B"/>
    <w:rsid w:val="00B92BF7"/>
    <w:rsid w:val="00B9368D"/>
    <w:rsid w:val="00B940F8"/>
    <w:rsid w:val="00B9413E"/>
    <w:rsid w:val="00B96767"/>
    <w:rsid w:val="00B979A8"/>
    <w:rsid w:val="00BA358B"/>
    <w:rsid w:val="00BA514E"/>
    <w:rsid w:val="00BA6693"/>
    <w:rsid w:val="00BB0A40"/>
    <w:rsid w:val="00BB1891"/>
    <w:rsid w:val="00BB5724"/>
    <w:rsid w:val="00BC224B"/>
    <w:rsid w:val="00BD6076"/>
    <w:rsid w:val="00BD77CE"/>
    <w:rsid w:val="00BF5ADB"/>
    <w:rsid w:val="00BF6A72"/>
    <w:rsid w:val="00BF7D16"/>
    <w:rsid w:val="00C01D3D"/>
    <w:rsid w:val="00C05CED"/>
    <w:rsid w:val="00C05E4C"/>
    <w:rsid w:val="00C1260A"/>
    <w:rsid w:val="00C161A1"/>
    <w:rsid w:val="00C16233"/>
    <w:rsid w:val="00C24FA8"/>
    <w:rsid w:val="00C27690"/>
    <w:rsid w:val="00C32E06"/>
    <w:rsid w:val="00C4703A"/>
    <w:rsid w:val="00C509C1"/>
    <w:rsid w:val="00C532C5"/>
    <w:rsid w:val="00C56C4E"/>
    <w:rsid w:val="00C64A71"/>
    <w:rsid w:val="00C674A9"/>
    <w:rsid w:val="00C7003A"/>
    <w:rsid w:val="00C72A39"/>
    <w:rsid w:val="00C75E20"/>
    <w:rsid w:val="00C82985"/>
    <w:rsid w:val="00C8580F"/>
    <w:rsid w:val="00C90787"/>
    <w:rsid w:val="00C93A09"/>
    <w:rsid w:val="00C945EC"/>
    <w:rsid w:val="00C95218"/>
    <w:rsid w:val="00CA2B03"/>
    <w:rsid w:val="00CA71CC"/>
    <w:rsid w:val="00CB17EE"/>
    <w:rsid w:val="00CB257D"/>
    <w:rsid w:val="00CC2417"/>
    <w:rsid w:val="00CC546D"/>
    <w:rsid w:val="00CC62F9"/>
    <w:rsid w:val="00CD654F"/>
    <w:rsid w:val="00CD7A4F"/>
    <w:rsid w:val="00CE1F32"/>
    <w:rsid w:val="00CE77BC"/>
    <w:rsid w:val="00CF2359"/>
    <w:rsid w:val="00CF3E33"/>
    <w:rsid w:val="00CF645B"/>
    <w:rsid w:val="00D011F5"/>
    <w:rsid w:val="00D03FC5"/>
    <w:rsid w:val="00D04647"/>
    <w:rsid w:val="00D064E0"/>
    <w:rsid w:val="00D12BE4"/>
    <w:rsid w:val="00D12EA3"/>
    <w:rsid w:val="00D169DA"/>
    <w:rsid w:val="00D16A29"/>
    <w:rsid w:val="00D17E23"/>
    <w:rsid w:val="00D230F7"/>
    <w:rsid w:val="00D2514D"/>
    <w:rsid w:val="00D33B77"/>
    <w:rsid w:val="00D35074"/>
    <w:rsid w:val="00D352B4"/>
    <w:rsid w:val="00D4056A"/>
    <w:rsid w:val="00D52AF0"/>
    <w:rsid w:val="00D52F95"/>
    <w:rsid w:val="00D6320C"/>
    <w:rsid w:val="00D65991"/>
    <w:rsid w:val="00D7150D"/>
    <w:rsid w:val="00D7156C"/>
    <w:rsid w:val="00D80CB1"/>
    <w:rsid w:val="00D83F2A"/>
    <w:rsid w:val="00D8467E"/>
    <w:rsid w:val="00D84987"/>
    <w:rsid w:val="00D92E0F"/>
    <w:rsid w:val="00D9723D"/>
    <w:rsid w:val="00D97C9F"/>
    <w:rsid w:val="00DA1F54"/>
    <w:rsid w:val="00DA28E2"/>
    <w:rsid w:val="00DA312C"/>
    <w:rsid w:val="00DA3AF6"/>
    <w:rsid w:val="00DA54C3"/>
    <w:rsid w:val="00DB57E7"/>
    <w:rsid w:val="00DC66D9"/>
    <w:rsid w:val="00DF02ED"/>
    <w:rsid w:val="00DF426C"/>
    <w:rsid w:val="00E053BA"/>
    <w:rsid w:val="00E064BD"/>
    <w:rsid w:val="00E1103A"/>
    <w:rsid w:val="00E14568"/>
    <w:rsid w:val="00E22556"/>
    <w:rsid w:val="00E2343F"/>
    <w:rsid w:val="00E236E5"/>
    <w:rsid w:val="00E240AE"/>
    <w:rsid w:val="00E30C9D"/>
    <w:rsid w:val="00E31826"/>
    <w:rsid w:val="00E3548D"/>
    <w:rsid w:val="00E40062"/>
    <w:rsid w:val="00E45BA1"/>
    <w:rsid w:val="00E510E9"/>
    <w:rsid w:val="00E521C8"/>
    <w:rsid w:val="00E54A29"/>
    <w:rsid w:val="00E568C0"/>
    <w:rsid w:val="00E619C6"/>
    <w:rsid w:val="00E626D1"/>
    <w:rsid w:val="00E66171"/>
    <w:rsid w:val="00E7153C"/>
    <w:rsid w:val="00E71A53"/>
    <w:rsid w:val="00E75433"/>
    <w:rsid w:val="00E75440"/>
    <w:rsid w:val="00E7548D"/>
    <w:rsid w:val="00E77B16"/>
    <w:rsid w:val="00E804E2"/>
    <w:rsid w:val="00E8265B"/>
    <w:rsid w:val="00E82CF7"/>
    <w:rsid w:val="00E82F3B"/>
    <w:rsid w:val="00E8511E"/>
    <w:rsid w:val="00E8770E"/>
    <w:rsid w:val="00E93819"/>
    <w:rsid w:val="00EA0422"/>
    <w:rsid w:val="00EA2C25"/>
    <w:rsid w:val="00EA7A70"/>
    <w:rsid w:val="00EB4ADF"/>
    <w:rsid w:val="00EB4D3D"/>
    <w:rsid w:val="00EC26DD"/>
    <w:rsid w:val="00EC5B0D"/>
    <w:rsid w:val="00EC7F49"/>
    <w:rsid w:val="00ED281E"/>
    <w:rsid w:val="00ED49D7"/>
    <w:rsid w:val="00ED557F"/>
    <w:rsid w:val="00EE4226"/>
    <w:rsid w:val="00EE457F"/>
    <w:rsid w:val="00EE5CAB"/>
    <w:rsid w:val="00EF00ED"/>
    <w:rsid w:val="00EF022A"/>
    <w:rsid w:val="00EF7231"/>
    <w:rsid w:val="00F04331"/>
    <w:rsid w:val="00F07812"/>
    <w:rsid w:val="00F10D47"/>
    <w:rsid w:val="00F12E99"/>
    <w:rsid w:val="00F1470A"/>
    <w:rsid w:val="00F21C81"/>
    <w:rsid w:val="00F265D6"/>
    <w:rsid w:val="00F27173"/>
    <w:rsid w:val="00F31FEF"/>
    <w:rsid w:val="00F330E1"/>
    <w:rsid w:val="00F42DC0"/>
    <w:rsid w:val="00F45EF2"/>
    <w:rsid w:val="00F4792F"/>
    <w:rsid w:val="00F524CA"/>
    <w:rsid w:val="00F52E19"/>
    <w:rsid w:val="00F53223"/>
    <w:rsid w:val="00F54B5E"/>
    <w:rsid w:val="00F55DD3"/>
    <w:rsid w:val="00F607DC"/>
    <w:rsid w:val="00F64C6F"/>
    <w:rsid w:val="00F64FD3"/>
    <w:rsid w:val="00F70B1D"/>
    <w:rsid w:val="00F70D98"/>
    <w:rsid w:val="00F736DE"/>
    <w:rsid w:val="00F73A99"/>
    <w:rsid w:val="00F74646"/>
    <w:rsid w:val="00F773EC"/>
    <w:rsid w:val="00F77D38"/>
    <w:rsid w:val="00F801E0"/>
    <w:rsid w:val="00F81F4E"/>
    <w:rsid w:val="00F8608C"/>
    <w:rsid w:val="00F87B83"/>
    <w:rsid w:val="00F9095C"/>
    <w:rsid w:val="00F92AB9"/>
    <w:rsid w:val="00F92BF9"/>
    <w:rsid w:val="00F93402"/>
    <w:rsid w:val="00F93FBD"/>
    <w:rsid w:val="00F95223"/>
    <w:rsid w:val="00FA532B"/>
    <w:rsid w:val="00FA712F"/>
    <w:rsid w:val="00FA7DE6"/>
    <w:rsid w:val="00FB305A"/>
    <w:rsid w:val="00FC032F"/>
    <w:rsid w:val="00FC2D7D"/>
    <w:rsid w:val="00FC5E77"/>
    <w:rsid w:val="00FD17D7"/>
    <w:rsid w:val="00FD3DEA"/>
    <w:rsid w:val="00FD4BC8"/>
    <w:rsid w:val="00FD4DF7"/>
    <w:rsid w:val="00FE2EF4"/>
    <w:rsid w:val="00FE78E8"/>
    <w:rsid w:val="00FE7C92"/>
    <w:rsid w:val="00FF3208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D069D14E-5CCA-497D-B87A-0DB171B4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6D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19A7"/>
  </w:style>
  <w:style w:type="character" w:customStyle="1" w:styleId="CommentTextChar">
    <w:name w:val="Comment Text Char"/>
    <w:basedOn w:val="DefaultParagraphFont"/>
    <w:link w:val="CommentText"/>
    <w:uiPriority w:val="99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aliases w:val="3_G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3_G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basedOn w:val="Normal"/>
    <w:link w:val="FootnoteTextChar"/>
    <w:rsid w:val="00596953"/>
  </w:style>
  <w:style w:type="character" w:customStyle="1" w:styleId="FootnoteTextChar">
    <w:name w:val="Footnote Text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SingleTxtG">
    <w:name w:val="_ Single Txt_G"/>
    <w:basedOn w:val="Normal"/>
    <w:link w:val="SingleTxtGChar"/>
    <w:qFormat/>
    <w:rsid w:val="0075583E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 w:eastAsia="en-US"/>
    </w:rPr>
  </w:style>
  <w:style w:type="character" w:customStyle="1" w:styleId="SingleTxtGChar">
    <w:name w:val="_ Single Txt_G Char"/>
    <w:link w:val="SingleTxtG"/>
    <w:qFormat/>
    <w:rsid w:val="0075583E"/>
    <w:rPr>
      <w:lang w:val="en-GB" w:eastAsia="en-US"/>
    </w:rPr>
  </w:style>
  <w:style w:type="table" w:customStyle="1" w:styleId="Grilledutableau6">
    <w:name w:val="Grille du tableau6"/>
    <w:basedOn w:val="TableNormal"/>
    <w:uiPriority w:val="59"/>
    <w:rsid w:val="00F93FBD"/>
    <w:rPr>
      <w:rFonts w:ascii="Arial" w:eastAsia="Calibri" w:hAnsi="Arial"/>
      <w:szCs w:val="24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E4E3-A289-42CC-B1E2-BC962D2A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BMVBS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Lucille Caillot</cp:lastModifiedBy>
  <cp:revision>9</cp:revision>
  <cp:lastPrinted>2018-01-12T13:35:00Z</cp:lastPrinted>
  <dcterms:created xsi:type="dcterms:W3CDTF">2018-01-12T16:17:00Z</dcterms:created>
  <dcterms:modified xsi:type="dcterms:W3CDTF">2018-01-15T13:20:00Z</dcterms:modified>
</cp:coreProperties>
</file>