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rsidRPr="00985124">
        <w:trPr>
          <w:cantSplit/>
          <w:trHeight w:hRule="exact" w:val="851"/>
        </w:trPr>
        <w:tc>
          <w:tcPr>
            <w:tcW w:w="1276" w:type="dxa"/>
            <w:tcBorders>
              <w:bottom w:val="single" w:sz="4" w:space="0" w:color="auto"/>
            </w:tcBorders>
            <w:vAlign w:val="bottom"/>
          </w:tcPr>
          <w:p w:rsidR="002D0E0E" w:rsidRDefault="002D0E0E" w:rsidP="007A3C01">
            <w:pPr>
              <w:pBdr>
                <w:bottom w:val="single" w:sz="4" w:space="4" w:color="auto"/>
              </w:pBdr>
              <w:rPr>
                <w:sz w:val="24"/>
                <w:szCs w:val="24"/>
              </w:rPr>
            </w:pPr>
          </w:p>
          <w:p w:rsidR="00E06A5F" w:rsidRDefault="00E06A5F" w:rsidP="007A3C01">
            <w:pPr>
              <w:pBdr>
                <w:bottom w:val="single" w:sz="4" w:space="4" w:color="auto"/>
              </w:pBdr>
              <w:rPr>
                <w:sz w:val="24"/>
                <w:szCs w:val="24"/>
              </w:rPr>
            </w:pPr>
          </w:p>
          <w:p w:rsidR="00E06A5F" w:rsidRDefault="00E06A5F" w:rsidP="007A3C01">
            <w:pPr>
              <w:pBdr>
                <w:bottom w:val="single" w:sz="4" w:space="4" w:color="auto"/>
              </w:pBdr>
              <w:rPr>
                <w:sz w:val="24"/>
                <w:szCs w:val="24"/>
              </w:rPr>
            </w:pPr>
          </w:p>
          <w:p w:rsidR="00E06A5F" w:rsidRPr="00985124" w:rsidRDefault="00E06A5F" w:rsidP="007A3C01">
            <w:pPr>
              <w:pBdr>
                <w:bottom w:val="single" w:sz="4" w:space="4" w:color="auto"/>
              </w:pBdr>
              <w:rPr>
                <w:sz w:val="24"/>
                <w:szCs w:val="24"/>
              </w:rPr>
            </w:pPr>
          </w:p>
        </w:tc>
        <w:tc>
          <w:tcPr>
            <w:tcW w:w="8363" w:type="dxa"/>
            <w:gridSpan w:val="2"/>
            <w:tcBorders>
              <w:bottom w:val="single" w:sz="4" w:space="0" w:color="auto"/>
            </w:tcBorders>
            <w:vAlign w:val="bottom"/>
          </w:tcPr>
          <w:p w:rsidR="002D0E0E" w:rsidRPr="00985124" w:rsidRDefault="00436478" w:rsidP="002C3499">
            <w:pPr>
              <w:ind w:left="6662"/>
              <w:rPr>
                <w:sz w:val="24"/>
                <w:szCs w:val="24"/>
              </w:rPr>
            </w:pPr>
            <w:r w:rsidRPr="00436478">
              <w:rPr>
                <w:b/>
                <w:sz w:val="40"/>
                <w:szCs w:val="40"/>
              </w:rPr>
              <w:t>INF.</w:t>
            </w:r>
            <w:r w:rsidR="00E9253A">
              <w:rPr>
                <w:b/>
                <w:sz w:val="40"/>
                <w:szCs w:val="40"/>
              </w:rPr>
              <w:t>14</w:t>
            </w:r>
          </w:p>
        </w:tc>
      </w:tr>
      <w:tr w:rsidR="00950D17" w:rsidRPr="00985124" w:rsidTr="00E9253A">
        <w:trPr>
          <w:cantSplit/>
          <w:trHeight w:hRule="exact" w:val="3838"/>
        </w:trPr>
        <w:tc>
          <w:tcPr>
            <w:tcW w:w="6804" w:type="dxa"/>
            <w:gridSpan w:val="2"/>
            <w:tcBorders>
              <w:top w:val="single" w:sz="4" w:space="0" w:color="auto"/>
              <w:bottom w:val="single" w:sz="12" w:space="0" w:color="auto"/>
            </w:tcBorders>
          </w:tcPr>
          <w:p w:rsidR="00950D17" w:rsidRPr="00F8267A" w:rsidRDefault="00950D17" w:rsidP="00950D17">
            <w:pPr>
              <w:spacing w:before="120" w:after="120"/>
              <w:rPr>
                <w:b/>
                <w:sz w:val="28"/>
                <w:szCs w:val="28"/>
              </w:rPr>
            </w:pPr>
            <w:r w:rsidRPr="00F8267A">
              <w:rPr>
                <w:b/>
                <w:sz w:val="28"/>
                <w:szCs w:val="28"/>
              </w:rPr>
              <w:t>Economic Commission for Europe</w:t>
            </w:r>
          </w:p>
          <w:p w:rsidR="00950D17" w:rsidRPr="00F8267A" w:rsidRDefault="00950D17" w:rsidP="00950D17">
            <w:pPr>
              <w:spacing w:before="120"/>
              <w:rPr>
                <w:sz w:val="28"/>
                <w:szCs w:val="28"/>
              </w:rPr>
            </w:pPr>
            <w:r w:rsidRPr="00F8267A">
              <w:rPr>
                <w:sz w:val="28"/>
                <w:szCs w:val="28"/>
              </w:rPr>
              <w:t>Inland Transport Committee</w:t>
            </w:r>
          </w:p>
          <w:p w:rsidR="00950D17" w:rsidRPr="00F8267A" w:rsidRDefault="00950D17" w:rsidP="00950D17">
            <w:pPr>
              <w:spacing w:before="120"/>
              <w:rPr>
                <w:b/>
              </w:rPr>
            </w:pPr>
            <w:r w:rsidRPr="00F8267A">
              <w:rPr>
                <w:b/>
              </w:rPr>
              <w:t>Working Party on the Transport of Dangerous Goods</w:t>
            </w:r>
          </w:p>
          <w:p w:rsidR="00950D17" w:rsidRPr="00F8267A" w:rsidRDefault="00950D17" w:rsidP="00950D17">
            <w:pPr>
              <w:spacing w:before="120"/>
              <w:rPr>
                <w:b/>
              </w:rPr>
            </w:pPr>
            <w:r w:rsidRPr="00F8267A">
              <w:rPr>
                <w:b/>
              </w:rPr>
              <w:t>Joint Meeting of Experts on the Regulations annexed to the</w:t>
            </w:r>
            <w:r w:rsidRPr="00F8267A">
              <w:rPr>
                <w:b/>
              </w:rPr>
              <w:br/>
              <w:t>European Agreement concerning the International Carriage</w:t>
            </w:r>
            <w:r w:rsidRPr="00F8267A">
              <w:rPr>
                <w:b/>
              </w:rPr>
              <w:br/>
              <w:t>of Dangerous Goods by Inland Waterways (ADN)</w:t>
            </w:r>
            <w:r w:rsidRPr="00F8267A">
              <w:rPr>
                <w:b/>
              </w:rPr>
              <w:br/>
              <w:t>(ADN Safety Committee)</w:t>
            </w:r>
          </w:p>
          <w:p w:rsidR="00950D17" w:rsidRPr="00CE311E" w:rsidRDefault="00950D17" w:rsidP="00950D17">
            <w:pPr>
              <w:spacing w:before="120"/>
              <w:rPr>
                <w:b/>
              </w:rPr>
            </w:pPr>
            <w:r w:rsidRPr="00CE311E">
              <w:rPr>
                <w:b/>
              </w:rPr>
              <w:t>T</w:t>
            </w:r>
            <w:r w:rsidR="00373E65">
              <w:rPr>
                <w:b/>
              </w:rPr>
              <w:t>hirty-</w:t>
            </w:r>
            <w:r w:rsidR="001A603B">
              <w:rPr>
                <w:b/>
              </w:rPr>
              <w:t>second</w:t>
            </w:r>
            <w:r w:rsidRPr="00CE311E">
              <w:rPr>
                <w:b/>
              </w:rPr>
              <w:t xml:space="preserve"> session</w:t>
            </w:r>
          </w:p>
          <w:p w:rsidR="00950D17" w:rsidRPr="00F8267A" w:rsidRDefault="00950D17" w:rsidP="00950D17">
            <w:r w:rsidRPr="00CE311E">
              <w:t>Geneva, 2</w:t>
            </w:r>
            <w:r w:rsidR="00373E65">
              <w:t>2</w:t>
            </w:r>
            <w:r w:rsidRPr="00CE311E">
              <w:t xml:space="preserve"> - </w:t>
            </w:r>
            <w:r w:rsidR="00D165EC">
              <w:t>26</w:t>
            </w:r>
            <w:bookmarkStart w:id="0" w:name="_GoBack"/>
            <w:bookmarkEnd w:id="0"/>
            <w:r w:rsidR="00373E65">
              <w:t xml:space="preserve"> January 2018</w:t>
            </w:r>
            <w:r w:rsidRPr="00CE311E">
              <w:br/>
              <w:t xml:space="preserve">Item </w:t>
            </w:r>
            <w:r w:rsidR="00F44A3D">
              <w:t>5 (b</w:t>
            </w:r>
            <w:r w:rsidR="00E9253A">
              <w:t>)</w:t>
            </w:r>
            <w:r w:rsidRPr="00CE311E">
              <w:t xml:space="preserve"> of the provisional agenda</w:t>
            </w:r>
          </w:p>
          <w:p w:rsidR="00950D17" w:rsidRPr="00F8267A" w:rsidRDefault="00E9253A" w:rsidP="00950D17">
            <w:pPr>
              <w:rPr>
                <w:b/>
              </w:rPr>
            </w:pPr>
            <w:r w:rsidRPr="00E9253A">
              <w:rPr>
                <w:b/>
                <w:bCs/>
              </w:rPr>
              <w:t xml:space="preserve">Proposals for amendments to the regulations annexed to the ADN: </w:t>
            </w:r>
            <w:r>
              <w:rPr>
                <w:b/>
                <w:bCs/>
              </w:rPr>
              <w:br/>
            </w:r>
            <w:r w:rsidR="00CF1191">
              <w:rPr>
                <w:b/>
                <w:bCs/>
              </w:rPr>
              <w:t>Other</w:t>
            </w:r>
            <w:r w:rsidRPr="00E9253A">
              <w:rPr>
                <w:b/>
                <w:bCs/>
              </w:rPr>
              <w:t xml:space="preserve"> proposals</w:t>
            </w:r>
          </w:p>
        </w:tc>
        <w:tc>
          <w:tcPr>
            <w:tcW w:w="2835" w:type="dxa"/>
            <w:tcBorders>
              <w:top w:val="single" w:sz="4" w:space="0" w:color="auto"/>
              <w:bottom w:val="single" w:sz="12" w:space="0" w:color="auto"/>
            </w:tcBorders>
          </w:tcPr>
          <w:p w:rsidR="00950D17" w:rsidRPr="00F8267A" w:rsidRDefault="00950D17" w:rsidP="00950D17">
            <w:pPr>
              <w:spacing w:before="120"/>
            </w:pPr>
          </w:p>
          <w:p w:rsidR="00950D17" w:rsidRDefault="00E9253A" w:rsidP="00820D52">
            <w:pPr>
              <w:spacing w:before="120"/>
              <w:rPr>
                <w:bCs/>
              </w:rPr>
            </w:pPr>
            <w:r>
              <w:rPr>
                <w:bCs/>
              </w:rPr>
              <w:t>12</w:t>
            </w:r>
            <w:r w:rsidR="00373E65" w:rsidRPr="003A1828">
              <w:rPr>
                <w:bCs/>
              </w:rPr>
              <w:t xml:space="preserve"> </w:t>
            </w:r>
            <w:r w:rsidR="00820D52" w:rsidRPr="003A1828">
              <w:rPr>
                <w:bCs/>
              </w:rPr>
              <w:t>January</w:t>
            </w:r>
            <w:r w:rsidR="00950D17" w:rsidRPr="003A1828">
              <w:rPr>
                <w:bCs/>
              </w:rPr>
              <w:t xml:space="preserve"> </w:t>
            </w:r>
            <w:r w:rsidR="002C3499" w:rsidRPr="003A1828">
              <w:rPr>
                <w:bCs/>
              </w:rPr>
              <w:t>201</w:t>
            </w:r>
            <w:r w:rsidR="00820D52" w:rsidRPr="003A1828">
              <w:rPr>
                <w:bCs/>
              </w:rPr>
              <w:t>8</w:t>
            </w:r>
          </w:p>
          <w:p w:rsidR="003A1828" w:rsidRPr="003A1828" w:rsidRDefault="003A1828" w:rsidP="00820D52">
            <w:pPr>
              <w:spacing w:before="120"/>
              <w:rPr>
                <w:bCs/>
              </w:rPr>
            </w:pPr>
            <w:r>
              <w:rPr>
                <w:bCs/>
              </w:rPr>
              <w:t>English</w:t>
            </w:r>
          </w:p>
        </w:tc>
      </w:tr>
    </w:tbl>
    <w:p w:rsidR="00DC17B5" w:rsidRDefault="00BA395D" w:rsidP="00E9253A">
      <w:pPr>
        <w:pStyle w:val="HChG"/>
      </w:pPr>
      <w:r>
        <w:tab/>
      </w:r>
      <w:r>
        <w:tab/>
      </w:r>
      <w:r w:rsidR="00E9253A" w:rsidRPr="00E9253A">
        <w:rPr>
          <w:bCs/>
          <w:iCs/>
        </w:rPr>
        <w:t>Implementation of the modified concept for explosion protection on inland waterway vessels - supplement</w:t>
      </w:r>
    </w:p>
    <w:p w:rsidR="00AB5CC3" w:rsidRPr="00AB5CC3" w:rsidRDefault="00074B26" w:rsidP="00E9253A">
      <w:pPr>
        <w:pStyle w:val="H1G"/>
      </w:pPr>
      <w:r>
        <w:tab/>
      </w:r>
      <w:r>
        <w:tab/>
      </w:r>
      <w:r w:rsidR="00AB5CC3">
        <w:t xml:space="preserve">Transmitted by the </w:t>
      </w:r>
      <w:r w:rsidR="00E9253A" w:rsidRPr="00E9253A">
        <w:t>Government of Germany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E9253A" w:rsidRPr="00E9253A" w:rsidTr="00B85B8E">
        <w:trPr>
          <w:jc w:val="center"/>
        </w:trPr>
        <w:tc>
          <w:tcPr>
            <w:tcW w:w="2330" w:type="dxa"/>
          </w:tcPr>
          <w:p w:rsidR="00E9253A" w:rsidRPr="00E9253A" w:rsidRDefault="00E9253A" w:rsidP="00E9253A">
            <w:pPr>
              <w:widowControl w:val="0"/>
              <w:tabs>
                <w:tab w:val="left" w:pos="284"/>
              </w:tabs>
              <w:suppressAutoHyphens w:val="0"/>
              <w:overflowPunct w:val="0"/>
              <w:autoSpaceDE w:val="0"/>
              <w:autoSpaceDN w:val="0"/>
              <w:adjustRightInd w:val="0"/>
              <w:spacing w:before="120" w:after="120" w:line="240" w:lineRule="auto"/>
              <w:ind w:left="1134" w:hanging="1134"/>
              <w:jc w:val="both"/>
              <w:textAlignment w:val="baseline"/>
              <w:rPr>
                <w:i/>
                <w:lang w:eastAsia="fr-FR"/>
              </w:rPr>
            </w:pPr>
            <w:r w:rsidRPr="00E9253A">
              <w:rPr>
                <w:i/>
                <w:lang w:eastAsia="fr-FR"/>
              </w:rPr>
              <w:t>Summary</w:t>
            </w:r>
          </w:p>
        </w:tc>
        <w:tc>
          <w:tcPr>
            <w:tcW w:w="7309" w:type="dxa"/>
          </w:tcPr>
          <w:p w:rsidR="00E9253A" w:rsidRPr="00E9253A" w:rsidRDefault="00E9253A" w:rsidP="00E9253A">
            <w:pPr>
              <w:widowControl w:val="0"/>
              <w:suppressAutoHyphens w:val="0"/>
              <w:overflowPunct w:val="0"/>
              <w:autoSpaceDE w:val="0"/>
              <w:autoSpaceDN w:val="0"/>
              <w:adjustRightInd w:val="0"/>
              <w:spacing w:before="120" w:after="120" w:line="240" w:lineRule="auto"/>
              <w:ind w:left="1134" w:hanging="1134"/>
              <w:jc w:val="both"/>
              <w:textAlignment w:val="baseline"/>
            </w:pPr>
          </w:p>
        </w:tc>
      </w:tr>
      <w:tr w:rsidR="00E9253A" w:rsidRPr="00E9253A" w:rsidTr="00B85B8E">
        <w:trPr>
          <w:jc w:val="center"/>
        </w:trPr>
        <w:tc>
          <w:tcPr>
            <w:tcW w:w="2330" w:type="dxa"/>
            <w:tcBorders>
              <w:bottom w:val="single" w:sz="4" w:space="0" w:color="auto"/>
            </w:tcBorders>
          </w:tcPr>
          <w:p w:rsidR="00E9253A" w:rsidRPr="00E9253A" w:rsidRDefault="00E9253A" w:rsidP="00E9253A">
            <w:pPr>
              <w:widowControl w:val="0"/>
              <w:tabs>
                <w:tab w:val="left" w:pos="284"/>
              </w:tabs>
              <w:suppressAutoHyphens w:val="0"/>
              <w:overflowPunct w:val="0"/>
              <w:autoSpaceDE w:val="0"/>
              <w:autoSpaceDN w:val="0"/>
              <w:adjustRightInd w:val="0"/>
              <w:spacing w:before="120" w:after="120" w:line="240" w:lineRule="auto"/>
              <w:ind w:left="1134" w:hanging="1134"/>
              <w:textAlignment w:val="baseline"/>
              <w:rPr>
                <w:b/>
                <w:lang w:eastAsia="fr-FR"/>
              </w:rPr>
            </w:pPr>
            <w:r w:rsidRPr="00E9253A">
              <w:rPr>
                <w:b/>
                <w:lang w:eastAsia="fr-FR"/>
              </w:rPr>
              <w:t>Executive Summary:</w:t>
            </w:r>
          </w:p>
        </w:tc>
        <w:tc>
          <w:tcPr>
            <w:tcW w:w="7309" w:type="dxa"/>
            <w:tcBorders>
              <w:bottom w:val="single" w:sz="4" w:space="0" w:color="auto"/>
            </w:tcBorders>
          </w:tcPr>
          <w:p w:rsidR="00E9253A" w:rsidRPr="00E9253A" w:rsidRDefault="00E9253A" w:rsidP="00E9253A">
            <w:pPr>
              <w:widowControl w:val="0"/>
              <w:suppressAutoHyphens w:val="0"/>
              <w:overflowPunct w:val="0"/>
              <w:autoSpaceDE w:val="0"/>
              <w:autoSpaceDN w:val="0"/>
              <w:adjustRightInd w:val="0"/>
              <w:spacing w:before="120" w:after="120" w:line="240" w:lineRule="auto"/>
              <w:ind w:left="11"/>
              <w:jc w:val="both"/>
              <w:textAlignment w:val="baseline"/>
              <w:rPr>
                <w:rFonts w:cs="Arial"/>
                <w:lang w:eastAsia="fr-FR"/>
              </w:rPr>
            </w:pPr>
            <w:r w:rsidRPr="00E9253A">
              <w:rPr>
                <w:lang w:eastAsia="fr-FR"/>
              </w:rPr>
              <w:t>During the review of the session documents regarding explosion protection published in November, a number of editorial and material errors were discovered in the proposed amendments discussed in the previous sessions, some of which can have an adverse impact on the level of protection.</w:t>
            </w:r>
          </w:p>
        </w:tc>
      </w:tr>
      <w:tr w:rsidR="00E9253A" w:rsidRPr="00E9253A" w:rsidTr="00B85B8E">
        <w:trPr>
          <w:jc w:val="center"/>
        </w:trPr>
        <w:tc>
          <w:tcPr>
            <w:tcW w:w="2330" w:type="dxa"/>
            <w:tcBorders>
              <w:bottom w:val="single" w:sz="4" w:space="0" w:color="auto"/>
            </w:tcBorders>
          </w:tcPr>
          <w:p w:rsidR="00E9253A" w:rsidRPr="00E9253A" w:rsidRDefault="00E9253A" w:rsidP="00E9253A">
            <w:pPr>
              <w:widowControl w:val="0"/>
              <w:suppressAutoHyphens w:val="0"/>
              <w:overflowPunct w:val="0"/>
              <w:autoSpaceDE w:val="0"/>
              <w:autoSpaceDN w:val="0"/>
              <w:adjustRightInd w:val="0"/>
              <w:spacing w:before="120" w:after="120" w:line="240" w:lineRule="auto"/>
              <w:textAlignment w:val="baseline"/>
              <w:rPr>
                <w:b/>
                <w:lang w:eastAsia="fr-FR"/>
              </w:rPr>
            </w:pPr>
            <w:r w:rsidRPr="00E9253A">
              <w:rPr>
                <w:b/>
                <w:lang w:eastAsia="fr-FR"/>
              </w:rPr>
              <w:t>Action to be taken:</w:t>
            </w:r>
          </w:p>
        </w:tc>
        <w:tc>
          <w:tcPr>
            <w:tcW w:w="7309" w:type="dxa"/>
            <w:tcBorders>
              <w:bottom w:val="single" w:sz="4" w:space="0" w:color="auto"/>
            </w:tcBorders>
          </w:tcPr>
          <w:p w:rsidR="00E9253A" w:rsidRPr="00E9253A" w:rsidRDefault="00E9253A" w:rsidP="00E9253A">
            <w:pPr>
              <w:widowControl w:val="0"/>
              <w:suppressAutoHyphens w:val="0"/>
              <w:overflowPunct w:val="0"/>
              <w:autoSpaceDE w:val="0"/>
              <w:autoSpaceDN w:val="0"/>
              <w:adjustRightInd w:val="0"/>
              <w:spacing w:before="120" w:after="120" w:line="240" w:lineRule="auto"/>
              <w:ind w:left="11"/>
              <w:jc w:val="both"/>
              <w:textAlignment w:val="baseline"/>
              <w:rPr>
                <w:rFonts w:cs="Arial"/>
                <w:lang w:eastAsia="fr-FR"/>
              </w:rPr>
            </w:pPr>
            <w:r w:rsidRPr="00E9253A">
              <w:rPr>
                <w:lang w:eastAsia="fr-FR"/>
              </w:rPr>
              <w:t>Revision of individual proposed amendments.</w:t>
            </w:r>
          </w:p>
        </w:tc>
      </w:tr>
      <w:tr w:rsidR="00E9253A" w:rsidRPr="00E9253A" w:rsidTr="00B85B8E">
        <w:trPr>
          <w:jc w:val="center"/>
        </w:trPr>
        <w:tc>
          <w:tcPr>
            <w:tcW w:w="2330" w:type="dxa"/>
            <w:tcBorders>
              <w:top w:val="single" w:sz="4" w:space="0" w:color="auto"/>
            </w:tcBorders>
          </w:tcPr>
          <w:p w:rsidR="00E9253A" w:rsidRPr="00E9253A" w:rsidRDefault="00E9253A" w:rsidP="00E9253A">
            <w:pPr>
              <w:widowControl w:val="0"/>
              <w:tabs>
                <w:tab w:val="left" w:pos="284"/>
              </w:tabs>
              <w:suppressAutoHyphens w:val="0"/>
              <w:overflowPunct w:val="0"/>
              <w:autoSpaceDE w:val="0"/>
              <w:autoSpaceDN w:val="0"/>
              <w:adjustRightInd w:val="0"/>
              <w:spacing w:line="240" w:lineRule="auto"/>
              <w:ind w:left="1134" w:hanging="1134"/>
              <w:textAlignment w:val="baseline"/>
              <w:rPr>
                <w:b/>
                <w:lang w:eastAsia="fr-FR"/>
              </w:rPr>
            </w:pPr>
            <w:r w:rsidRPr="00E9253A">
              <w:rPr>
                <w:b/>
                <w:lang w:eastAsia="fr-FR"/>
              </w:rPr>
              <w:t>Related documents:</w:t>
            </w:r>
          </w:p>
        </w:tc>
        <w:tc>
          <w:tcPr>
            <w:tcW w:w="7309" w:type="dxa"/>
            <w:tcBorders>
              <w:top w:val="single" w:sz="4" w:space="0" w:color="auto"/>
            </w:tcBorders>
          </w:tcPr>
          <w:p w:rsidR="00E9253A" w:rsidRPr="00E9253A" w:rsidRDefault="00E9253A" w:rsidP="00E9253A">
            <w:pPr>
              <w:widowControl w:val="0"/>
              <w:suppressAutoHyphens w:val="0"/>
              <w:overflowPunct w:val="0"/>
              <w:autoSpaceDE w:val="0"/>
              <w:autoSpaceDN w:val="0"/>
              <w:adjustRightInd w:val="0"/>
              <w:spacing w:line="240" w:lineRule="auto"/>
              <w:textAlignment w:val="baseline"/>
              <w:rPr>
                <w:lang w:eastAsia="fr-FR"/>
              </w:rPr>
            </w:pPr>
            <w:r w:rsidRPr="00E9253A">
              <w:rPr>
                <w:lang w:eastAsia="fr-FR"/>
              </w:rPr>
              <w:t>CCNR-ZKR/ADN/WP.15/AC.2/2018/11</w:t>
            </w:r>
          </w:p>
          <w:p w:rsidR="00E9253A" w:rsidRPr="00E9253A" w:rsidRDefault="00E9253A" w:rsidP="00E9253A">
            <w:pPr>
              <w:widowControl w:val="0"/>
              <w:suppressAutoHyphens w:val="0"/>
              <w:overflowPunct w:val="0"/>
              <w:autoSpaceDE w:val="0"/>
              <w:autoSpaceDN w:val="0"/>
              <w:adjustRightInd w:val="0"/>
              <w:spacing w:line="240" w:lineRule="auto"/>
              <w:textAlignment w:val="baseline"/>
              <w:rPr>
                <w:rFonts w:cs="Arial"/>
                <w:lang w:eastAsia="fr-FR"/>
              </w:rPr>
            </w:pPr>
          </w:p>
        </w:tc>
      </w:tr>
    </w:tbl>
    <w:p w:rsidR="00E9253A" w:rsidRPr="00E9253A" w:rsidRDefault="00983013" w:rsidP="00983013">
      <w:pPr>
        <w:pStyle w:val="HChG"/>
        <w:rPr>
          <w:lang w:eastAsia="fr-FR"/>
        </w:rPr>
      </w:pPr>
      <w:r>
        <w:rPr>
          <w:lang w:eastAsia="fr-FR"/>
        </w:rPr>
        <w:tab/>
      </w:r>
      <w:r w:rsidR="00E9253A" w:rsidRPr="00E9253A">
        <w:rPr>
          <w:lang w:eastAsia="fr-FR"/>
        </w:rPr>
        <w:t>I.</w:t>
      </w:r>
      <w:r w:rsidR="00E9253A" w:rsidRPr="00E9253A">
        <w:rPr>
          <w:lang w:eastAsia="fr-FR"/>
        </w:rPr>
        <w:tab/>
        <w:t>Proposals and justifications</w:t>
      </w:r>
    </w:p>
    <w:p w:rsidR="00E9253A" w:rsidRPr="00E9253A" w:rsidRDefault="00E9253A" w:rsidP="00983013">
      <w:pPr>
        <w:pStyle w:val="SingleTxtG"/>
        <w:rPr>
          <w:rFonts w:cs="Arial"/>
          <w:lang w:eastAsia="fr-FR"/>
        </w:rPr>
      </w:pPr>
      <w:r w:rsidRPr="00E9253A">
        <w:rPr>
          <w:lang w:eastAsia="fr-FR"/>
        </w:rPr>
        <w:t>1.</w:t>
      </w:r>
      <w:r w:rsidRPr="00E9253A">
        <w:rPr>
          <w:lang w:eastAsia="fr-FR"/>
        </w:rPr>
        <w:tab/>
        <w:t>Replace the amendment to 1.2.1, definition of “</w:t>
      </w:r>
      <w:r w:rsidRPr="00E9253A">
        <w:rPr>
          <w:i/>
          <w:lang w:eastAsia="fr-FR"/>
        </w:rPr>
        <w:t>Protective gloves</w:t>
      </w:r>
      <w:r w:rsidRPr="00E9253A">
        <w:rPr>
          <w:lang w:eastAsia="fr-FR"/>
        </w:rPr>
        <w:t>”, by the following:</w:t>
      </w:r>
    </w:p>
    <w:p w:rsidR="00E9253A" w:rsidRPr="00E9253A" w:rsidRDefault="00E9253A" w:rsidP="00983013">
      <w:pPr>
        <w:pStyle w:val="SingleTxtG"/>
        <w:ind w:left="1701"/>
        <w:rPr>
          <w:b/>
          <w:i/>
          <w:iCs/>
          <w:lang w:eastAsia="fr-FR"/>
        </w:rPr>
      </w:pPr>
      <w:r w:rsidRPr="00E9253A">
        <w:rPr>
          <w:lang w:eastAsia="fr-FR"/>
        </w:rPr>
        <w:t>“1.2.1</w:t>
      </w:r>
      <w:r w:rsidRPr="00E9253A">
        <w:rPr>
          <w:lang w:eastAsia="fr-FR"/>
        </w:rPr>
        <w:tab/>
        <w:t>Replace the definition of “</w:t>
      </w:r>
      <w:r w:rsidRPr="00E9253A">
        <w:rPr>
          <w:i/>
          <w:lang w:eastAsia="fr-FR"/>
        </w:rPr>
        <w:t>Protective gloves</w:t>
      </w:r>
      <w:r w:rsidRPr="00E9253A">
        <w:rPr>
          <w:lang w:eastAsia="fr-FR"/>
        </w:rPr>
        <w:t>” by the following:</w:t>
      </w:r>
    </w:p>
    <w:p w:rsidR="00E9253A" w:rsidRPr="00E9253A" w:rsidRDefault="00E9253A" w:rsidP="00983013">
      <w:pPr>
        <w:pStyle w:val="SingleTxtG"/>
        <w:ind w:left="1701"/>
        <w:rPr>
          <w:szCs w:val="18"/>
          <w:lang w:eastAsia="fr-FR"/>
        </w:rPr>
      </w:pPr>
      <w:r w:rsidRPr="00E9253A">
        <w:rPr>
          <w:i/>
          <w:lang w:eastAsia="fr-FR"/>
        </w:rPr>
        <w:t>“Protective gloves</w:t>
      </w:r>
      <w:r w:rsidRPr="00E9253A">
        <w:rPr>
          <w:lang w:eastAsia="fr-FR"/>
        </w:rPr>
        <w:t xml:space="preserve"> means gloves which protect the wearer’s hands during work in a danger area. The choice of appropriate gloves shall correspond to the dangers likely to arise (see for example European standards EN 374-1:2003, EN 374-2:2015 or EN 374-4:2014). In the case of dangers caused by electrostatic charging/discharging, they shall meet the requirements of standard EN 16350:2015.”.”.</w:t>
      </w:r>
    </w:p>
    <w:p w:rsidR="00E9253A" w:rsidRPr="00E9253A" w:rsidRDefault="00E9253A" w:rsidP="00983013">
      <w:pPr>
        <w:pStyle w:val="SingleTxtG"/>
        <w:rPr>
          <w:lang w:eastAsia="fr-FR"/>
        </w:rPr>
      </w:pPr>
      <w:r w:rsidRPr="00E9253A">
        <w:rPr>
          <w:lang w:eastAsia="fr-FR"/>
        </w:rPr>
        <w:t>2.</w:t>
      </w:r>
      <w:r w:rsidRPr="00E9253A">
        <w:rPr>
          <w:lang w:eastAsia="fr-FR"/>
        </w:rPr>
        <w:tab/>
        <w:t>Replace the amendment to 1.2.1, definition of “</w:t>
      </w:r>
      <w:r w:rsidRPr="00E9253A">
        <w:rPr>
          <w:i/>
          <w:lang w:eastAsia="fr-FR"/>
        </w:rPr>
        <w:t>Protective shoes (or protective boots)</w:t>
      </w:r>
      <w:r w:rsidRPr="00E9253A">
        <w:rPr>
          <w:lang w:eastAsia="fr-FR"/>
        </w:rPr>
        <w:t>”, by the following:</w:t>
      </w:r>
    </w:p>
    <w:p w:rsidR="00E9253A" w:rsidRPr="00E9253A" w:rsidRDefault="00E9253A" w:rsidP="00983013">
      <w:pPr>
        <w:pStyle w:val="SingleTxtG"/>
        <w:ind w:left="1701"/>
        <w:rPr>
          <w:lang w:eastAsia="fr-FR"/>
        </w:rPr>
      </w:pPr>
      <w:r w:rsidRPr="00E9253A">
        <w:rPr>
          <w:lang w:eastAsia="fr-FR"/>
        </w:rPr>
        <w:t>“1.2.1</w:t>
      </w:r>
      <w:r w:rsidRPr="00E9253A">
        <w:rPr>
          <w:lang w:eastAsia="fr-FR"/>
        </w:rPr>
        <w:tab/>
        <w:t>Replace the definition of “</w:t>
      </w:r>
      <w:r w:rsidRPr="00E9253A">
        <w:rPr>
          <w:i/>
          <w:lang w:eastAsia="fr-FR"/>
        </w:rPr>
        <w:t>Protective shoes (or protective boots)</w:t>
      </w:r>
      <w:r w:rsidRPr="00E9253A">
        <w:rPr>
          <w:lang w:eastAsia="fr-FR"/>
        </w:rPr>
        <w:t>” by the following:</w:t>
      </w:r>
    </w:p>
    <w:p w:rsidR="00E9253A" w:rsidRPr="00E9253A" w:rsidRDefault="00E9253A" w:rsidP="00983013">
      <w:pPr>
        <w:pStyle w:val="SingleTxtG"/>
        <w:ind w:left="1701"/>
        <w:rPr>
          <w:szCs w:val="18"/>
          <w:lang w:eastAsia="fr-FR"/>
        </w:rPr>
      </w:pPr>
      <w:r w:rsidRPr="00E9253A">
        <w:rPr>
          <w:i/>
          <w:lang w:eastAsia="fr-FR"/>
        </w:rPr>
        <w:t>“Protective shoes (or protective boots)</w:t>
      </w:r>
      <w:r w:rsidRPr="00E9253A">
        <w:rPr>
          <w:lang w:eastAsia="fr-FR"/>
        </w:rPr>
        <w:t xml:space="preserve"> means shoes or boots which protect the wearer’s feet during work in a danger area. The choice of appropriate protective </w:t>
      </w:r>
      <w:r w:rsidRPr="00E9253A">
        <w:rPr>
          <w:lang w:eastAsia="fr-FR"/>
        </w:rPr>
        <w:lastRenderedPageBreak/>
        <w:t>shoes or boots shall correspond to the dangers likely to arise, especially those caused by electrostatic charging/discharging, and meet the requirements of international standard ISO 20345:2012 or ISO 20346:2014.”.”.</w:t>
      </w:r>
    </w:p>
    <w:p w:rsidR="00E9253A" w:rsidRPr="00992518" w:rsidRDefault="00E9253A" w:rsidP="00992518">
      <w:pPr>
        <w:pStyle w:val="SingleTxtG"/>
        <w:rPr>
          <w:rFonts w:cs="Arial"/>
          <w:u w:val="single"/>
          <w:lang w:eastAsia="fr-FR"/>
        </w:rPr>
      </w:pPr>
      <w:r w:rsidRPr="00992518">
        <w:rPr>
          <w:u w:val="single"/>
          <w:lang w:eastAsia="fr-FR"/>
        </w:rPr>
        <w:t>Justification for 1. and 2.:</w:t>
      </w:r>
    </w:p>
    <w:p w:rsidR="00E9253A" w:rsidRPr="00E9253A" w:rsidRDefault="00E9253A" w:rsidP="00983013">
      <w:pPr>
        <w:pStyle w:val="SingleTxtG"/>
        <w:rPr>
          <w:rFonts w:cs="Arial"/>
          <w:lang w:eastAsia="fr-FR"/>
        </w:rPr>
      </w:pPr>
      <w:r w:rsidRPr="00E9253A">
        <w:rPr>
          <w:lang w:eastAsia="fr-FR"/>
        </w:rPr>
        <w:t>Editorial revision.</w:t>
      </w:r>
    </w:p>
    <w:p w:rsidR="00E9253A" w:rsidRPr="00E9253A" w:rsidRDefault="00E9253A" w:rsidP="00983013">
      <w:pPr>
        <w:pStyle w:val="SingleTxtG"/>
        <w:rPr>
          <w:rFonts w:cs="Arial"/>
          <w:lang w:eastAsia="fr-FR"/>
        </w:rPr>
      </w:pPr>
      <w:r w:rsidRPr="00E9253A">
        <w:rPr>
          <w:lang w:eastAsia="fr-FR"/>
        </w:rPr>
        <w:t>Avoiding sources of ignition caused by electrostatic charging is an indispensable part of the measures for anti-explosion protection. Therefore, the use of sufficiently dissipative protective gloves, protective shoes and protective boots must be obligatory.</w:t>
      </w:r>
    </w:p>
    <w:p w:rsidR="00E9253A" w:rsidRPr="00E9253A" w:rsidRDefault="00E9253A" w:rsidP="00983013">
      <w:pPr>
        <w:pStyle w:val="SingleTxtG"/>
        <w:rPr>
          <w:rFonts w:cs="Arial"/>
          <w:lang w:eastAsia="fr-FR"/>
        </w:rPr>
      </w:pPr>
      <w:r w:rsidRPr="00E9253A">
        <w:rPr>
          <w:lang w:eastAsia="fr-FR"/>
        </w:rPr>
        <w:t>3.</w:t>
      </w:r>
      <w:r w:rsidRPr="00E9253A">
        <w:rPr>
          <w:lang w:eastAsia="fr-FR"/>
        </w:rPr>
        <w:tab/>
        <w:t>1.6.7.2.1.1 of ADN</w:t>
      </w:r>
      <w:r w:rsidRPr="00E9253A">
        <w:rPr>
          <w:lang w:eastAsia="fr-FR"/>
        </w:rPr>
        <w:tab/>
        <w:t>This amendment does not apply to the English version.</w:t>
      </w:r>
    </w:p>
    <w:p w:rsidR="00E9253A" w:rsidRPr="00992518" w:rsidRDefault="00E9253A" w:rsidP="00992518">
      <w:pPr>
        <w:pStyle w:val="SingleTxtG"/>
        <w:rPr>
          <w:rFonts w:cs="Arial"/>
          <w:u w:val="single"/>
          <w:lang w:eastAsia="fr-FR"/>
        </w:rPr>
      </w:pPr>
      <w:r w:rsidRPr="00992518">
        <w:rPr>
          <w:u w:val="single"/>
          <w:lang w:eastAsia="fr-FR"/>
        </w:rPr>
        <w:t>Justification:</w:t>
      </w:r>
    </w:p>
    <w:p w:rsidR="00E9253A" w:rsidRPr="00E9253A" w:rsidRDefault="00E9253A" w:rsidP="00983013">
      <w:pPr>
        <w:pStyle w:val="SingleTxtG"/>
        <w:rPr>
          <w:rFonts w:cs="Arial"/>
          <w:lang w:eastAsia="fr-FR"/>
        </w:rPr>
      </w:pPr>
      <w:r w:rsidRPr="00E9253A">
        <w:rPr>
          <w:lang w:eastAsia="fr-FR"/>
        </w:rPr>
        <w:t>Since the amendment does not apply to the English version, the justification is not translated.</w:t>
      </w:r>
    </w:p>
    <w:p w:rsidR="00E9253A" w:rsidRPr="00E9253A" w:rsidRDefault="00E9253A" w:rsidP="00983013">
      <w:pPr>
        <w:pStyle w:val="SingleTxtG"/>
        <w:rPr>
          <w:rFonts w:cs="Arial"/>
          <w:lang w:eastAsia="fr-FR"/>
        </w:rPr>
      </w:pPr>
      <w:r w:rsidRPr="00E9253A">
        <w:rPr>
          <w:lang w:eastAsia="fr-FR"/>
        </w:rPr>
        <w:t>4.</w:t>
      </w:r>
      <w:r w:rsidRPr="00E9253A">
        <w:rPr>
          <w:lang w:eastAsia="fr-FR"/>
        </w:rPr>
        <w:tab/>
      </w:r>
      <w:r w:rsidR="00677F87" w:rsidRPr="00677F87">
        <w:rPr>
          <w:lang w:eastAsia="fr-FR"/>
        </w:rPr>
        <w:t>1.6.7.2.1.2</w:t>
      </w:r>
      <w:r w:rsidRPr="00E9253A">
        <w:rPr>
          <w:lang w:eastAsia="fr-FR"/>
        </w:rPr>
        <w:tab/>
        <w:t>In the first column of the new transitional provision for 9.3.1.8.3, 9.3.2.8.3, 9.3.3.8.3 “Verification of the oxygen measuring system”, replace the reference to “9.3.1.8.3, 9.3.2.8.3, 9.3.3.8.3“ by “8.1.6.3”.</w:t>
      </w:r>
    </w:p>
    <w:p w:rsidR="00E9253A" w:rsidRPr="00992518" w:rsidRDefault="00E9253A" w:rsidP="00992518">
      <w:pPr>
        <w:pStyle w:val="SingleTxtG"/>
        <w:rPr>
          <w:rFonts w:cs="Arial"/>
          <w:u w:val="single"/>
          <w:lang w:eastAsia="fr-FR"/>
        </w:rPr>
      </w:pPr>
      <w:r w:rsidRPr="00992518">
        <w:rPr>
          <w:u w:val="single"/>
          <w:lang w:eastAsia="fr-FR"/>
        </w:rPr>
        <w:t>Justification:</w:t>
      </w:r>
    </w:p>
    <w:p w:rsidR="00E9253A" w:rsidRPr="00E9253A" w:rsidRDefault="00E9253A" w:rsidP="00983013">
      <w:pPr>
        <w:pStyle w:val="SingleTxtG"/>
        <w:rPr>
          <w:rFonts w:cs="Arial"/>
          <w:lang w:eastAsia="fr-FR"/>
        </w:rPr>
      </w:pPr>
      <w:r w:rsidRPr="00E9253A">
        <w:rPr>
          <w:lang w:eastAsia="fr-FR"/>
        </w:rPr>
        <w:t>The contents of 9.3.1.8.3, 9.3.2.8.3, 9.3.3.8.3 were moved to 8.1.6.3.</w:t>
      </w:r>
    </w:p>
    <w:p w:rsidR="00E9253A" w:rsidRPr="00E9253A" w:rsidRDefault="00E9253A" w:rsidP="00983013">
      <w:pPr>
        <w:pStyle w:val="SingleTxtG"/>
        <w:rPr>
          <w:rFonts w:cs="Arial"/>
          <w:lang w:eastAsia="fr-FR"/>
        </w:rPr>
      </w:pPr>
      <w:r w:rsidRPr="00E9253A">
        <w:rPr>
          <w:lang w:eastAsia="fr-FR"/>
        </w:rPr>
        <w:t>5.</w:t>
      </w:r>
      <w:r w:rsidRPr="00E9253A">
        <w:rPr>
          <w:lang w:eastAsia="fr-FR"/>
        </w:rPr>
        <w:tab/>
        <w:t>1.6.7.2.2.2</w:t>
      </w:r>
      <w:r w:rsidRPr="00E9253A">
        <w:rPr>
          <w:lang w:eastAsia="fr-FR"/>
        </w:rPr>
        <w:tab/>
        <w:t>Amend the new transitional provision for 9.3.2.22.4 (d)/9.3.3.22.4 (e) to read as follows:</w:t>
      </w:r>
    </w:p>
    <w:tbl>
      <w:tblPr>
        <w:tblW w:w="93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262"/>
        <w:gridCol w:w="4288"/>
      </w:tblGrid>
      <w:tr w:rsidR="00E9253A" w:rsidRPr="00E9253A" w:rsidTr="00B85B8E">
        <w:trPr>
          <w:cantSplit/>
          <w:trHeight w:val="464"/>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9253A" w:rsidRPr="00E9253A" w:rsidRDefault="00E9253A" w:rsidP="00E9253A">
            <w:pPr>
              <w:widowControl w:val="0"/>
              <w:tabs>
                <w:tab w:val="left" w:pos="708"/>
              </w:tabs>
              <w:suppressAutoHyphens w:val="0"/>
              <w:overflowPunct w:val="0"/>
              <w:autoSpaceDE w:val="0"/>
              <w:autoSpaceDN w:val="0"/>
              <w:adjustRightInd w:val="0"/>
              <w:spacing w:line="240" w:lineRule="auto"/>
              <w:ind w:left="1134" w:hanging="1134"/>
              <w:jc w:val="center"/>
              <w:textAlignment w:val="baseline"/>
              <w:rPr>
                <w:rFonts w:eastAsia="Calibri"/>
                <w:lang w:eastAsia="fr-FR"/>
              </w:rPr>
            </w:pPr>
            <w:r w:rsidRPr="00E9253A">
              <w:rPr>
                <w:rFonts w:eastAsia="Calibri"/>
                <w:lang w:eastAsia="fr-FR"/>
              </w:rPr>
              <w:t xml:space="preserve">9.3.2.22.4 </w:t>
            </w:r>
            <w:r w:rsidRPr="00E9253A">
              <w:rPr>
                <w:rFonts w:eastAsia="Calibri"/>
                <w:strike/>
                <w:lang w:eastAsia="fr-FR"/>
              </w:rPr>
              <w:t>(d)</w:t>
            </w:r>
            <w:r w:rsidRPr="00E9253A">
              <w:rPr>
                <w:rFonts w:eastAsia="Calibri"/>
                <w:u w:val="single"/>
                <w:lang w:eastAsia="fr-FR"/>
              </w:rPr>
              <w:t xml:space="preserve"> (e)</w:t>
            </w:r>
          </w:p>
          <w:p w:rsidR="00E9253A" w:rsidRPr="00E9253A" w:rsidRDefault="00E9253A" w:rsidP="00E9253A">
            <w:pPr>
              <w:widowControl w:val="0"/>
              <w:tabs>
                <w:tab w:val="left" w:pos="708"/>
              </w:tabs>
              <w:suppressAutoHyphens w:val="0"/>
              <w:overflowPunct w:val="0"/>
              <w:autoSpaceDE w:val="0"/>
              <w:autoSpaceDN w:val="0"/>
              <w:adjustRightInd w:val="0"/>
              <w:spacing w:line="240" w:lineRule="auto"/>
              <w:ind w:left="1134" w:hanging="1134"/>
              <w:jc w:val="center"/>
              <w:textAlignment w:val="baseline"/>
              <w:rPr>
                <w:rFonts w:eastAsia="Calibri"/>
                <w:lang w:eastAsia="fr-FR"/>
              </w:rPr>
            </w:pPr>
            <w:r w:rsidRPr="00E9253A">
              <w:rPr>
                <w:rFonts w:eastAsia="Calibri"/>
                <w:lang w:eastAsia="fr-FR"/>
              </w:rPr>
              <w:t xml:space="preserve">9.3.3.22.4 </w:t>
            </w:r>
            <w:r w:rsidRPr="00E9253A">
              <w:rPr>
                <w:rFonts w:eastAsia="Calibri"/>
                <w:strike/>
                <w:lang w:eastAsia="fr-FR"/>
              </w:rPr>
              <w:t>(e)</w:t>
            </w:r>
            <w:r w:rsidRPr="00E9253A">
              <w:rPr>
                <w:rFonts w:eastAsia="Calibri"/>
                <w:u w:val="single"/>
                <w:lang w:eastAsia="fr-FR"/>
              </w:rPr>
              <w:t xml:space="preserve"> (d)</w:t>
            </w:r>
          </w:p>
        </w:tc>
        <w:tc>
          <w:tcPr>
            <w:tcW w:w="3262" w:type="dxa"/>
            <w:tcBorders>
              <w:top w:val="single" w:sz="4" w:space="0" w:color="auto"/>
              <w:left w:val="single" w:sz="4" w:space="0" w:color="auto"/>
              <w:bottom w:val="single" w:sz="4" w:space="0" w:color="auto"/>
              <w:right w:val="single" w:sz="4" w:space="0" w:color="auto"/>
            </w:tcBorders>
            <w:shd w:val="clear" w:color="auto" w:fill="auto"/>
            <w:hideMark/>
          </w:tcPr>
          <w:p w:rsidR="00E9253A" w:rsidRPr="00E9253A" w:rsidRDefault="00E9253A" w:rsidP="00E9253A">
            <w:pPr>
              <w:widowControl w:val="0"/>
              <w:suppressAutoHyphens w:val="0"/>
              <w:overflowPunct w:val="0"/>
              <w:autoSpaceDE w:val="0"/>
              <w:autoSpaceDN w:val="0"/>
              <w:adjustRightInd w:val="0"/>
              <w:spacing w:line="240" w:lineRule="auto"/>
              <w:ind w:left="1134" w:hanging="1134"/>
              <w:jc w:val="both"/>
              <w:textAlignment w:val="baseline"/>
              <w:rPr>
                <w:rFonts w:eastAsia="Calibri"/>
                <w:lang w:eastAsia="fr-FR"/>
              </w:rPr>
            </w:pPr>
            <w:r w:rsidRPr="00E9253A">
              <w:rPr>
                <w:rFonts w:eastAsia="Calibri"/>
                <w:lang w:eastAsia="fr-FR"/>
              </w:rPr>
              <w:t>Explosion group/subgroup</w:t>
            </w:r>
          </w:p>
        </w:tc>
        <w:tc>
          <w:tcPr>
            <w:tcW w:w="4288" w:type="dxa"/>
            <w:tcBorders>
              <w:top w:val="single" w:sz="4" w:space="0" w:color="auto"/>
              <w:left w:val="single" w:sz="4" w:space="0" w:color="auto"/>
              <w:bottom w:val="single" w:sz="4" w:space="0" w:color="auto"/>
              <w:right w:val="single" w:sz="4" w:space="0" w:color="auto"/>
            </w:tcBorders>
            <w:shd w:val="clear" w:color="auto" w:fill="auto"/>
            <w:hideMark/>
          </w:tcPr>
          <w:p w:rsidR="00E9253A" w:rsidRPr="00E9253A" w:rsidRDefault="00E9253A" w:rsidP="00E9253A">
            <w:pPr>
              <w:widowControl w:val="0"/>
              <w:suppressAutoHyphens w:val="0"/>
              <w:overflowPunct w:val="0"/>
              <w:autoSpaceDE w:val="0"/>
              <w:autoSpaceDN w:val="0"/>
              <w:adjustRightInd w:val="0"/>
              <w:spacing w:line="240" w:lineRule="auto"/>
              <w:ind w:left="1134" w:hanging="1134"/>
              <w:jc w:val="center"/>
              <w:textAlignment w:val="baseline"/>
              <w:rPr>
                <w:rFonts w:eastAsia="Calibri"/>
                <w:lang w:eastAsia="fr-FR"/>
              </w:rPr>
            </w:pPr>
            <w:r w:rsidRPr="00E9253A">
              <w:rPr>
                <w:rFonts w:eastAsia="Calibri"/>
                <w:lang w:eastAsia="fr-FR"/>
              </w:rPr>
              <w:t xml:space="preserve">N.R.M. from 1 January 2019 </w:t>
            </w:r>
          </w:p>
          <w:p w:rsidR="00E9253A" w:rsidRPr="00E9253A" w:rsidRDefault="00E9253A" w:rsidP="00E9253A">
            <w:pPr>
              <w:widowControl w:val="0"/>
              <w:suppressAutoHyphens w:val="0"/>
              <w:overflowPunct w:val="0"/>
              <w:autoSpaceDE w:val="0"/>
              <w:autoSpaceDN w:val="0"/>
              <w:adjustRightInd w:val="0"/>
              <w:spacing w:line="240" w:lineRule="auto"/>
              <w:ind w:left="1134" w:hanging="1134"/>
              <w:jc w:val="center"/>
              <w:textAlignment w:val="baseline"/>
              <w:rPr>
                <w:rFonts w:eastAsia="Calibri"/>
                <w:lang w:eastAsia="fr-FR"/>
              </w:rPr>
            </w:pPr>
            <w:r w:rsidRPr="00E9253A">
              <w:rPr>
                <w:rFonts w:eastAsia="Calibri"/>
                <w:lang w:eastAsia="fr-FR"/>
              </w:rPr>
              <w:t>Renewal of certificate of approval after 31 December 2024</w:t>
            </w:r>
          </w:p>
        </w:tc>
      </w:tr>
    </w:tbl>
    <w:p w:rsidR="00E9253A" w:rsidRPr="00992518" w:rsidRDefault="00E9253A" w:rsidP="00992518">
      <w:pPr>
        <w:pStyle w:val="SingleTxtG"/>
        <w:spacing w:before="120"/>
        <w:rPr>
          <w:rFonts w:cs="Arial"/>
          <w:u w:val="single"/>
          <w:lang w:eastAsia="fr-FR"/>
        </w:rPr>
      </w:pPr>
      <w:r w:rsidRPr="00992518">
        <w:rPr>
          <w:u w:val="single"/>
          <w:lang w:eastAsia="fr-FR"/>
        </w:rPr>
        <w:t>Justification:</w:t>
      </w:r>
    </w:p>
    <w:p w:rsidR="00E9253A" w:rsidRPr="00E9253A" w:rsidRDefault="00E9253A" w:rsidP="00983013">
      <w:pPr>
        <w:pStyle w:val="SingleTxtG"/>
        <w:rPr>
          <w:rFonts w:cs="Arial"/>
          <w:lang w:eastAsia="fr-FR"/>
        </w:rPr>
      </w:pPr>
      <w:r w:rsidRPr="00E9253A">
        <w:rPr>
          <w:lang w:eastAsia="fr-FR"/>
        </w:rPr>
        <w:t>Editorial error.</w:t>
      </w:r>
    </w:p>
    <w:p w:rsidR="00E9253A" w:rsidRPr="00E9253A" w:rsidRDefault="00E9253A" w:rsidP="00983013">
      <w:pPr>
        <w:pStyle w:val="SingleTxtG"/>
        <w:rPr>
          <w:rFonts w:cs="Arial"/>
          <w:lang w:eastAsia="fr-FR"/>
        </w:rPr>
      </w:pPr>
      <w:r w:rsidRPr="00E9253A">
        <w:rPr>
          <w:lang w:eastAsia="fr-FR"/>
        </w:rPr>
        <w:t>6.</w:t>
      </w:r>
      <w:r w:rsidRPr="00E9253A">
        <w:rPr>
          <w:lang w:eastAsia="fr-FR"/>
        </w:rPr>
        <w:tab/>
        <w:t>1.6.7.2.2.2</w:t>
      </w:r>
      <w:r w:rsidRPr="00E9253A">
        <w:rPr>
          <w:lang w:eastAsia="fr-FR"/>
        </w:rPr>
        <w:tab/>
        <w:t>Delete the new transitional provision for 7.2.4.25.5</w:t>
      </w:r>
    </w:p>
    <w:p w:rsidR="00E9253A" w:rsidRPr="00992518" w:rsidRDefault="00E9253A" w:rsidP="00992518">
      <w:pPr>
        <w:pStyle w:val="SingleTxtG"/>
        <w:rPr>
          <w:rFonts w:cs="Arial"/>
          <w:u w:val="single"/>
          <w:lang w:eastAsia="fr-FR"/>
        </w:rPr>
      </w:pPr>
      <w:r w:rsidRPr="00992518">
        <w:rPr>
          <w:u w:val="single"/>
          <w:lang w:eastAsia="fr-FR"/>
        </w:rPr>
        <w:t>Justification:</w:t>
      </w:r>
    </w:p>
    <w:p w:rsidR="00E9253A" w:rsidRPr="00E9253A" w:rsidRDefault="00E9253A" w:rsidP="00983013">
      <w:pPr>
        <w:pStyle w:val="SingleTxtG"/>
        <w:rPr>
          <w:rFonts w:cs="Arial"/>
          <w:lang w:eastAsia="fr-FR"/>
        </w:rPr>
      </w:pPr>
      <w:r w:rsidRPr="00E9253A">
        <w:rPr>
          <w:lang w:eastAsia="fr-FR"/>
        </w:rPr>
        <w:t>Deletion of the amendment instruction for 7.2.4.25.5.</w:t>
      </w:r>
    </w:p>
    <w:p w:rsidR="00E9253A" w:rsidRPr="00E9253A" w:rsidRDefault="00E9253A" w:rsidP="00983013">
      <w:pPr>
        <w:pStyle w:val="SingleTxtG"/>
        <w:rPr>
          <w:rFonts w:eastAsia="Calibri"/>
          <w:bCs/>
          <w:lang w:eastAsia="fr-FR"/>
        </w:rPr>
      </w:pPr>
      <w:r w:rsidRPr="00E9253A">
        <w:rPr>
          <w:lang w:eastAsia="fr-FR"/>
        </w:rPr>
        <w:t>7.</w:t>
      </w:r>
      <w:r w:rsidRPr="00E9253A">
        <w:rPr>
          <w:lang w:eastAsia="fr-FR"/>
        </w:rPr>
        <w:tab/>
        <w:t>Add the following sentence to the amendment instruction for 7.1.3.51.8 of ADN: “The competent authority may allow exceptions in individual cases.”.</w:t>
      </w:r>
    </w:p>
    <w:p w:rsidR="00E9253A" w:rsidRPr="00992518" w:rsidRDefault="00E9253A" w:rsidP="00992518">
      <w:pPr>
        <w:pStyle w:val="SingleTxtG"/>
        <w:rPr>
          <w:u w:val="single"/>
        </w:rPr>
      </w:pPr>
      <w:r w:rsidRPr="00992518">
        <w:rPr>
          <w:u w:val="single"/>
        </w:rPr>
        <w:t>Justification:</w:t>
      </w:r>
    </w:p>
    <w:p w:rsidR="00E9253A" w:rsidRPr="00E9253A" w:rsidRDefault="00E9253A" w:rsidP="00983013">
      <w:pPr>
        <w:pStyle w:val="SingleTxtG"/>
        <w:rPr>
          <w:rFonts w:cs="Arial"/>
          <w:lang w:eastAsia="fr-FR"/>
        </w:rPr>
      </w:pPr>
      <w:r w:rsidRPr="00E9253A">
        <w:rPr>
          <w:lang w:eastAsia="fr-FR"/>
        </w:rPr>
        <w:t>The traffic situation or cases where the ship sustains damage can make it necessary to immediately call at such a loading or unloading station. The competent authority has to examine whether the anti-explosion protection can be ensured in a different manner or whether facilitations are justifiable.</w:t>
      </w:r>
    </w:p>
    <w:p w:rsidR="00E9253A" w:rsidRPr="00E9253A" w:rsidRDefault="00E9253A" w:rsidP="00983013">
      <w:pPr>
        <w:pStyle w:val="SingleTxtG"/>
        <w:rPr>
          <w:rFonts w:cs="Arial"/>
          <w:lang w:eastAsia="fr-FR"/>
        </w:rPr>
      </w:pPr>
      <w:r w:rsidRPr="00E9253A">
        <w:rPr>
          <w:lang w:eastAsia="fr-FR"/>
        </w:rPr>
        <w:t>8.</w:t>
      </w:r>
      <w:r w:rsidRPr="00E9253A">
        <w:rPr>
          <w:lang w:eastAsia="fr-FR"/>
        </w:rPr>
        <w:tab/>
        <w:t>Add the following sentence to the amendment instruction for 7.1.4.7.3 of ADN: “The competent authority may allow exceptions in individual cases.”</w:t>
      </w:r>
    </w:p>
    <w:p w:rsidR="00E9253A" w:rsidRPr="00E9253A" w:rsidRDefault="00E9253A" w:rsidP="00983013">
      <w:pPr>
        <w:pStyle w:val="SingleTxtG"/>
        <w:rPr>
          <w:rFonts w:cs="Arial"/>
          <w:u w:val="single"/>
          <w:lang w:eastAsia="fr-FR"/>
        </w:rPr>
      </w:pPr>
      <w:r w:rsidRPr="00E9253A">
        <w:rPr>
          <w:u w:val="single"/>
          <w:lang w:eastAsia="fr-FR"/>
        </w:rPr>
        <w:t>Justification:</w:t>
      </w:r>
    </w:p>
    <w:p w:rsidR="00E9253A" w:rsidRPr="00E9253A" w:rsidRDefault="00E9253A" w:rsidP="00983013">
      <w:pPr>
        <w:pStyle w:val="SingleTxtG"/>
        <w:rPr>
          <w:rFonts w:cs="Arial"/>
          <w:lang w:eastAsia="fr-FR"/>
        </w:rPr>
      </w:pPr>
      <w:r w:rsidRPr="00E9253A">
        <w:rPr>
          <w:lang w:eastAsia="fr-FR"/>
        </w:rPr>
        <w:t>The traffic situation or cases where the ship sustains damage can make it necessary to immediately call at such a loading or unloading station. The competent authority has to examine whether the anti-explosion protection can be ensured in a different manner or whether facilitations are justifiable.</w:t>
      </w:r>
    </w:p>
    <w:p w:rsidR="00E9253A" w:rsidRPr="00E9253A" w:rsidRDefault="00E9253A" w:rsidP="00992518">
      <w:pPr>
        <w:pStyle w:val="SingleTxtG"/>
        <w:keepNext/>
        <w:keepLines/>
        <w:rPr>
          <w:lang w:eastAsia="fr-FR"/>
        </w:rPr>
      </w:pPr>
      <w:r w:rsidRPr="00E9253A">
        <w:rPr>
          <w:lang w:eastAsia="fr-FR"/>
        </w:rPr>
        <w:lastRenderedPageBreak/>
        <w:t>9.</w:t>
      </w:r>
      <w:r w:rsidRPr="00E9253A">
        <w:rPr>
          <w:lang w:eastAsia="fr-FR"/>
        </w:rPr>
        <w:tab/>
        <w:t xml:space="preserve">Replace the amendment to 7.1.4.75 </w:t>
      </w:r>
      <w:r w:rsidRPr="00E9253A">
        <w:rPr>
          <w:iCs/>
          <w:lang w:eastAsia="fr-FR"/>
        </w:rPr>
        <w:t>“Risk of sparking”</w:t>
      </w:r>
      <w:r w:rsidRPr="00E9253A">
        <w:rPr>
          <w:lang w:eastAsia="fr-FR"/>
        </w:rPr>
        <w:t xml:space="preserve"> by the following:</w:t>
      </w:r>
    </w:p>
    <w:p w:rsidR="00E9253A" w:rsidRPr="00E9253A" w:rsidRDefault="00E9253A" w:rsidP="00992518">
      <w:pPr>
        <w:pStyle w:val="SingleTxtG"/>
        <w:keepNext/>
        <w:keepLines/>
        <w:rPr>
          <w:lang w:eastAsia="fr-FR"/>
        </w:rPr>
      </w:pPr>
      <w:r w:rsidRPr="00E9253A">
        <w:rPr>
          <w:lang w:eastAsia="fr-FR"/>
        </w:rPr>
        <w:t xml:space="preserve">“Replace 7.1.4.75 </w:t>
      </w:r>
      <w:r w:rsidRPr="00E9253A">
        <w:rPr>
          <w:iCs/>
          <w:lang w:eastAsia="fr-FR"/>
        </w:rPr>
        <w:t>“Risk of sparking”</w:t>
      </w:r>
      <w:r w:rsidRPr="00E9253A">
        <w:rPr>
          <w:lang w:eastAsia="fr-FR"/>
        </w:rPr>
        <w:t xml:space="preserve"> by the following:</w:t>
      </w:r>
    </w:p>
    <w:p w:rsidR="00E9253A" w:rsidRPr="00E9253A" w:rsidRDefault="00E9253A" w:rsidP="00992518">
      <w:pPr>
        <w:pStyle w:val="SingleTxtG"/>
        <w:ind w:left="1701"/>
        <w:rPr>
          <w:lang w:eastAsia="fr-FR"/>
        </w:rPr>
      </w:pPr>
      <w:r w:rsidRPr="00E9253A">
        <w:rPr>
          <w:lang w:eastAsia="fr-FR"/>
        </w:rPr>
        <w:t>“7.1.4.75</w:t>
      </w:r>
      <w:r w:rsidRPr="00E9253A">
        <w:rPr>
          <w:lang w:eastAsia="fr-FR"/>
        </w:rPr>
        <w:tab/>
        <w:t>Risk of sparking</w:t>
      </w:r>
    </w:p>
    <w:p w:rsidR="00E9253A" w:rsidRPr="00E9253A" w:rsidRDefault="00E9253A" w:rsidP="00992518">
      <w:pPr>
        <w:pStyle w:val="SingleTxtG"/>
        <w:ind w:left="1701"/>
        <w:rPr>
          <w:lang w:eastAsia="fr-FR"/>
        </w:rPr>
      </w:pPr>
      <w:r w:rsidRPr="00E9253A">
        <w:rPr>
          <w:lang w:eastAsia="fr-FR"/>
        </w:rPr>
        <w:t>All electrically continuous connections between the vessel and the shore shall be so designed that they do not present a source of ignition. If the vessel substance list as referred to in 1.16.1.2.5 includes substances that require anti-explosion protection in accordance with column (17) of Table C of 3.2.3.2, taking off clothes shall be prohibited in zone 1.”.”.</w:t>
      </w:r>
    </w:p>
    <w:p w:rsidR="00E9253A" w:rsidRPr="00E9253A" w:rsidRDefault="00E9253A" w:rsidP="00983013">
      <w:pPr>
        <w:pStyle w:val="SingleTxtG"/>
        <w:rPr>
          <w:u w:val="single"/>
          <w:lang w:eastAsia="fr-FR"/>
        </w:rPr>
      </w:pPr>
      <w:r w:rsidRPr="00E9253A">
        <w:rPr>
          <w:u w:val="single"/>
          <w:lang w:eastAsia="fr-FR"/>
        </w:rPr>
        <w:t>Justification:</w:t>
      </w:r>
    </w:p>
    <w:p w:rsidR="00E9253A" w:rsidRPr="00E9253A" w:rsidRDefault="00E9253A" w:rsidP="00983013">
      <w:pPr>
        <w:pStyle w:val="SingleTxtG"/>
        <w:rPr>
          <w:lang w:eastAsia="fr-FR"/>
        </w:rPr>
      </w:pPr>
      <w:r w:rsidRPr="00E9253A">
        <w:rPr>
          <w:lang w:eastAsia="fr-FR"/>
        </w:rPr>
        <w:t>Avoiding sources of ignition caused by electrostatic charging is an indispensable part of the measures for anti-explosion protection. Taking off clothes that are not sufficiently dissipative can lead to such electrostatic charging and must therefore be prohibited in zone 1.</w:t>
      </w:r>
    </w:p>
    <w:p w:rsidR="00E9253A" w:rsidRPr="00E9253A" w:rsidRDefault="00E9253A" w:rsidP="00983013">
      <w:pPr>
        <w:pStyle w:val="SingleTxtG"/>
        <w:rPr>
          <w:lang w:eastAsia="fr-FR"/>
        </w:rPr>
      </w:pPr>
      <w:r w:rsidRPr="00E9253A">
        <w:rPr>
          <w:lang w:eastAsia="fr-FR"/>
        </w:rPr>
        <w:t>10.</w:t>
      </w:r>
      <w:r w:rsidRPr="00E9253A">
        <w:rPr>
          <w:lang w:eastAsia="fr-FR"/>
        </w:rPr>
        <w:tab/>
        <w:t>This amendment does not apply to the English version.</w:t>
      </w:r>
    </w:p>
    <w:p w:rsidR="00E9253A" w:rsidRPr="00E9253A" w:rsidRDefault="00E9253A" w:rsidP="00983013">
      <w:pPr>
        <w:pStyle w:val="SingleTxtG"/>
        <w:rPr>
          <w:u w:val="single"/>
          <w:lang w:eastAsia="fr-FR"/>
        </w:rPr>
      </w:pPr>
      <w:r w:rsidRPr="00E9253A">
        <w:rPr>
          <w:u w:val="single"/>
          <w:lang w:eastAsia="fr-FR"/>
        </w:rPr>
        <w:t>Justification:</w:t>
      </w:r>
    </w:p>
    <w:p w:rsidR="00E9253A" w:rsidRPr="00E9253A" w:rsidRDefault="00E9253A" w:rsidP="00983013">
      <w:pPr>
        <w:pStyle w:val="SingleTxtG"/>
        <w:rPr>
          <w:lang w:eastAsia="fr-FR"/>
        </w:rPr>
      </w:pPr>
      <w:r w:rsidRPr="00E9253A">
        <w:rPr>
          <w:lang w:eastAsia="fr-FR"/>
        </w:rPr>
        <w:t>Since the amendment does not apply to the English version, the justification is not translated.</w:t>
      </w:r>
    </w:p>
    <w:p w:rsidR="00E9253A" w:rsidRPr="00E9253A" w:rsidRDefault="00E9253A" w:rsidP="00983013">
      <w:pPr>
        <w:pStyle w:val="SingleTxtG"/>
        <w:rPr>
          <w:lang w:eastAsia="fr-FR"/>
        </w:rPr>
      </w:pPr>
      <w:r w:rsidRPr="00E9253A">
        <w:rPr>
          <w:lang w:eastAsia="fr-FR"/>
        </w:rPr>
        <w:t>11.</w:t>
      </w:r>
      <w:r w:rsidRPr="00E9253A">
        <w:rPr>
          <w:lang w:eastAsia="fr-FR"/>
        </w:rPr>
        <w:tab/>
        <w:t>Add the following sentence to the amendment instruction for 7.2.4.7.1 of ADN: “The competent authority may allow exceptions in individual cases.”.</w:t>
      </w:r>
    </w:p>
    <w:p w:rsidR="00E9253A" w:rsidRPr="00E9253A" w:rsidRDefault="00E9253A" w:rsidP="00983013">
      <w:pPr>
        <w:pStyle w:val="SingleTxtG"/>
        <w:rPr>
          <w:u w:val="single"/>
          <w:lang w:eastAsia="fr-FR"/>
        </w:rPr>
      </w:pPr>
      <w:r w:rsidRPr="00E9253A">
        <w:rPr>
          <w:u w:val="single"/>
          <w:lang w:eastAsia="fr-FR"/>
        </w:rPr>
        <w:t>Justification:</w:t>
      </w:r>
    </w:p>
    <w:p w:rsidR="00E9253A" w:rsidRPr="00E9253A" w:rsidRDefault="00E9253A" w:rsidP="00983013">
      <w:pPr>
        <w:pStyle w:val="SingleTxtG"/>
        <w:rPr>
          <w:lang w:eastAsia="fr-FR"/>
        </w:rPr>
      </w:pPr>
      <w:r w:rsidRPr="00E9253A">
        <w:rPr>
          <w:lang w:eastAsia="fr-FR"/>
        </w:rPr>
        <w:t>The traffic situation or cases where the ship sustains damage can make it necessary to immediately call at such a loading or unloading station. The competent authority has to examine whether the anti-explosion protection can be ensured in a different manner or whether facilitations are justifiable.</w:t>
      </w:r>
    </w:p>
    <w:p w:rsidR="00E9253A" w:rsidRPr="00E9253A" w:rsidRDefault="00E9253A" w:rsidP="00983013">
      <w:pPr>
        <w:pStyle w:val="SingleTxtG"/>
        <w:rPr>
          <w:lang w:eastAsia="fr-FR"/>
        </w:rPr>
      </w:pPr>
      <w:r w:rsidRPr="00E9253A">
        <w:rPr>
          <w:lang w:eastAsia="fr-FR"/>
        </w:rPr>
        <w:t>12.</w:t>
      </w:r>
      <w:r w:rsidRPr="00E9253A">
        <w:rPr>
          <w:lang w:eastAsia="fr-FR"/>
        </w:rPr>
        <w:tab/>
        <w:t>Add the following new amendment to 7.2.4.75:</w:t>
      </w:r>
    </w:p>
    <w:p w:rsidR="00E9253A" w:rsidRPr="00E9253A" w:rsidRDefault="00E9253A" w:rsidP="00983013">
      <w:pPr>
        <w:pStyle w:val="SingleTxtG"/>
        <w:rPr>
          <w:iCs/>
          <w:lang w:eastAsia="fr-FR"/>
        </w:rPr>
      </w:pPr>
      <w:r w:rsidRPr="00E9253A">
        <w:rPr>
          <w:lang w:eastAsia="fr-FR"/>
        </w:rPr>
        <w:t>“7.2.4.75</w:t>
      </w:r>
      <w:r w:rsidRPr="00E9253A">
        <w:rPr>
          <w:lang w:eastAsia="fr-FR"/>
        </w:rPr>
        <w:tab/>
        <w:t xml:space="preserve">Amend to read as follows: </w:t>
      </w:r>
    </w:p>
    <w:p w:rsidR="00E9253A" w:rsidRPr="00E9253A" w:rsidRDefault="00E9253A" w:rsidP="00992518">
      <w:pPr>
        <w:pStyle w:val="SingleTxtG"/>
        <w:ind w:left="1701"/>
        <w:rPr>
          <w:rFonts w:cs="Arial"/>
          <w:lang w:eastAsia="fr-FR"/>
        </w:rPr>
      </w:pPr>
      <w:r w:rsidRPr="00E9253A">
        <w:rPr>
          <w:lang w:eastAsia="fr-FR"/>
        </w:rPr>
        <w:t>“7.2.4.75</w:t>
      </w:r>
      <w:r w:rsidRPr="00E9253A">
        <w:rPr>
          <w:lang w:eastAsia="fr-FR"/>
        </w:rPr>
        <w:tab/>
        <w:t>Risk of sparking</w:t>
      </w:r>
    </w:p>
    <w:p w:rsidR="00E9253A" w:rsidRPr="00E9253A" w:rsidRDefault="00E9253A" w:rsidP="00992518">
      <w:pPr>
        <w:pStyle w:val="SingleTxtG"/>
        <w:ind w:left="1701"/>
        <w:rPr>
          <w:rFonts w:cs="Arial"/>
          <w:lang w:eastAsia="fr-FR"/>
        </w:rPr>
      </w:pPr>
      <w:r w:rsidRPr="00E9253A">
        <w:rPr>
          <w:lang w:eastAsia="fr-FR"/>
        </w:rPr>
        <w:t>All electrically continuous connections between the vessel and the shore shall be so designed that they do not present a source of ignition. If the vessel substance list as referred to in 1.16.1.2.5 includes substances that require anti-explosion protection in accordance with column (17) of Table C of 3.2.3.2, taking off clothes shall be prohibited in zone 1.”.”.</w:t>
      </w:r>
    </w:p>
    <w:p w:rsidR="00E9253A" w:rsidRPr="00E9253A" w:rsidRDefault="00E9253A" w:rsidP="00983013">
      <w:pPr>
        <w:pStyle w:val="SingleTxtG"/>
        <w:rPr>
          <w:rFonts w:cs="Arial"/>
          <w:u w:val="single"/>
          <w:lang w:eastAsia="fr-FR"/>
        </w:rPr>
      </w:pPr>
      <w:r w:rsidRPr="00E9253A">
        <w:rPr>
          <w:u w:val="single"/>
          <w:lang w:eastAsia="fr-FR"/>
        </w:rPr>
        <w:t>Justification:</w:t>
      </w:r>
    </w:p>
    <w:p w:rsidR="00E9253A" w:rsidRPr="00E9253A" w:rsidRDefault="00E9253A" w:rsidP="00983013">
      <w:pPr>
        <w:pStyle w:val="SingleTxtG"/>
        <w:rPr>
          <w:lang w:eastAsia="fr-FR"/>
        </w:rPr>
      </w:pPr>
      <w:r w:rsidRPr="00E9253A">
        <w:rPr>
          <w:lang w:eastAsia="fr-FR"/>
        </w:rPr>
        <w:t>Avoiding sources of ignition caused by electrostatic charging is an indispensable part of the measures for anti-explosion protection. Taking off clothes that are not sufficiently dissipative can lead to such electrostatic charging and must therefore be prohibited in zone 1.</w:t>
      </w:r>
    </w:p>
    <w:p w:rsidR="00E9253A" w:rsidRPr="00E9253A" w:rsidRDefault="00E9253A" w:rsidP="00983013">
      <w:pPr>
        <w:pStyle w:val="SingleTxtG"/>
        <w:rPr>
          <w:lang w:eastAsia="fr-FR"/>
        </w:rPr>
      </w:pPr>
      <w:r w:rsidRPr="00E9253A">
        <w:rPr>
          <w:lang w:eastAsia="fr-FR"/>
        </w:rPr>
        <w:t>13.</w:t>
      </w:r>
      <w:r w:rsidRPr="00E9253A">
        <w:rPr>
          <w:lang w:eastAsia="fr-FR"/>
        </w:rPr>
        <w:tab/>
        <w:t>Amend the third indent of the proposal for 8.3.5 of ADN to read as follows:</w:t>
      </w:r>
    </w:p>
    <w:p w:rsidR="00E9253A" w:rsidRPr="00E9253A" w:rsidRDefault="00E9253A" w:rsidP="00992518">
      <w:pPr>
        <w:pStyle w:val="SingleTxtG"/>
        <w:ind w:left="1701"/>
        <w:rPr>
          <w:rFonts w:eastAsia="Calibri"/>
          <w:lang w:eastAsia="fr-FR"/>
        </w:rPr>
      </w:pPr>
      <w:r w:rsidRPr="00E9253A">
        <w:rPr>
          <w:lang w:eastAsia="fr-FR"/>
        </w:rPr>
        <w:t xml:space="preserve">“- </w:t>
      </w:r>
      <w:r w:rsidRPr="00E9253A">
        <w:rPr>
          <w:lang w:eastAsia="fr-FR"/>
        </w:rPr>
        <w:tab/>
        <w:t>When the vessel is not in the vicinity of or within an onshore assigned zone and, in the case of a tank vessel, has a certificate attesting to the totally gas-free condition of the vessel in accordance with 7.2.3.7.6 or an authorization from the competent authority or in the case of a dry cargo vessel, has a certificate attesting to the totally gas-free condition of the protected area or an authorization from the competent authority.”.</w:t>
      </w:r>
    </w:p>
    <w:p w:rsidR="00E9253A" w:rsidRPr="00E9253A" w:rsidRDefault="00E9253A" w:rsidP="00983013">
      <w:pPr>
        <w:pStyle w:val="SingleTxtG"/>
        <w:rPr>
          <w:rFonts w:cs="Arial"/>
          <w:u w:val="single"/>
          <w:lang w:eastAsia="fr-FR"/>
        </w:rPr>
      </w:pPr>
      <w:r w:rsidRPr="00E9253A">
        <w:rPr>
          <w:u w:val="single"/>
          <w:lang w:eastAsia="fr-FR"/>
        </w:rPr>
        <w:lastRenderedPageBreak/>
        <w:t>Justification:</w:t>
      </w:r>
    </w:p>
    <w:p w:rsidR="00E9253A" w:rsidRPr="00E9253A" w:rsidRDefault="00E9253A" w:rsidP="00983013">
      <w:pPr>
        <w:pStyle w:val="SingleTxtG"/>
        <w:rPr>
          <w:rFonts w:cs="Arial"/>
          <w:lang w:eastAsia="fr-FR"/>
        </w:rPr>
      </w:pPr>
      <w:r w:rsidRPr="00E9253A">
        <w:rPr>
          <w:lang w:eastAsia="fr-FR"/>
        </w:rPr>
        <w:t>The possibility of substituting the certificate attesting to a totally gas-free condition for an authorization by an authority that has been in place up to ADN 2017 should also be maintained for tank vessels.</w:t>
      </w:r>
    </w:p>
    <w:p w:rsidR="00E9253A" w:rsidRPr="00E9253A" w:rsidRDefault="00E9253A" w:rsidP="00983013">
      <w:pPr>
        <w:pStyle w:val="SingleTxtG"/>
        <w:rPr>
          <w:rFonts w:cs="Arial"/>
          <w:lang w:eastAsia="fr-FR"/>
        </w:rPr>
      </w:pPr>
      <w:r w:rsidRPr="00E9253A">
        <w:rPr>
          <w:lang w:eastAsia="fr-FR"/>
        </w:rPr>
        <w:t>14.</w:t>
      </w:r>
      <w:r w:rsidRPr="00E9253A">
        <w:rPr>
          <w:lang w:eastAsia="fr-FR"/>
        </w:rPr>
        <w:tab/>
        <w:t>Amend the proposed amendment to 9.1.0.52.1 (b) of ADN to read as follows:</w:t>
      </w:r>
    </w:p>
    <w:p w:rsidR="00E9253A" w:rsidRPr="00E9253A" w:rsidRDefault="00E9253A" w:rsidP="00992518">
      <w:pPr>
        <w:pStyle w:val="SingleTxtG"/>
        <w:ind w:left="1701"/>
        <w:rPr>
          <w:rFonts w:eastAsia="Calibri"/>
          <w:lang w:eastAsia="fr-FR"/>
        </w:rPr>
      </w:pPr>
      <w:r w:rsidRPr="00E9253A">
        <w:rPr>
          <w:lang w:eastAsia="fr-FR"/>
        </w:rPr>
        <w:t>“b)</w:t>
      </w:r>
      <w:r w:rsidRPr="00E9253A">
        <w:rPr>
          <w:lang w:eastAsia="fr-FR"/>
        </w:rPr>
        <w:tab/>
        <w:t>Mobile and fixed telephone installations as well as stationary and portable computers in the accommodation or the wheelhouse;”.</w:t>
      </w:r>
    </w:p>
    <w:p w:rsidR="00E9253A" w:rsidRPr="00E9253A" w:rsidRDefault="00E9253A" w:rsidP="00983013">
      <w:pPr>
        <w:pStyle w:val="SingleTxtG"/>
        <w:rPr>
          <w:rFonts w:cs="Arial"/>
          <w:u w:val="single"/>
          <w:lang w:eastAsia="fr-FR"/>
        </w:rPr>
      </w:pPr>
      <w:r w:rsidRPr="00E9253A">
        <w:rPr>
          <w:u w:val="single"/>
          <w:lang w:eastAsia="fr-FR"/>
        </w:rPr>
        <w:t>Justification:</w:t>
      </w:r>
    </w:p>
    <w:p w:rsidR="00E9253A" w:rsidRPr="00E9253A" w:rsidRDefault="00E9253A" w:rsidP="00983013">
      <w:pPr>
        <w:pStyle w:val="SingleTxtG"/>
        <w:rPr>
          <w:rFonts w:eastAsia="Calibri"/>
          <w:szCs w:val="24"/>
          <w:lang w:eastAsia="fr-FR"/>
        </w:rPr>
      </w:pPr>
      <w:r w:rsidRPr="00E9253A">
        <w:rPr>
          <w:lang w:eastAsia="fr-FR"/>
        </w:rPr>
        <w:t>The aforementioned devices are used either in the wheelhouse as on-board computer, e. g. in the loading instrument system, or they are used for operational or personal purposes by the vessel’s crew, e. g. mobile telephones. Also requiring the “limited explosion risk” type for these devices is disproportionate.</w:t>
      </w:r>
    </w:p>
    <w:p w:rsidR="00E9253A" w:rsidRPr="00E9253A" w:rsidRDefault="00E9253A" w:rsidP="00983013">
      <w:pPr>
        <w:pStyle w:val="SingleTxtG"/>
        <w:rPr>
          <w:rFonts w:cs="Arial"/>
          <w:lang w:eastAsia="fr-FR"/>
        </w:rPr>
      </w:pPr>
      <w:r w:rsidRPr="00E9253A">
        <w:rPr>
          <w:lang w:eastAsia="fr-FR"/>
        </w:rPr>
        <w:t>15.</w:t>
      </w:r>
      <w:r w:rsidRPr="00E9253A">
        <w:rPr>
          <w:lang w:eastAsia="fr-FR"/>
        </w:rPr>
        <w:tab/>
        <w:t>In the proposed amendment to 9.3.2.21.1 (f) and 9.3.2.21.1 (f) of ADN, replace the second reference to “9.3.2.21.1</w:t>
      </w:r>
      <w:r w:rsidR="00977B6F" w:rsidRPr="00E9253A">
        <w:rPr>
          <w:lang w:eastAsia="fr-FR"/>
        </w:rPr>
        <w:t>”</w:t>
      </w:r>
      <w:r w:rsidRPr="00E9253A">
        <w:rPr>
          <w:lang w:eastAsia="fr-FR"/>
        </w:rPr>
        <w:t xml:space="preserve"> by “9.3.3.21.1</w:t>
      </w:r>
      <w:r w:rsidR="00977B6F" w:rsidRPr="00E9253A">
        <w:rPr>
          <w:lang w:eastAsia="fr-FR"/>
        </w:rPr>
        <w:t>”</w:t>
      </w:r>
      <w:r w:rsidRPr="00E9253A">
        <w:rPr>
          <w:lang w:eastAsia="fr-FR"/>
        </w:rPr>
        <w:t>.</w:t>
      </w:r>
    </w:p>
    <w:p w:rsidR="00E9253A" w:rsidRPr="00E9253A" w:rsidRDefault="00E9253A" w:rsidP="00983013">
      <w:pPr>
        <w:pStyle w:val="SingleTxtG"/>
        <w:rPr>
          <w:rFonts w:cs="Arial"/>
          <w:u w:val="single"/>
          <w:lang w:eastAsia="fr-FR"/>
        </w:rPr>
      </w:pPr>
      <w:r w:rsidRPr="00E9253A">
        <w:rPr>
          <w:u w:val="single"/>
          <w:lang w:eastAsia="fr-FR"/>
        </w:rPr>
        <w:t xml:space="preserve">Justification: </w:t>
      </w:r>
    </w:p>
    <w:p w:rsidR="00E9253A" w:rsidRPr="00E9253A" w:rsidRDefault="00E9253A" w:rsidP="00983013">
      <w:pPr>
        <w:pStyle w:val="SingleTxtG"/>
        <w:rPr>
          <w:rFonts w:cs="Arial"/>
          <w:u w:val="single"/>
          <w:lang w:eastAsia="fr-FR"/>
        </w:rPr>
      </w:pPr>
      <w:r w:rsidRPr="00E9253A">
        <w:rPr>
          <w:lang w:eastAsia="fr-FR"/>
        </w:rPr>
        <w:t xml:space="preserve">The provision also applies to type N vessels. </w:t>
      </w:r>
    </w:p>
    <w:p w:rsidR="00E9253A" w:rsidRPr="00E9253A" w:rsidRDefault="00E9253A" w:rsidP="00983013">
      <w:pPr>
        <w:pStyle w:val="SingleTxtG"/>
        <w:rPr>
          <w:lang w:eastAsia="fr-FR"/>
        </w:rPr>
      </w:pPr>
      <w:r w:rsidRPr="00E9253A">
        <w:rPr>
          <w:lang w:eastAsia="fr-FR"/>
        </w:rPr>
        <w:t>16.</w:t>
      </w:r>
      <w:r w:rsidRPr="00E9253A">
        <w:rPr>
          <w:lang w:eastAsia="fr-FR"/>
        </w:rPr>
        <w:tab/>
        <w:t>In the proposed amendment to 9.3.2.22.4 (b) of ADN, delete the second indent.</w:t>
      </w:r>
    </w:p>
    <w:p w:rsidR="00992518" w:rsidRDefault="00E9253A" w:rsidP="00983013">
      <w:pPr>
        <w:pStyle w:val="SingleTxtG"/>
        <w:rPr>
          <w:lang w:eastAsia="fr-FR"/>
        </w:rPr>
      </w:pPr>
      <w:r w:rsidRPr="00E9253A">
        <w:rPr>
          <w:lang w:eastAsia="fr-FR"/>
        </w:rPr>
        <w:t xml:space="preserve">In (e), amend the beginning of the sentence to read as follows: </w:t>
      </w:r>
    </w:p>
    <w:p w:rsidR="00E9253A" w:rsidRPr="00E9253A" w:rsidRDefault="00E9253A" w:rsidP="00992518">
      <w:pPr>
        <w:pStyle w:val="SingleTxtG"/>
        <w:ind w:left="1701"/>
        <w:rPr>
          <w:rFonts w:cs="Arial"/>
          <w:lang w:eastAsia="fr-FR"/>
        </w:rPr>
      </w:pPr>
      <w:r w:rsidRPr="00E9253A">
        <w:rPr>
          <w:lang w:eastAsia="fr-FR"/>
        </w:rPr>
        <w:t>“(e)</w:t>
      </w:r>
      <w:r w:rsidRPr="00E9253A">
        <w:rPr>
          <w:lang w:eastAsia="fr-FR"/>
        </w:rPr>
        <w:tab/>
        <w:t>The autonomous protection system mentioned in (c) [...]”.</w:t>
      </w:r>
    </w:p>
    <w:p w:rsidR="00E9253A" w:rsidRPr="00E9253A" w:rsidRDefault="00E9253A" w:rsidP="00983013">
      <w:pPr>
        <w:pStyle w:val="SingleTxtG"/>
        <w:rPr>
          <w:rFonts w:cs="Arial"/>
          <w:u w:val="single"/>
          <w:lang w:eastAsia="fr-FR"/>
        </w:rPr>
      </w:pPr>
      <w:r w:rsidRPr="00E9253A">
        <w:rPr>
          <w:u w:val="single"/>
          <w:lang w:eastAsia="fr-FR"/>
        </w:rPr>
        <w:t>Justification:</w:t>
      </w:r>
    </w:p>
    <w:p w:rsidR="00E9253A" w:rsidRPr="00E9253A" w:rsidRDefault="00E9253A" w:rsidP="00983013">
      <w:pPr>
        <w:pStyle w:val="SingleTxtG"/>
        <w:rPr>
          <w:rFonts w:cs="Arial"/>
          <w:lang w:eastAsia="fr-FR"/>
        </w:rPr>
      </w:pPr>
      <w:r w:rsidRPr="00E9253A">
        <w:rPr>
          <w:lang w:eastAsia="fr-FR"/>
        </w:rPr>
        <w:t>This requirement is already included in the definition.</w:t>
      </w:r>
    </w:p>
    <w:p w:rsidR="00E9253A" w:rsidRPr="00E9253A" w:rsidRDefault="00E9253A" w:rsidP="00983013">
      <w:pPr>
        <w:pStyle w:val="SingleTxtG"/>
        <w:rPr>
          <w:rFonts w:cs="Arial"/>
          <w:lang w:eastAsia="fr-FR"/>
        </w:rPr>
      </w:pPr>
      <w:r w:rsidRPr="00E9253A">
        <w:rPr>
          <w:rFonts w:eastAsia="Calibri"/>
          <w:lang w:eastAsia="fr-FR"/>
        </w:rPr>
        <w:t>Remark: in the german language version of document 2018/11 „autonome Schutzsysteme“ in the plural, in the english language version of document 2018/11 „</w:t>
      </w:r>
      <w:r w:rsidRPr="00E9253A">
        <w:rPr>
          <w:lang w:eastAsia="fr-FR"/>
        </w:rPr>
        <w:t>autonomous protection system“ in  the singular.</w:t>
      </w:r>
    </w:p>
    <w:p w:rsidR="00E9253A" w:rsidRPr="00E9253A" w:rsidRDefault="00E9253A" w:rsidP="00983013">
      <w:pPr>
        <w:pStyle w:val="SingleTxtG"/>
        <w:rPr>
          <w:lang w:eastAsia="fr-FR"/>
        </w:rPr>
      </w:pPr>
      <w:r w:rsidRPr="00E9253A">
        <w:rPr>
          <w:lang w:eastAsia="fr-FR"/>
        </w:rPr>
        <w:t>17.</w:t>
      </w:r>
      <w:r w:rsidRPr="00E9253A">
        <w:rPr>
          <w:lang w:eastAsia="fr-FR"/>
        </w:rPr>
        <w:tab/>
        <w:t xml:space="preserve">In the proposed amendment to 9.3.2.22.4 (a) of ADN, delete the words “of the shut-off valve”. </w:t>
      </w:r>
    </w:p>
    <w:p w:rsidR="00E9253A" w:rsidRPr="00E9253A" w:rsidRDefault="00E9253A" w:rsidP="00983013">
      <w:pPr>
        <w:pStyle w:val="SingleTxtG"/>
        <w:rPr>
          <w:rFonts w:cs="Arial"/>
          <w:lang w:eastAsia="fr-FR"/>
        </w:rPr>
      </w:pPr>
      <w:r w:rsidRPr="00E9253A">
        <w:rPr>
          <w:lang w:eastAsia="fr-FR"/>
        </w:rPr>
        <w:t>18.</w:t>
      </w:r>
      <w:r w:rsidRPr="00E9253A">
        <w:rPr>
          <w:lang w:eastAsia="fr-FR"/>
        </w:rPr>
        <w:tab/>
        <w:t>In the proposed amendment to 9.3.3.22.4 (b) of ADN, delete the words “of the shut-off valve”.</w:t>
      </w:r>
    </w:p>
    <w:p w:rsidR="00E9253A" w:rsidRPr="00E9253A" w:rsidRDefault="00E9253A" w:rsidP="00983013">
      <w:pPr>
        <w:pStyle w:val="SingleTxtG"/>
        <w:rPr>
          <w:rFonts w:cs="Arial"/>
          <w:u w:val="single"/>
          <w:lang w:eastAsia="fr-FR"/>
        </w:rPr>
      </w:pPr>
      <w:r w:rsidRPr="00E9253A">
        <w:rPr>
          <w:u w:val="single"/>
          <w:lang w:eastAsia="fr-FR"/>
        </w:rPr>
        <w:t>Justification for 16 and 17:</w:t>
      </w:r>
    </w:p>
    <w:p w:rsidR="00E9253A" w:rsidRPr="00E9253A" w:rsidRDefault="00E9253A" w:rsidP="00983013">
      <w:pPr>
        <w:pStyle w:val="SingleTxtG"/>
        <w:rPr>
          <w:rFonts w:cs="Arial"/>
          <w:lang w:eastAsia="fr-FR"/>
        </w:rPr>
      </w:pPr>
      <w:r w:rsidRPr="00E9253A">
        <w:rPr>
          <w:lang w:eastAsia="fr-FR"/>
        </w:rPr>
        <w:t>The “shut-off valve” mentioned is no additional component but refers to the safe depressurization device itself.</w:t>
      </w:r>
    </w:p>
    <w:p w:rsidR="00E9253A" w:rsidRPr="00E9253A" w:rsidRDefault="00983013" w:rsidP="00983013">
      <w:pPr>
        <w:pStyle w:val="HChG"/>
        <w:rPr>
          <w:lang w:eastAsia="fr-FR"/>
        </w:rPr>
      </w:pPr>
      <w:r>
        <w:rPr>
          <w:lang w:eastAsia="fr-FR"/>
        </w:rPr>
        <w:tab/>
      </w:r>
      <w:r w:rsidR="00E9253A" w:rsidRPr="00E9253A">
        <w:rPr>
          <w:lang w:eastAsia="fr-FR"/>
        </w:rPr>
        <w:t>II.</w:t>
      </w:r>
      <w:r w:rsidR="00E9253A" w:rsidRPr="00E9253A">
        <w:rPr>
          <w:lang w:eastAsia="fr-FR"/>
        </w:rPr>
        <w:tab/>
        <w:t>Feasibility</w:t>
      </w:r>
    </w:p>
    <w:p w:rsidR="00E9253A" w:rsidRPr="00E9253A" w:rsidRDefault="00E9253A" w:rsidP="00983013">
      <w:pPr>
        <w:pStyle w:val="SingleTxtG"/>
        <w:rPr>
          <w:lang w:eastAsia="fr-FR"/>
        </w:rPr>
      </w:pPr>
      <w:r w:rsidRPr="00E9253A">
        <w:rPr>
          <w:lang w:eastAsia="fr-FR"/>
        </w:rPr>
        <w:t>19.</w:t>
      </w:r>
      <w:r w:rsidRPr="00E9253A">
        <w:rPr>
          <w:lang w:eastAsia="fr-FR"/>
        </w:rPr>
        <w:tab/>
        <w:t>None of the proposed amendments requires additional investment in shipbuilding or changes to transport processes.</w:t>
      </w:r>
    </w:p>
    <w:p w:rsidR="00E9253A" w:rsidRPr="00E9253A" w:rsidRDefault="00E9253A" w:rsidP="00983013">
      <w:pPr>
        <w:pStyle w:val="SingleTxtG"/>
        <w:rPr>
          <w:lang w:eastAsia="fr-FR"/>
        </w:rPr>
      </w:pPr>
      <w:r w:rsidRPr="00E9253A">
        <w:rPr>
          <w:lang w:eastAsia="fr-FR"/>
        </w:rPr>
        <w:t xml:space="preserve">Potential additional costs for protective gloves, protective shoes or protective boots are </w:t>
      </w:r>
      <w:r w:rsidRPr="00983013">
        <w:t>justified</w:t>
      </w:r>
      <w:r w:rsidRPr="00E9253A">
        <w:rPr>
          <w:lang w:eastAsia="fr-FR"/>
        </w:rPr>
        <w:t xml:space="preserve"> by successful anti-explosion protection and the improved protection of the personnel on board. </w:t>
      </w:r>
    </w:p>
    <w:p w:rsidR="00E9253A" w:rsidRPr="00E9253A" w:rsidRDefault="00977B6F" w:rsidP="00983013">
      <w:pPr>
        <w:pStyle w:val="SingleTxtG"/>
        <w:rPr>
          <w:lang w:eastAsia="fr-FR"/>
        </w:rPr>
      </w:pPr>
      <w:r>
        <w:rPr>
          <w:noProof/>
          <w:lang w:eastAsia="fr-FR"/>
        </w:rPr>
        <mc:AlternateContent>
          <mc:Choice Requires="wps">
            <w:drawing>
              <wp:anchor distT="45720" distB="45720" distL="114300" distR="114300" simplePos="0" relativeHeight="251659264" behindDoc="0" locked="0" layoutInCell="1" allowOverlap="1">
                <wp:simplePos x="0" y="0"/>
                <wp:positionH relativeFrom="column">
                  <wp:posOffset>1668780</wp:posOffset>
                </wp:positionH>
                <wp:positionV relativeFrom="paragraph">
                  <wp:posOffset>460375</wp:posOffset>
                </wp:positionV>
                <wp:extent cx="2837815" cy="1404620"/>
                <wp:effectExtent l="0" t="0" r="1968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04620"/>
                        </a:xfrm>
                        <a:prstGeom prst="rect">
                          <a:avLst/>
                        </a:prstGeom>
                        <a:solidFill>
                          <a:srgbClr val="FFFFFF"/>
                        </a:solidFill>
                        <a:ln w="9525">
                          <a:solidFill>
                            <a:schemeClr val="bg1"/>
                          </a:solidFill>
                          <a:miter lim="800000"/>
                          <a:headEnd/>
                          <a:tailEnd/>
                        </a:ln>
                      </wps:spPr>
                      <wps:txbx>
                        <w:txbxContent>
                          <w:p w:rsidR="00977B6F" w:rsidRPr="00977B6F" w:rsidRDefault="00977B6F" w:rsidP="00977B6F">
                            <w:pPr>
                              <w:pStyle w:val="SingleTxtG"/>
                              <w:spacing w:after="0"/>
                              <w:jc w:val="center"/>
                              <w:rPr>
                                <w:u w:val="single"/>
                              </w:rPr>
                            </w:pPr>
                            <w:r w:rsidRPr="0075208E">
                              <w:rPr>
                                <w:u w:val="single"/>
                              </w:rPr>
                              <w:tab/>
                            </w:r>
                            <w:r w:rsidRPr="0075208E">
                              <w:rPr>
                                <w:u w:val="single"/>
                              </w:rPr>
                              <w:tab/>
                            </w:r>
                            <w:r w:rsidRPr="0075208E">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4pt;margin-top:36.25pt;width:223.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QdKwIAAEYEAAAOAAAAZHJzL2Uyb0RvYy54bWysU9uO2yAQfa/Uf0C8N7402WStOKtttqkq&#10;bS/Sbj8AY2yjYoYCiZ1+fQecTdP0rSoPiGGGw8w5M+u7sVfkIKyToEuazVJKhOZQS92W9Nvz7s2K&#10;EueZrpkCLUp6FI7ebV6/Wg+mEDl0oGphCYJoVwympJ33pkgSxzvRMzcDIzQ6G7A982jaNqktGxC9&#10;V0mepjfJALY2FrhwDm8fJifdRPymEdx/aRonPFElxdx83G3cq7AnmzUrWstMJ/kpDfYPWfRMavz0&#10;DPXAPCN7K/+C6iW34KDxMw59Ak0juYg1YDVZelXNU8eMiLUgOc6caXL/D5Z/Pny1RNYlzbMlJZr1&#10;KNKzGD15ByPJAz+DcQWGPRkM9CNeo86xVmcegX93RMO2Y7oV99bC0AlWY35ZeJlcPJ1wXACphk9Q&#10;4zds7yECjY3tA3lIB0F01Ol41iakwvEyX71drrIFJRx92Tyd3+RRvYQVL8+Ndf6DgJ6EQ0ktih/h&#10;2eHR+ZAOK15Cwm8OlKx3Uqlo2LbaKksODBtlF1es4CpMaTKU9HaRLyYG/oAIPSvOIFU7cXCF0EuP&#10;Da9kX9JVGtbUgoG297qO7eiZVNMZM1b6xGOgbiLRj9V40qWC+oiMWpgaGwcRDx3Yn5QM2NQldT/2&#10;zApK1EeNqtxm83mYgmjMF0ukkNhLT3XpYZojVEk9JdNx6+PkRL7MPaq3k5HXIPOUySlXbNZI92mw&#10;wjRc2jHq9/hvfgEAAP//AwBQSwMEFAAGAAgAAAAhABBh58zgAAAACgEAAA8AAABkcnMvZG93bnJl&#10;di54bWxMj81OwzAQhO9IvIO1SNyoQxANDXEqQIIDh1YNVbk6yeZH2OsodtLw9iwnOI5mNPNNtl2s&#10;ETOOvnek4HYVgUCqXN1Tq+D48XrzAMIHTbU2jlDBN3rY5pcXmU5rd6YDzkVoBZeQT7WCLoQhldJX&#10;HVrtV25AYq9xo9WB5djKetRnLrdGxlG0llb3xAudHvClw+qrmKyCt2dZ7g7Fvmw+GzO/m5Oddnur&#10;1PXV8vQIIuAS/sLwi8/okDNT6SaqvTAK4nXM6EFBEt+D4EASbRIQJTubuwRknsn/F/IfAAAA//8D&#10;AFBLAQItABQABgAIAAAAIQC2gziS/gAAAOEBAAATAAAAAAAAAAAAAAAAAAAAAABbQ29udGVudF9U&#10;eXBlc10ueG1sUEsBAi0AFAAGAAgAAAAhADj9If/WAAAAlAEAAAsAAAAAAAAAAAAAAAAALwEAAF9y&#10;ZWxzLy5yZWxzUEsBAi0AFAAGAAgAAAAhADaCxB0rAgAARgQAAA4AAAAAAAAAAAAAAAAALgIAAGRy&#10;cy9lMm9Eb2MueG1sUEsBAi0AFAAGAAgAAAAhABBh58zgAAAACgEAAA8AAAAAAAAAAAAAAAAAhQQA&#10;AGRycy9kb3ducmV2LnhtbFBLBQYAAAAABAAEAPMAAACSBQAAAAA=&#10;" strokecolor="white [3212]">
                <v:textbox style="mso-fit-shape-to-text:t">
                  <w:txbxContent>
                    <w:p w:rsidR="00977B6F" w:rsidRPr="00977B6F" w:rsidRDefault="00977B6F" w:rsidP="00977B6F">
                      <w:pPr>
                        <w:pStyle w:val="SingleTxtG"/>
                        <w:spacing w:after="0"/>
                        <w:jc w:val="center"/>
                        <w:rPr>
                          <w:u w:val="single"/>
                        </w:rPr>
                      </w:pPr>
                      <w:r w:rsidRPr="0075208E">
                        <w:rPr>
                          <w:u w:val="single"/>
                        </w:rPr>
                        <w:tab/>
                      </w:r>
                      <w:r w:rsidRPr="0075208E">
                        <w:rPr>
                          <w:u w:val="single"/>
                        </w:rPr>
                        <w:tab/>
                      </w:r>
                      <w:r w:rsidRPr="0075208E">
                        <w:rPr>
                          <w:u w:val="single"/>
                        </w:rPr>
                        <w:tab/>
                      </w:r>
                    </w:p>
                  </w:txbxContent>
                </v:textbox>
                <w10:wrap type="square"/>
              </v:shape>
            </w:pict>
          </mc:Fallback>
        </mc:AlternateContent>
      </w:r>
      <w:r w:rsidR="00E9253A" w:rsidRPr="00E9253A">
        <w:rPr>
          <w:lang w:eastAsia="fr-FR"/>
        </w:rPr>
        <w:t>The procedure of obtaining authorization from the com</w:t>
      </w:r>
      <w:r w:rsidR="00992518">
        <w:rPr>
          <w:lang w:eastAsia="fr-FR"/>
        </w:rPr>
        <w:t>petent authority introduced in N</w:t>
      </w:r>
      <w:r w:rsidR="00E9253A" w:rsidRPr="00E9253A">
        <w:rPr>
          <w:lang w:eastAsia="fr-FR"/>
        </w:rPr>
        <w:t>o. 13, reflects the current legal situation.</w:t>
      </w:r>
    </w:p>
    <w:sectPr w:rsidR="00E9253A" w:rsidRPr="00E9253A" w:rsidSect="00BC3F4C">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F97" w:rsidRDefault="00DB5F97"/>
  </w:endnote>
  <w:endnote w:type="continuationSeparator" w:id="0">
    <w:p w:rsidR="00DB5F97" w:rsidRDefault="00DB5F97"/>
  </w:endnote>
  <w:endnote w:type="continuationNotice" w:id="1">
    <w:p w:rsidR="00DB5F97" w:rsidRDefault="00DB5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4C" w:rsidRDefault="00BC3F4C" w:rsidP="00BC3F4C">
    <w:pPr>
      <w:pStyle w:val="Footer"/>
    </w:pPr>
    <w:r w:rsidRPr="00A22C7D">
      <w:rPr>
        <w:b/>
        <w:sz w:val="18"/>
      </w:rPr>
      <w:fldChar w:fldCharType="begin"/>
    </w:r>
    <w:r w:rsidRPr="00A22C7D">
      <w:rPr>
        <w:b/>
        <w:sz w:val="18"/>
      </w:rPr>
      <w:instrText xml:space="preserve"> PAGE  \* MERGEFORMAT </w:instrText>
    </w:r>
    <w:r w:rsidRPr="00A22C7D">
      <w:rPr>
        <w:b/>
        <w:sz w:val="18"/>
      </w:rPr>
      <w:fldChar w:fldCharType="separate"/>
    </w:r>
    <w:r w:rsidR="00D165EC">
      <w:rPr>
        <w:b/>
        <w:noProof/>
        <w:sz w:val="18"/>
      </w:rPr>
      <w:t>2</w:t>
    </w:r>
    <w:r w:rsidRPr="00A22C7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4C" w:rsidRDefault="00BC3F4C" w:rsidP="00BC3F4C">
    <w:pPr>
      <w:pStyle w:val="Footer"/>
      <w:jc w:val="right"/>
    </w:pPr>
    <w:r w:rsidRPr="00A22C7D">
      <w:rPr>
        <w:b/>
        <w:sz w:val="18"/>
      </w:rPr>
      <w:fldChar w:fldCharType="begin"/>
    </w:r>
    <w:r w:rsidRPr="00A22C7D">
      <w:rPr>
        <w:b/>
        <w:sz w:val="18"/>
      </w:rPr>
      <w:instrText xml:space="preserve"> PAGE  \* MERGEFORMAT </w:instrText>
    </w:r>
    <w:r w:rsidRPr="00A22C7D">
      <w:rPr>
        <w:b/>
        <w:sz w:val="18"/>
      </w:rPr>
      <w:fldChar w:fldCharType="separate"/>
    </w:r>
    <w:r w:rsidR="00D165EC">
      <w:rPr>
        <w:b/>
        <w:noProof/>
        <w:sz w:val="18"/>
      </w:rPr>
      <w:t>3</w:t>
    </w:r>
    <w:r w:rsidRPr="00A22C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7D" w:rsidRPr="00436478" w:rsidRDefault="00436478" w:rsidP="00436478">
    <w:pPr>
      <w:jc w:val="right"/>
      <w:rPr>
        <w:b/>
        <w:sz w:val="18"/>
        <w:szCs w:val="18"/>
      </w:rPr>
    </w:pPr>
    <w:r w:rsidRPr="00436478">
      <w:rPr>
        <w:b/>
        <w:sz w:val="18"/>
        <w:szCs w:val="18"/>
      </w:rPr>
      <w:fldChar w:fldCharType="begin"/>
    </w:r>
    <w:r w:rsidRPr="00436478">
      <w:rPr>
        <w:b/>
        <w:sz w:val="18"/>
        <w:szCs w:val="18"/>
      </w:rPr>
      <w:instrText xml:space="preserve"> PAGE   \* MERGEFORMAT </w:instrText>
    </w:r>
    <w:r w:rsidRPr="00436478">
      <w:rPr>
        <w:b/>
        <w:sz w:val="18"/>
        <w:szCs w:val="18"/>
      </w:rPr>
      <w:fldChar w:fldCharType="separate"/>
    </w:r>
    <w:r w:rsidR="00D165EC">
      <w:rPr>
        <w:b/>
        <w:noProof/>
        <w:sz w:val="18"/>
        <w:szCs w:val="18"/>
      </w:rPr>
      <w:t>1</w:t>
    </w:r>
    <w:r w:rsidRPr="00436478">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F97" w:rsidRPr="000B175B" w:rsidRDefault="00DB5F97" w:rsidP="000B175B">
      <w:pPr>
        <w:tabs>
          <w:tab w:val="right" w:pos="2155"/>
        </w:tabs>
        <w:spacing w:after="80"/>
        <w:ind w:left="680"/>
        <w:rPr>
          <w:u w:val="single"/>
        </w:rPr>
      </w:pPr>
      <w:r>
        <w:rPr>
          <w:u w:val="single"/>
        </w:rPr>
        <w:tab/>
      </w:r>
    </w:p>
  </w:footnote>
  <w:footnote w:type="continuationSeparator" w:id="0">
    <w:p w:rsidR="00DB5F97" w:rsidRPr="00FC68B7" w:rsidRDefault="00DB5F97" w:rsidP="00FC68B7">
      <w:pPr>
        <w:tabs>
          <w:tab w:val="left" w:pos="2155"/>
        </w:tabs>
        <w:spacing w:after="80"/>
        <w:ind w:left="680"/>
        <w:rPr>
          <w:u w:val="single"/>
        </w:rPr>
      </w:pPr>
      <w:r>
        <w:rPr>
          <w:u w:val="single"/>
        </w:rPr>
        <w:tab/>
      </w:r>
    </w:p>
  </w:footnote>
  <w:footnote w:type="continuationNotice" w:id="1">
    <w:p w:rsidR="00DB5F97" w:rsidRDefault="00DB5F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78" w:rsidRPr="00436478" w:rsidRDefault="00BC3F4C" w:rsidP="00436478">
    <w:pPr>
      <w:pBdr>
        <w:bottom w:val="single" w:sz="4" w:space="1" w:color="auto"/>
      </w:pBdr>
      <w:spacing w:line="240" w:lineRule="auto"/>
      <w:rPr>
        <w:sz w:val="18"/>
        <w:szCs w:val="18"/>
        <w:lang w:val="fr-CH"/>
      </w:rPr>
    </w:pPr>
    <w:r>
      <w:rPr>
        <w:b/>
        <w:sz w:val="18"/>
        <w:szCs w:val="18"/>
        <w:lang w:val="fr-CH"/>
      </w:rPr>
      <w:t>INF.1</w:t>
    </w:r>
    <w:r w:rsidR="00983013">
      <w:rPr>
        <w:b/>
        <w:sz w:val="18"/>
        <w:szCs w:val="18"/>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4C" w:rsidRDefault="00BC3F4C" w:rsidP="00BC3F4C">
    <w:pPr>
      <w:pStyle w:val="Header"/>
      <w:jc w:val="right"/>
    </w:pPr>
    <w:bookmarkStart w:id="1" w:name="_Hlk503192455"/>
    <w:r>
      <w:rPr>
        <w:sz w:val="20"/>
      </w:rPr>
      <w:t>INF.1</w:t>
    </w:r>
    <w:bookmarkEnd w:id="1"/>
    <w:r w:rsidR="00983013">
      <w:rPr>
        <w:sz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13" w:rsidRDefault="00983013" w:rsidP="0098301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C6D55"/>
    <w:multiLevelType w:val="hybridMultilevel"/>
    <w:tmpl w:val="D7429A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3" w15:restartNumberingAfterBreak="0">
    <w:nsid w:val="0FA02D6A"/>
    <w:multiLevelType w:val="hybridMultilevel"/>
    <w:tmpl w:val="D0D65FA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6" w15:restartNumberingAfterBreak="0">
    <w:nsid w:val="19423B92"/>
    <w:multiLevelType w:val="multilevel"/>
    <w:tmpl w:val="D13223DE"/>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7" w15:restartNumberingAfterBreak="0">
    <w:nsid w:val="1B0952C4"/>
    <w:multiLevelType w:val="hybridMultilevel"/>
    <w:tmpl w:val="6C5A2B1A"/>
    <w:lvl w:ilvl="0" w:tplc="8AB0F98A">
      <w:start w:val="1"/>
      <w:numFmt w:val="lowerLetter"/>
      <w:lvlText w:val="%1."/>
      <w:lvlJc w:val="left"/>
      <w:pPr>
        <w:ind w:left="1440" w:hanging="360"/>
      </w:pPr>
      <w:rPr>
        <w:rFonts w:hint="default"/>
      </w:rPr>
    </w:lvl>
    <w:lvl w:ilvl="1" w:tplc="F97E1BDE">
      <w:start w:val="1"/>
      <w:numFmt w:val="lowerLetter"/>
      <w:lvlText w:val="%2."/>
      <w:lvlJc w:val="left"/>
      <w:pPr>
        <w:ind w:left="2160" w:hanging="360"/>
      </w:pPr>
      <w:rPr>
        <w:rFonts w:ascii="Times New Roman" w:eastAsia="Times New Roman" w:hAnsi="Times New Roman" w:cs="Times New Roman"/>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hint="default"/>
      </w:rPr>
    </w:lvl>
    <w:lvl w:ilvl="1" w:tplc="04090019" w:tentative="1">
      <w:start w:val="1"/>
      <w:numFmt w:val="lowerLetter"/>
      <w:lvlText w:val="%2."/>
      <w:lvlJc w:val="left"/>
      <w:pPr>
        <w:tabs>
          <w:tab w:val="num" w:pos="4199"/>
        </w:tabs>
        <w:ind w:left="4199" w:hanging="360"/>
      </w:pPr>
    </w:lvl>
    <w:lvl w:ilvl="2" w:tplc="0409001B" w:tentative="1">
      <w:start w:val="1"/>
      <w:numFmt w:val="lowerRoman"/>
      <w:lvlText w:val="%3."/>
      <w:lvlJc w:val="right"/>
      <w:pPr>
        <w:tabs>
          <w:tab w:val="num" w:pos="4919"/>
        </w:tabs>
        <w:ind w:left="4919" w:hanging="180"/>
      </w:pPr>
    </w:lvl>
    <w:lvl w:ilvl="3" w:tplc="0409000F" w:tentative="1">
      <w:start w:val="1"/>
      <w:numFmt w:val="decimal"/>
      <w:lvlText w:val="%4."/>
      <w:lvlJc w:val="left"/>
      <w:pPr>
        <w:tabs>
          <w:tab w:val="num" w:pos="5639"/>
        </w:tabs>
        <w:ind w:left="5639" w:hanging="360"/>
      </w:pPr>
    </w:lvl>
    <w:lvl w:ilvl="4" w:tplc="04090019" w:tentative="1">
      <w:start w:val="1"/>
      <w:numFmt w:val="lowerLetter"/>
      <w:lvlText w:val="%5."/>
      <w:lvlJc w:val="left"/>
      <w:pPr>
        <w:tabs>
          <w:tab w:val="num" w:pos="6359"/>
        </w:tabs>
        <w:ind w:left="6359" w:hanging="360"/>
      </w:pPr>
    </w:lvl>
    <w:lvl w:ilvl="5" w:tplc="0409001B" w:tentative="1">
      <w:start w:val="1"/>
      <w:numFmt w:val="lowerRoman"/>
      <w:lvlText w:val="%6."/>
      <w:lvlJc w:val="right"/>
      <w:pPr>
        <w:tabs>
          <w:tab w:val="num" w:pos="7079"/>
        </w:tabs>
        <w:ind w:left="7079" w:hanging="180"/>
      </w:pPr>
    </w:lvl>
    <w:lvl w:ilvl="6" w:tplc="0409000F" w:tentative="1">
      <w:start w:val="1"/>
      <w:numFmt w:val="decimal"/>
      <w:lvlText w:val="%7."/>
      <w:lvlJc w:val="left"/>
      <w:pPr>
        <w:tabs>
          <w:tab w:val="num" w:pos="7799"/>
        </w:tabs>
        <w:ind w:left="7799" w:hanging="360"/>
      </w:pPr>
    </w:lvl>
    <w:lvl w:ilvl="7" w:tplc="04090019" w:tentative="1">
      <w:start w:val="1"/>
      <w:numFmt w:val="lowerLetter"/>
      <w:lvlText w:val="%8."/>
      <w:lvlJc w:val="left"/>
      <w:pPr>
        <w:tabs>
          <w:tab w:val="num" w:pos="8519"/>
        </w:tabs>
        <w:ind w:left="8519" w:hanging="360"/>
      </w:pPr>
    </w:lvl>
    <w:lvl w:ilvl="8" w:tplc="0409001B" w:tentative="1">
      <w:start w:val="1"/>
      <w:numFmt w:val="lowerRoman"/>
      <w:lvlText w:val="%9."/>
      <w:lvlJc w:val="right"/>
      <w:pPr>
        <w:tabs>
          <w:tab w:val="num" w:pos="9239"/>
        </w:tabs>
        <w:ind w:left="9239" w:hanging="180"/>
      </w:pPr>
    </w:lvl>
  </w:abstractNum>
  <w:abstractNum w:abstractNumId="9" w15:restartNumberingAfterBreak="0">
    <w:nsid w:val="27F4050E"/>
    <w:multiLevelType w:val="hybridMultilevel"/>
    <w:tmpl w:val="1DDCD520"/>
    <w:lvl w:ilvl="0" w:tplc="125A572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324711C0"/>
    <w:multiLevelType w:val="hybridMultilevel"/>
    <w:tmpl w:val="4E80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hint="default"/>
        <w:b/>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439B6010"/>
    <w:multiLevelType w:val="hybridMultilevel"/>
    <w:tmpl w:val="CDA831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4792980"/>
    <w:multiLevelType w:val="hybridMultilevel"/>
    <w:tmpl w:val="235CCB20"/>
    <w:lvl w:ilvl="0" w:tplc="3078D12C">
      <w:start w:val="1"/>
      <w:numFmt w:val="upperLetter"/>
      <w:lvlText w:val="%1&gt;"/>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15:restartNumberingAfterBreak="0">
    <w:nsid w:val="4666074C"/>
    <w:multiLevelType w:val="hybridMultilevel"/>
    <w:tmpl w:val="3F88AD4E"/>
    <w:lvl w:ilvl="0" w:tplc="8CE21D3E">
      <w:start w:val="7"/>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7" w15:restartNumberingAfterBreak="0">
    <w:nsid w:val="466B40DF"/>
    <w:multiLevelType w:val="hybridMultilevel"/>
    <w:tmpl w:val="DC84324C"/>
    <w:lvl w:ilvl="0" w:tplc="04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4B6B1064"/>
    <w:multiLevelType w:val="hybridMultilevel"/>
    <w:tmpl w:val="EA322B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56280143"/>
    <w:multiLevelType w:val="hybridMultilevel"/>
    <w:tmpl w:val="56042A36"/>
    <w:lvl w:ilvl="0" w:tplc="A1909212">
      <w:start w:val="1"/>
      <w:numFmt w:val="decimal"/>
      <w:lvlText w:val="%1."/>
      <w:lvlJc w:val="left"/>
      <w:pPr>
        <w:ind w:left="1689" w:hanging="555"/>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56315BE5"/>
    <w:multiLevelType w:val="hybridMultilevel"/>
    <w:tmpl w:val="16E48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841086"/>
    <w:multiLevelType w:val="multilevel"/>
    <w:tmpl w:val="2CF41228"/>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5" w15:restartNumberingAfterBreak="0">
    <w:nsid w:val="59D3420A"/>
    <w:multiLevelType w:val="hybridMultilevel"/>
    <w:tmpl w:val="74D0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9022D8"/>
    <w:multiLevelType w:val="hybridMultilevel"/>
    <w:tmpl w:val="046E4334"/>
    <w:lvl w:ilvl="0" w:tplc="DB9C73AC">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Verdana" w:eastAsia="Times New Roman" w:hAnsi="Verdana"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CC440F"/>
    <w:multiLevelType w:val="hybridMultilevel"/>
    <w:tmpl w:val="74846820"/>
    <w:lvl w:ilvl="0" w:tplc="04130017">
      <w:start w:val="1"/>
      <w:numFmt w:val="lowerLetter"/>
      <w:pStyle w:val="ListBullet"/>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831F36"/>
    <w:multiLevelType w:val="hybridMultilevel"/>
    <w:tmpl w:val="2550CF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C16F14"/>
    <w:multiLevelType w:val="hybridMultilevel"/>
    <w:tmpl w:val="B0C88DD8"/>
    <w:lvl w:ilvl="0" w:tplc="40E60B24">
      <w:start w:val="4"/>
      <w:numFmt w:val="bullet"/>
      <w:lvlText w:val="-"/>
      <w:lvlJc w:val="left"/>
      <w:pPr>
        <w:ind w:left="2049" w:hanging="360"/>
      </w:pPr>
      <w:rPr>
        <w:rFonts w:ascii="Times New Roman" w:eastAsia="Times New Roman" w:hAnsi="Times New Roman" w:cs="Times New Roman" w:hint="default"/>
      </w:rPr>
    </w:lvl>
    <w:lvl w:ilvl="1" w:tplc="04130003" w:tentative="1">
      <w:start w:val="1"/>
      <w:numFmt w:val="bullet"/>
      <w:lvlText w:val="o"/>
      <w:lvlJc w:val="left"/>
      <w:pPr>
        <w:ind w:left="2769" w:hanging="360"/>
      </w:pPr>
      <w:rPr>
        <w:rFonts w:ascii="Courier New" w:hAnsi="Courier New" w:cs="Courier New" w:hint="default"/>
      </w:rPr>
    </w:lvl>
    <w:lvl w:ilvl="2" w:tplc="04130005" w:tentative="1">
      <w:start w:val="1"/>
      <w:numFmt w:val="bullet"/>
      <w:lvlText w:val=""/>
      <w:lvlJc w:val="left"/>
      <w:pPr>
        <w:ind w:left="3489" w:hanging="360"/>
      </w:pPr>
      <w:rPr>
        <w:rFonts w:ascii="Wingdings" w:hAnsi="Wingdings" w:hint="default"/>
      </w:rPr>
    </w:lvl>
    <w:lvl w:ilvl="3" w:tplc="04130001" w:tentative="1">
      <w:start w:val="1"/>
      <w:numFmt w:val="bullet"/>
      <w:lvlText w:val=""/>
      <w:lvlJc w:val="left"/>
      <w:pPr>
        <w:ind w:left="4209" w:hanging="360"/>
      </w:pPr>
      <w:rPr>
        <w:rFonts w:ascii="Symbol" w:hAnsi="Symbol" w:hint="default"/>
      </w:rPr>
    </w:lvl>
    <w:lvl w:ilvl="4" w:tplc="04130003" w:tentative="1">
      <w:start w:val="1"/>
      <w:numFmt w:val="bullet"/>
      <w:lvlText w:val="o"/>
      <w:lvlJc w:val="left"/>
      <w:pPr>
        <w:ind w:left="4929" w:hanging="360"/>
      </w:pPr>
      <w:rPr>
        <w:rFonts w:ascii="Courier New" w:hAnsi="Courier New" w:cs="Courier New" w:hint="default"/>
      </w:rPr>
    </w:lvl>
    <w:lvl w:ilvl="5" w:tplc="04130005" w:tentative="1">
      <w:start w:val="1"/>
      <w:numFmt w:val="bullet"/>
      <w:lvlText w:val=""/>
      <w:lvlJc w:val="left"/>
      <w:pPr>
        <w:ind w:left="5649" w:hanging="360"/>
      </w:pPr>
      <w:rPr>
        <w:rFonts w:ascii="Wingdings" w:hAnsi="Wingdings" w:hint="default"/>
      </w:rPr>
    </w:lvl>
    <w:lvl w:ilvl="6" w:tplc="04130001" w:tentative="1">
      <w:start w:val="1"/>
      <w:numFmt w:val="bullet"/>
      <w:lvlText w:val=""/>
      <w:lvlJc w:val="left"/>
      <w:pPr>
        <w:ind w:left="6369" w:hanging="360"/>
      </w:pPr>
      <w:rPr>
        <w:rFonts w:ascii="Symbol" w:hAnsi="Symbol" w:hint="default"/>
      </w:rPr>
    </w:lvl>
    <w:lvl w:ilvl="7" w:tplc="04130003" w:tentative="1">
      <w:start w:val="1"/>
      <w:numFmt w:val="bullet"/>
      <w:lvlText w:val="o"/>
      <w:lvlJc w:val="left"/>
      <w:pPr>
        <w:ind w:left="7089" w:hanging="360"/>
      </w:pPr>
      <w:rPr>
        <w:rFonts w:ascii="Courier New" w:hAnsi="Courier New" w:cs="Courier New" w:hint="default"/>
      </w:rPr>
    </w:lvl>
    <w:lvl w:ilvl="8" w:tplc="04130005" w:tentative="1">
      <w:start w:val="1"/>
      <w:numFmt w:val="bullet"/>
      <w:lvlText w:val=""/>
      <w:lvlJc w:val="left"/>
      <w:pPr>
        <w:ind w:left="7809" w:hanging="360"/>
      </w:pPr>
      <w:rPr>
        <w:rFonts w:ascii="Wingdings" w:hAnsi="Wingdings" w:hint="default"/>
      </w:rPr>
    </w:lvl>
  </w:abstractNum>
  <w:abstractNum w:abstractNumId="33" w15:restartNumberingAfterBreak="0">
    <w:nsid w:val="6AD96392"/>
    <w:multiLevelType w:val="hybridMultilevel"/>
    <w:tmpl w:val="F5DCB3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04109D"/>
    <w:multiLevelType w:val="hybridMultilevel"/>
    <w:tmpl w:val="A89CE55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245FFA"/>
    <w:multiLevelType w:val="hybridMultilevel"/>
    <w:tmpl w:val="314E013E"/>
    <w:lvl w:ilvl="0" w:tplc="C1DCA94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6"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7" w15:restartNumberingAfterBreak="0">
    <w:nsid w:val="73DE54F5"/>
    <w:multiLevelType w:val="hybridMultilevel"/>
    <w:tmpl w:val="3AE0EC30"/>
    <w:lvl w:ilvl="0" w:tplc="26F2755E">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8" w15:restartNumberingAfterBreak="0">
    <w:nsid w:val="740C4170"/>
    <w:multiLevelType w:val="hybridMultilevel"/>
    <w:tmpl w:val="51162816"/>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9493C5D"/>
    <w:multiLevelType w:val="hybridMultilevel"/>
    <w:tmpl w:val="9AAA1312"/>
    <w:lvl w:ilvl="0" w:tplc="4EE4E9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A3D3C72"/>
    <w:multiLevelType w:val="hybridMultilevel"/>
    <w:tmpl w:val="8318A616"/>
    <w:lvl w:ilvl="0" w:tplc="47B204D4">
      <w:start w:val="1"/>
      <w:numFmt w:val="lowerLetter"/>
      <w:lvlText w:val="%1."/>
      <w:lvlJc w:val="left"/>
      <w:pPr>
        <w:ind w:left="720" w:hanging="360"/>
      </w:pPr>
      <w:rPr>
        <w:rFonts w:hint="default"/>
        <w:b w:val="0"/>
      </w:rPr>
    </w:lvl>
    <w:lvl w:ilvl="1" w:tplc="D940F018">
      <w:start w:val="1"/>
      <w:numFmt w:val="lowerRoman"/>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42" w15:restartNumberingAfterBreak="0">
    <w:nsid w:val="7D7F386E"/>
    <w:multiLevelType w:val="hybridMultilevel"/>
    <w:tmpl w:val="6D0CF72A"/>
    <w:lvl w:ilvl="0" w:tplc="5D260B50">
      <w:start w:val="1"/>
      <w:numFmt w:val="upperRoman"/>
      <w:lvlText w:val="%1."/>
      <w:lvlJc w:val="left"/>
      <w:pPr>
        <w:ind w:left="1140" w:hanging="72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43" w15:restartNumberingAfterBreak="0">
    <w:nsid w:val="7DFA2A05"/>
    <w:multiLevelType w:val="hybridMultilevel"/>
    <w:tmpl w:val="E5E651C2"/>
    <w:lvl w:ilvl="0" w:tplc="340E46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30"/>
  </w:num>
  <w:num w:numId="3">
    <w:abstractNumId w:val="4"/>
  </w:num>
  <w:num w:numId="4">
    <w:abstractNumId w:val="41"/>
  </w:num>
  <w:num w:numId="5">
    <w:abstractNumId w:val="2"/>
  </w:num>
  <w:num w:numId="6">
    <w:abstractNumId w:val="5"/>
  </w:num>
  <w:num w:numId="7">
    <w:abstractNumId w:val="20"/>
  </w:num>
  <w:num w:numId="8">
    <w:abstractNumId w:val="12"/>
  </w:num>
  <w:num w:numId="9">
    <w:abstractNumId w:val="6"/>
  </w:num>
  <w:num w:numId="10">
    <w:abstractNumId w:val="24"/>
  </w:num>
  <w:num w:numId="11">
    <w:abstractNumId w:val="3"/>
  </w:num>
  <w:num w:numId="12">
    <w:abstractNumId w:val="39"/>
  </w:num>
  <w:num w:numId="13">
    <w:abstractNumId w:val="8"/>
  </w:num>
  <w:num w:numId="14">
    <w:abstractNumId w:val="43"/>
  </w:num>
  <w:num w:numId="15">
    <w:abstractNumId w:val="36"/>
  </w:num>
  <w:num w:numId="16">
    <w:abstractNumId w:val="18"/>
  </w:num>
  <w:num w:numId="17">
    <w:abstractNumId w:val="13"/>
  </w:num>
  <w:num w:numId="18">
    <w:abstractNumId w:val="21"/>
  </w:num>
  <w:num w:numId="19">
    <w:abstractNumId w:val="10"/>
  </w:num>
  <w:num w:numId="20">
    <w:abstractNumId w:val="28"/>
  </w:num>
  <w:num w:numId="21">
    <w:abstractNumId w:val="42"/>
  </w:num>
  <w:num w:numId="22">
    <w:abstractNumId w:val="29"/>
  </w:num>
  <w:num w:numId="23">
    <w:abstractNumId w:val="17"/>
  </w:num>
  <w:num w:numId="24">
    <w:abstractNumId w:val="27"/>
  </w:num>
  <w:num w:numId="25">
    <w:abstractNumId w:val="15"/>
  </w:num>
  <w:num w:numId="26">
    <w:abstractNumId w:val="14"/>
  </w:num>
  <w:num w:numId="27">
    <w:abstractNumId w:val="38"/>
  </w:num>
  <w:num w:numId="28">
    <w:abstractNumId w:val="35"/>
  </w:num>
  <w:num w:numId="29">
    <w:abstractNumId w:val="16"/>
  </w:num>
  <w:num w:numId="30">
    <w:abstractNumId w:val="22"/>
  </w:num>
  <w:num w:numId="31">
    <w:abstractNumId w:val="32"/>
  </w:num>
  <w:num w:numId="32">
    <w:abstractNumId w:val="9"/>
  </w:num>
  <w:num w:numId="33">
    <w:abstractNumId w:val="31"/>
  </w:num>
  <w:num w:numId="34">
    <w:abstractNumId w:val="1"/>
  </w:num>
  <w:num w:numId="35">
    <w:abstractNumId w:val="34"/>
  </w:num>
  <w:num w:numId="36">
    <w:abstractNumId w:val="7"/>
  </w:num>
  <w:num w:numId="37">
    <w:abstractNumId w:val="26"/>
  </w:num>
  <w:num w:numId="38">
    <w:abstractNumId w:val="37"/>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1"/>
  </w:num>
  <w:num w:numId="42">
    <w:abstractNumId w:val="40"/>
  </w:num>
  <w:num w:numId="43">
    <w:abstractNumId w:val="19"/>
  </w:num>
  <w:num w:numId="44">
    <w:abstractNumId w:val="23"/>
  </w:num>
  <w:num w:numId="45">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0"/>
  <w:activeWritingStyle w:appName="MSWord" w:lang="fr-CH" w:vendorID="64" w:dllVersion="6" w:nlCheck="1" w:checkStyle="0"/>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12AB"/>
    <w:rsid w:val="000042A8"/>
    <w:rsid w:val="00006618"/>
    <w:rsid w:val="00010CCD"/>
    <w:rsid w:val="00010F77"/>
    <w:rsid w:val="0002116F"/>
    <w:rsid w:val="00024FB3"/>
    <w:rsid w:val="000323DD"/>
    <w:rsid w:val="00035613"/>
    <w:rsid w:val="00044084"/>
    <w:rsid w:val="000463F9"/>
    <w:rsid w:val="00050941"/>
    <w:rsid w:val="00050F6B"/>
    <w:rsid w:val="00053D5C"/>
    <w:rsid w:val="00054498"/>
    <w:rsid w:val="00056F3E"/>
    <w:rsid w:val="00060A33"/>
    <w:rsid w:val="00063AD6"/>
    <w:rsid w:val="00065F17"/>
    <w:rsid w:val="00066831"/>
    <w:rsid w:val="00070C7D"/>
    <w:rsid w:val="00072C8C"/>
    <w:rsid w:val="00073879"/>
    <w:rsid w:val="00074B26"/>
    <w:rsid w:val="00075692"/>
    <w:rsid w:val="000759D6"/>
    <w:rsid w:val="00075D0F"/>
    <w:rsid w:val="00076181"/>
    <w:rsid w:val="00082F77"/>
    <w:rsid w:val="0008613C"/>
    <w:rsid w:val="000907FA"/>
    <w:rsid w:val="000931C0"/>
    <w:rsid w:val="00095E3D"/>
    <w:rsid w:val="00097767"/>
    <w:rsid w:val="000A0570"/>
    <w:rsid w:val="000A446A"/>
    <w:rsid w:val="000B16B9"/>
    <w:rsid w:val="000B175B"/>
    <w:rsid w:val="000B1C22"/>
    <w:rsid w:val="000B362C"/>
    <w:rsid w:val="000B3A0F"/>
    <w:rsid w:val="000B5909"/>
    <w:rsid w:val="000B7662"/>
    <w:rsid w:val="000B7ECB"/>
    <w:rsid w:val="000C023D"/>
    <w:rsid w:val="000C0EBA"/>
    <w:rsid w:val="000C1BF2"/>
    <w:rsid w:val="000C2B9C"/>
    <w:rsid w:val="000C3D22"/>
    <w:rsid w:val="000C4205"/>
    <w:rsid w:val="000C67EE"/>
    <w:rsid w:val="000C75F6"/>
    <w:rsid w:val="000D0819"/>
    <w:rsid w:val="000D3DE8"/>
    <w:rsid w:val="000D4427"/>
    <w:rsid w:val="000D58D9"/>
    <w:rsid w:val="000D5CFE"/>
    <w:rsid w:val="000D6A75"/>
    <w:rsid w:val="000D7B36"/>
    <w:rsid w:val="000E0415"/>
    <w:rsid w:val="000E36DE"/>
    <w:rsid w:val="000E520B"/>
    <w:rsid w:val="000E7062"/>
    <w:rsid w:val="000F2061"/>
    <w:rsid w:val="001066C5"/>
    <w:rsid w:val="00106E72"/>
    <w:rsid w:val="0011140A"/>
    <w:rsid w:val="00112455"/>
    <w:rsid w:val="00115257"/>
    <w:rsid w:val="00121B98"/>
    <w:rsid w:val="001220B8"/>
    <w:rsid w:val="00122368"/>
    <w:rsid w:val="00123A7B"/>
    <w:rsid w:val="00125E32"/>
    <w:rsid w:val="00131261"/>
    <w:rsid w:val="00131A08"/>
    <w:rsid w:val="0013213F"/>
    <w:rsid w:val="00132B8F"/>
    <w:rsid w:val="0013574C"/>
    <w:rsid w:val="00135BA5"/>
    <w:rsid w:val="00136129"/>
    <w:rsid w:val="001371F0"/>
    <w:rsid w:val="00137A57"/>
    <w:rsid w:val="001427D4"/>
    <w:rsid w:val="00145070"/>
    <w:rsid w:val="00146C13"/>
    <w:rsid w:val="00155C78"/>
    <w:rsid w:val="00170AC9"/>
    <w:rsid w:val="00174EA5"/>
    <w:rsid w:val="001817E0"/>
    <w:rsid w:val="00181A2A"/>
    <w:rsid w:val="001979C2"/>
    <w:rsid w:val="001A148C"/>
    <w:rsid w:val="001A1A7C"/>
    <w:rsid w:val="001A2497"/>
    <w:rsid w:val="001A2704"/>
    <w:rsid w:val="001A603B"/>
    <w:rsid w:val="001B3169"/>
    <w:rsid w:val="001B4B04"/>
    <w:rsid w:val="001B75CC"/>
    <w:rsid w:val="001C3971"/>
    <w:rsid w:val="001C6663"/>
    <w:rsid w:val="001C7895"/>
    <w:rsid w:val="001C7D91"/>
    <w:rsid w:val="001D0C55"/>
    <w:rsid w:val="001D184F"/>
    <w:rsid w:val="001D26DF"/>
    <w:rsid w:val="001D543E"/>
    <w:rsid w:val="001D798D"/>
    <w:rsid w:val="001E73AA"/>
    <w:rsid w:val="001F1354"/>
    <w:rsid w:val="001F65EA"/>
    <w:rsid w:val="001F77F5"/>
    <w:rsid w:val="00202A06"/>
    <w:rsid w:val="00203DD1"/>
    <w:rsid w:val="00205215"/>
    <w:rsid w:val="0020671E"/>
    <w:rsid w:val="00211E0B"/>
    <w:rsid w:val="002161C2"/>
    <w:rsid w:val="002177D8"/>
    <w:rsid w:val="00220E2A"/>
    <w:rsid w:val="00224AA7"/>
    <w:rsid w:val="002250D4"/>
    <w:rsid w:val="00225418"/>
    <w:rsid w:val="00225FFC"/>
    <w:rsid w:val="00230C3C"/>
    <w:rsid w:val="00236DE8"/>
    <w:rsid w:val="002405A7"/>
    <w:rsid w:val="0024312B"/>
    <w:rsid w:val="002467F7"/>
    <w:rsid w:val="00250D22"/>
    <w:rsid w:val="00252334"/>
    <w:rsid w:val="00256528"/>
    <w:rsid w:val="00263764"/>
    <w:rsid w:val="00270057"/>
    <w:rsid w:val="002728A1"/>
    <w:rsid w:val="00274C3E"/>
    <w:rsid w:val="00277B86"/>
    <w:rsid w:val="0029170B"/>
    <w:rsid w:val="00293E45"/>
    <w:rsid w:val="0029559D"/>
    <w:rsid w:val="002969F7"/>
    <w:rsid w:val="002A091D"/>
    <w:rsid w:val="002A0F84"/>
    <w:rsid w:val="002A3AB5"/>
    <w:rsid w:val="002A6CCE"/>
    <w:rsid w:val="002B431F"/>
    <w:rsid w:val="002B50AC"/>
    <w:rsid w:val="002C03A7"/>
    <w:rsid w:val="002C3499"/>
    <w:rsid w:val="002C6911"/>
    <w:rsid w:val="002C6ACD"/>
    <w:rsid w:val="002C7BFF"/>
    <w:rsid w:val="002C7C88"/>
    <w:rsid w:val="002D0E0E"/>
    <w:rsid w:val="002D14C9"/>
    <w:rsid w:val="002D19AD"/>
    <w:rsid w:val="002D652F"/>
    <w:rsid w:val="002D7582"/>
    <w:rsid w:val="002F109F"/>
    <w:rsid w:val="002F2BBD"/>
    <w:rsid w:val="002F53DB"/>
    <w:rsid w:val="003107FA"/>
    <w:rsid w:val="0031437A"/>
    <w:rsid w:val="00315F72"/>
    <w:rsid w:val="00316968"/>
    <w:rsid w:val="003229D8"/>
    <w:rsid w:val="00324D96"/>
    <w:rsid w:val="00324FA1"/>
    <w:rsid w:val="0032663D"/>
    <w:rsid w:val="00332291"/>
    <w:rsid w:val="003331AE"/>
    <w:rsid w:val="003333E5"/>
    <w:rsid w:val="00333876"/>
    <w:rsid w:val="0033408B"/>
    <w:rsid w:val="00335D9B"/>
    <w:rsid w:val="0033745A"/>
    <w:rsid w:val="00346695"/>
    <w:rsid w:val="00350203"/>
    <w:rsid w:val="00350DE1"/>
    <w:rsid w:val="00351030"/>
    <w:rsid w:val="00354459"/>
    <w:rsid w:val="003545F4"/>
    <w:rsid w:val="003641EF"/>
    <w:rsid w:val="00367F19"/>
    <w:rsid w:val="00371FB2"/>
    <w:rsid w:val="00373E65"/>
    <w:rsid w:val="00375232"/>
    <w:rsid w:val="003820C5"/>
    <w:rsid w:val="003850BA"/>
    <w:rsid w:val="0038585A"/>
    <w:rsid w:val="00387335"/>
    <w:rsid w:val="0039084F"/>
    <w:rsid w:val="0039277A"/>
    <w:rsid w:val="00395B51"/>
    <w:rsid w:val="003972E0"/>
    <w:rsid w:val="003A019F"/>
    <w:rsid w:val="003A1828"/>
    <w:rsid w:val="003A1EBD"/>
    <w:rsid w:val="003A543C"/>
    <w:rsid w:val="003A6351"/>
    <w:rsid w:val="003B0406"/>
    <w:rsid w:val="003B6379"/>
    <w:rsid w:val="003C1867"/>
    <w:rsid w:val="003C2CC4"/>
    <w:rsid w:val="003C2E87"/>
    <w:rsid w:val="003C3936"/>
    <w:rsid w:val="003C70C8"/>
    <w:rsid w:val="003D0F99"/>
    <w:rsid w:val="003D1B49"/>
    <w:rsid w:val="003D2B8F"/>
    <w:rsid w:val="003D3B4A"/>
    <w:rsid w:val="003D3BA0"/>
    <w:rsid w:val="003D4B23"/>
    <w:rsid w:val="003D620D"/>
    <w:rsid w:val="003D7E47"/>
    <w:rsid w:val="003E3AC9"/>
    <w:rsid w:val="003E4C2C"/>
    <w:rsid w:val="003E7A98"/>
    <w:rsid w:val="003F1ED3"/>
    <w:rsid w:val="003F3A9A"/>
    <w:rsid w:val="003F3B18"/>
    <w:rsid w:val="003F4A0B"/>
    <w:rsid w:val="003F725D"/>
    <w:rsid w:val="00400769"/>
    <w:rsid w:val="00400E49"/>
    <w:rsid w:val="0040237C"/>
    <w:rsid w:val="004037B2"/>
    <w:rsid w:val="00403952"/>
    <w:rsid w:val="004049D8"/>
    <w:rsid w:val="00407069"/>
    <w:rsid w:val="0040760C"/>
    <w:rsid w:val="004168ED"/>
    <w:rsid w:val="00417E2F"/>
    <w:rsid w:val="00421B17"/>
    <w:rsid w:val="00421C7D"/>
    <w:rsid w:val="00423439"/>
    <w:rsid w:val="00431189"/>
    <w:rsid w:val="004316DA"/>
    <w:rsid w:val="004325CB"/>
    <w:rsid w:val="00433F5A"/>
    <w:rsid w:val="00436478"/>
    <w:rsid w:val="00440FF5"/>
    <w:rsid w:val="00445BDD"/>
    <w:rsid w:val="00446793"/>
    <w:rsid w:val="00446DE4"/>
    <w:rsid w:val="00447D78"/>
    <w:rsid w:val="00452D3B"/>
    <w:rsid w:val="00452FA7"/>
    <w:rsid w:val="004533AC"/>
    <w:rsid w:val="0045575E"/>
    <w:rsid w:val="004644C6"/>
    <w:rsid w:val="004672AC"/>
    <w:rsid w:val="00473B1A"/>
    <w:rsid w:val="00474068"/>
    <w:rsid w:val="004743AE"/>
    <w:rsid w:val="00480BB9"/>
    <w:rsid w:val="00481AC6"/>
    <w:rsid w:val="00486973"/>
    <w:rsid w:val="00487045"/>
    <w:rsid w:val="0048754A"/>
    <w:rsid w:val="00490A75"/>
    <w:rsid w:val="00492241"/>
    <w:rsid w:val="004933E1"/>
    <w:rsid w:val="004A1E5B"/>
    <w:rsid w:val="004A2EDD"/>
    <w:rsid w:val="004A3894"/>
    <w:rsid w:val="004A3E33"/>
    <w:rsid w:val="004A41CA"/>
    <w:rsid w:val="004A4484"/>
    <w:rsid w:val="004A620A"/>
    <w:rsid w:val="004B29D2"/>
    <w:rsid w:val="004C072D"/>
    <w:rsid w:val="004C4E1E"/>
    <w:rsid w:val="004C6EA3"/>
    <w:rsid w:val="004D147D"/>
    <w:rsid w:val="004D2AF1"/>
    <w:rsid w:val="004D785F"/>
    <w:rsid w:val="004D7A03"/>
    <w:rsid w:val="004E4C1F"/>
    <w:rsid w:val="004E74FC"/>
    <w:rsid w:val="004E7542"/>
    <w:rsid w:val="004F13C8"/>
    <w:rsid w:val="004F6071"/>
    <w:rsid w:val="004F7CAD"/>
    <w:rsid w:val="00501A6B"/>
    <w:rsid w:val="00502816"/>
    <w:rsid w:val="00503228"/>
    <w:rsid w:val="005045F7"/>
    <w:rsid w:val="00505384"/>
    <w:rsid w:val="00507B2D"/>
    <w:rsid w:val="00510967"/>
    <w:rsid w:val="0051520D"/>
    <w:rsid w:val="00515289"/>
    <w:rsid w:val="00515683"/>
    <w:rsid w:val="00515F73"/>
    <w:rsid w:val="0051600A"/>
    <w:rsid w:val="00516773"/>
    <w:rsid w:val="00520788"/>
    <w:rsid w:val="0052122E"/>
    <w:rsid w:val="00521ECF"/>
    <w:rsid w:val="00527CFD"/>
    <w:rsid w:val="00527D56"/>
    <w:rsid w:val="00536287"/>
    <w:rsid w:val="005401F7"/>
    <w:rsid w:val="005420F2"/>
    <w:rsid w:val="00542FFC"/>
    <w:rsid w:val="00543288"/>
    <w:rsid w:val="00543B2F"/>
    <w:rsid w:val="0054420A"/>
    <w:rsid w:val="005458EF"/>
    <w:rsid w:val="005470FF"/>
    <w:rsid w:val="00547BAD"/>
    <w:rsid w:val="00556517"/>
    <w:rsid w:val="00560399"/>
    <w:rsid w:val="00563792"/>
    <w:rsid w:val="005677D2"/>
    <w:rsid w:val="00573A04"/>
    <w:rsid w:val="005745A2"/>
    <w:rsid w:val="00575D10"/>
    <w:rsid w:val="00576D86"/>
    <w:rsid w:val="00580C8B"/>
    <w:rsid w:val="00580ED5"/>
    <w:rsid w:val="00587F3C"/>
    <w:rsid w:val="0059380F"/>
    <w:rsid w:val="00595BBC"/>
    <w:rsid w:val="00595D36"/>
    <w:rsid w:val="005A0EB3"/>
    <w:rsid w:val="005A21DC"/>
    <w:rsid w:val="005A56F5"/>
    <w:rsid w:val="005A5DF0"/>
    <w:rsid w:val="005A63C6"/>
    <w:rsid w:val="005A7B00"/>
    <w:rsid w:val="005B25C5"/>
    <w:rsid w:val="005B3DB3"/>
    <w:rsid w:val="005B4CE0"/>
    <w:rsid w:val="005B6BA0"/>
    <w:rsid w:val="005D04E2"/>
    <w:rsid w:val="005D3C5B"/>
    <w:rsid w:val="005D7718"/>
    <w:rsid w:val="005E79BC"/>
    <w:rsid w:val="005F2BD2"/>
    <w:rsid w:val="005F6E62"/>
    <w:rsid w:val="00603EBA"/>
    <w:rsid w:val="00606CF1"/>
    <w:rsid w:val="00607CA5"/>
    <w:rsid w:val="00610834"/>
    <w:rsid w:val="00610BCD"/>
    <w:rsid w:val="00611FC4"/>
    <w:rsid w:val="00617178"/>
    <w:rsid w:val="00617656"/>
    <w:rsid w:val="006176FB"/>
    <w:rsid w:val="00621030"/>
    <w:rsid w:val="00621C63"/>
    <w:rsid w:val="0062304B"/>
    <w:rsid w:val="00626B1C"/>
    <w:rsid w:val="00626E32"/>
    <w:rsid w:val="00627752"/>
    <w:rsid w:val="00627ED0"/>
    <w:rsid w:val="006364CC"/>
    <w:rsid w:val="00637CA2"/>
    <w:rsid w:val="00640B26"/>
    <w:rsid w:val="00642C2E"/>
    <w:rsid w:val="00644FED"/>
    <w:rsid w:val="0064585E"/>
    <w:rsid w:val="006517B6"/>
    <w:rsid w:val="00651FC8"/>
    <w:rsid w:val="00663923"/>
    <w:rsid w:val="00665595"/>
    <w:rsid w:val="0067228D"/>
    <w:rsid w:val="00673795"/>
    <w:rsid w:val="00673A1C"/>
    <w:rsid w:val="00677039"/>
    <w:rsid w:val="00677F87"/>
    <w:rsid w:val="00686940"/>
    <w:rsid w:val="0069157F"/>
    <w:rsid w:val="006958A7"/>
    <w:rsid w:val="006A17AC"/>
    <w:rsid w:val="006A1E28"/>
    <w:rsid w:val="006A3F0D"/>
    <w:rsid w:val="006A5268"/>
    <w:rsid w:val="006A7392"/>
    <w:rsid w:val="006A7E09"/>
    <w:rsid w:val="006B2792"/>
    <w:rsid w:val="006B390C"/>
    <w:rsid w:val="006B3B2C"/>
    <w:rsid w:val="006B57C3"/>
    <w:rsid w:val="006C2742"/>
    <w:rsid w:val="006C5C4F"/>
    <w:rsid w:val="006C75B6"/>
    <w:rsid w:val="006D14F8"/>
    <w:rsid w:val="006D1BEC"/>
    <w:rsid w:val="006D1CB3"/>
    <w:rsid w:val="006D5021"/>
    <w:rsid w:val="006D5A37"/>
    <w:rsid w:val="006E09DD"/>
    <w:rsid w:val="006E0D61"/>
    <w:rsid w:val="006E564B"/>
    <w:rsid w:val="006E5881"/>
    <w:rsid w:val="006E5D14"/>
    <w:rsid w:val="006E6810"/>
    <w:rsid w:val="006F20A6"/>
    <w:rsid w:val="006F509F"/>
    <w:rsid w:val="006F7764"/>
    <w:rsid w:val="006F7D3A"/>
    <w:rsid w:val="00701D1E"/>
    <w:rsid w:val="00706265"/>
    <w:rsid w:val="00711EF2"/>
    <w:rsid w:val="00712D44"/>
    <w:rsid w:val="00713AAB"/>
    <w:rsid w:val="00715E93"/>
    <w:rsid w:val="00717E9A"/>
    <w:rsid w:val="00720053"/>
    <w:rsid w:val="007212C9"/>
    <w:rsid w:val="0072267F"/>
    <w:rsid w:val="00724154"/>
    <w:rsid w:val="0072632A"/>
    <w:rsid w:val="007271C4"/>
    <w:rsid w:val="0072750B"/>
    <w:rsid w:val="00727ACD"/>
    <w:rsid w:val="00734C2D"/>
    <w:rsid w:val="00741E0D"/>
    <w:rsid w:val="0074748C"/>
    <w:rsid w:val="0075208E"/>
    <w:rsid w:val="0075352F"/>
    <w:rsid w:val="00757B9F"/>
    <w:rsid w:val="00760BA0"/>
    <w:rsid w:val="0076336D"/>
    <w:rsid w:val="007633C7"/>
    <w:rsid w:val="0076625A"/>
    <w:rsid w:val="0077083D"/>
    <w:rsid w:val="007778B3"/>
    <w:rsid w:val="007807BD"/>
    <w:rsid w:val="0078182A"/>
    <w:rsid w:val="00782701"/>
    <w:rsid w:val="00787EA7"/>
    <w:rsid w:val="00797099"/>
    <w:rsid w:val="007A01FC"/>
    <w:rsid w:val="007A3C01"/>
    <w:rsid w:val="007A5E3F"/>
    <w:rsid w:val="007B0AC1"/>
    <w:rsid w:val="007B0D28"/>
    <w:rsid w:val="007B30F2"/>
    <w:rsid w:val="007B5902"/>
    <w:rsid w:val="007B6BA5"/>
    <w:rsid w:val="007B7B1E"/>
    <w:rsid w:val="007C0974"/>
    <w:rsid w:val="007C3390"/>
    <w:rsid w:val="007C4F4B"/>
    <w:rsid w:val="007C5145"/>
    <w:rsid w:val="007D224A"/>
    <w:rsid w:val="007D7144"/>
    <w:rsid w:val="007E1516"/>
    <w:rsid w:val="007E5ABB"/>
    <w:rsid w:val="007F0B83"/>
    <w:rsid w:val="007F149C"/>
    <w:rsid w:val="007F47D1"/>
    <w:rsid w:val="007F6611"/>
    <w:rsid w:val="008003E2"/>
    <w:rsid w:val="008015E3"/>
    <w:rsid w:val="00801D46"/>
    <w:rsid w:val="008037FF"/>
    <w:rsid w:val="00803D3F"/>
    <w:rsid w:val="008053AC"/>
    <w:rsid w:val="0081239D"/>
    <w:rsid w:val="0081323B"/>
    <w:rsid w:val="008139F5"/>
    <w:rsid w:val="00814BE7"/>
    <w:rsid w:val="00816C3A"/>
    <w:rsid w:val="008175E9"/>
    <w:rsid w:val="00820D52"/>
    <w:rsid w:val="00821686"/>
    <w:rsid w:val="00823A61"/>
    <w:rsid w:val="008242D7"/>
    <w:rsid w:val="00825221"/>
    <w:rsid w:val="00825A28"/>
    <w:rsid w:val="008276E4"/>
    <w:rsid w:val="00827E05"/>
    <w:rsid w:val="008305E5"/>
    <w:rsid w:val="008311A3"/>
    <w:rsid w:val="00831CE3"/>
    <w:rsid w:val="008333C7"/>
    <w:rsid w:val="00834A02"/>
    <w:rsid w:val="00835382"/>
    <w:rsid w:val="00836A0C"/>
    <w:rsid w:val="00837602"/>
    <w:rsid w:val="00842AFA"/>
    <w:rsid w:val="00844584"/>
    <w:rsid w:val="00853B9F"/>
    <w:rsid w:val="00853E16"/>
    <w:rsid w:val="008550E6"/>
    <w:rsid w:val="0086205F"/>
    <w:rsid w:val="00863555"/>
    <w:rsid w:val="00864429"/>
    <w:rsid w:val="00866B0C"/>
    <w:rsid w:val="00866E24"/>
    <w:rsid w:val="008719EB"/>
    <w:rsid w:val="00871FD5"/>
    <w:rsid w:val="00875B69"/>
    <w:rsid w:val="00876703"/>
    <w:rsid w:val="00880D35"/>
    <w:rsid w:val="00884090"/>
    <w:rsid w:val="00884485"/>
    <w:rsid w:val="008844DB"/>
    <w:rsid w:val="008901E5"/>
    <w:rsid w:val="00890655"/>
    <w:rsid w:val="00890BAF"/>
    <w:rsid w:val="00896CBD"/>
    <w:rsid w:val="008975EA"/>
    <w:rsid w:val="008979B1"/>
    <w:rsid w:val="008A1480"/>
    <w:rsid w:val="008A2229"/>
    <w:rsid w:val="008A5054"/>
    <w:rsid w:val="008A6B25"/>
    <w:rsid w:val="008A6C4F"/>
    <w:rsid w:val="008C0616"/>
    <w:rsid w:val="008C78C7"/>
    <w:rsid w:val="008D0AAB"/>
    <w:rsid w:val="008D1960"/>
    <w:rsid w:val="008D3C1D"/>
    <w:rsid w:val="008D4730"/>
    <w:rsid w:val="008D6EA6"/>
    <w:rsid w:val="008E0E46"/>
    <w:rsid w:val="008E2260"/>
    <w:rsid w:val="008E58A3"/>
    <w:rsid w:val="008E5B4C"/>
    <w:rsid w:val="008E7D56"/>
    <w:rsid w:val="008F1BA4"/>
    <w:rsid w:val="008F561F"/>
    <w:rsid w:val="00907AD2"/>
    <w:rsid w:val="0091224E"/>
    <w:rsid w:val="009124F2"/>
    <w:rsid w:val="00916035"/>
    <w:rsid w:val="0092768B"/>
    <w:rsid w:val="009316CC"/>
    <w:rsid w:val="00936C2E"/>
    <w:rsid w:val="00936CE9"/>
    <w:rsid w:val="009428A3"/>
    <w:rsid w:val="00944D02"/>
    <w:rsid w:val="0094626E"/>
    <w:rsid w:val="009464F5"/>
    <w:rsid w:val="00950A26"/>
    <w:rsid w:val="00950D17"/>
    <w:rsid w:val="00953A54"/>
    <w:rsid w:val="00954A53"/>
    <w:rsid w:val="00955E26"/>
    <w:rsid w:val="00960ED4"/>
    <w:rsid w:val="00961255"/>
    <w:rsid w:val="00961700"/>
    <w:rsid w:val="00963CBA"/>
    <w:rsid w:val="00965971"/>
    <w:rsid w:val="00967F42"/>
    <w:rsid w:val="009705AD"/>
    <w:rsid w:val="00971526"/>
    <w:rsid w:val="009716A6"/>
    <w:rsid w:val="00972BAD"/>
    <w:rsid w:val="00974A8D"/>
    <w:rsid w:val="00974CC2"/>
    <w:rsid w:val="009755CD"/>
    <w:rsid w:val="00975723"/>
    <w:rsid w:val="00977B6F"/>
    <w:rsid w:val="00983013"/>
    <w:rsid w:val="00985124"/>
    <w:rsid w:val="009858E7"/>
    <w:rsid w:val="009861C7"/>
    <w:rsid w:val="00987B8A"/>
    <w:rsid w:val="00991261"/>
    <w:rsid w:val="00992518"/>
    <w:rsid w:val="00995E83"/>
    <w:rsid w:val="0099603B"/>
    <w:rsid w:val="00997A11"/>
    <w:rsid w:val="00997B17"/>
    <w:rsid w:val="009A4DD4"/>
    <w:rsid w:val="009B0335"/>
    <w:rsid w:val="009B4CA8"/>
    <w:rsid w:val="009B52E9"/>
    <w:rsid w:val="009B560D"/>
    <w:rsid w:val="009B5BFB"/>
    <w:rsid w:val="009C2FB1"/>
    <w:rsid w:val="009C6BD1"/>
    <w:rsid w:val="009D18B4"/>
    <w:rsid w:val="009D43C2"/>
    <w:rsid w:val="009D5DD3"/>
    <w:rsid w:val="009E102B"/>
    <w:rsid w:val="009E29EB"/>
    <w:rsid w:val="009E32B9"/>
    <w:rsid w:val="009E42FB"/>
    <w:rsid w:val="009E535B"/>
    <w:rsid w:val="009F3A08"/>
    <w:rsid w:val="009F3A17"/>
    <w:rsid w:val="009F3BFE"/>
    <w:rsid w:val="009F4DD8"/>
    <w:rsid w:val="009F513C"/>
    <w:rsid w:val="009F5ED7"/>
    <w:rsid w:val="009F6632"/>
    <w:rsid w:val="00A002DC"/>
    <w:rsid w:val="00A01E5A"/>
    <w:rsid w:val="00A04AD0"/>
    <w:rsid w:val="00A10354"/>
    <w:rsid w:val="00A1427D"/>
    <w:rsid w:val="00A14774"/>
    <w:rsid w:val="00A15A43"/>
    <w:rsid w:val="00A17830"/>
    <w:rsid w:val="00A21859"/>
    <w:rsid w:val="00A21F78"/>
    <w:rsid w:val="00A24105"/>
    <w:rsid w:val="00A2488D"/>
    <w:rsid w:val="00A26CE4"/>
    <w:rsid w:val="00A31304"/>
    <w:rsid w:val="00A36928"/>
    <w:rsid w:val="00A405F6"/>
    <w:rsid w:val="00A4589C"/>
    <w:rsid w:val="00A478E2"/>
    <w:rsid w:val="00A50B50"/>
    <w:rsid w:val="00A52F74"/>
    <w:rsid w:val="00A541EA"/>
    <w:rsid w:val="00A541F0"/>
    <w:rsid w:val="00A60842"/>
    <w:rsid w:val="00A63A8F"/>
    <w:rsid w:val="00A66568"/>
    <w:rsid w:val="00A66FAD"/>
    <w:rsid w:val="00A71F24"/>
    <w:rsid w:val="00A72518"/>
    <w:rsid w:val="00A72F22"/>
    <w:rsid w:val="00A742F7"/>
    <w:rsid w:val="00A748A6"/>
    <w:rsid w:val="00A74DB5"/>
    <w:rsid w:val="00A82CEA"/>
    <w:rsid w:val="00A84BE1"/>
    <w:rsid w:val="00A854F0"/>
    <w:rsid w:val="00A879A4"/>
    <w:rsid w:val="00A92F31"/>
    <w:rsid w:val="00A93320"/>
    <w:rsid w:val="00A93DAB"/>
    <w:rsid w:val="00AA021B"/>
    <w:rsid w:val="00AA6C04"/>
    <w:rsid w:val="00AA771D"/>
    <w:rsid w:val="00AB5CC3"/>
    <w:rsid w:val="00AB7676"/>
    <w:rsid w:val="00AC0336"/>
    <w:rsid w:val="00AC1316"/>
    <w:rsid w:val="00AC6F63"/>
    <w:rsid w:val="00AE02D4"/>
    <w:rsid w:val="00AE20DC"/>
    <w:rsid w:val="00AE30B2"/>
    <w:rsid w:val="00AE55CE"/>
    <w:rsid w:val="00AE7A4A"/>
    <w:rsid w:val="00AF3A3B"/>
    <w:rsid w:val="00AF4CB9"/>
    <w:rsid w:val="00AF65C4"/>
    <w:rsid w:val="00AF6613"/>
    <w:rsid w:val="00AF685C"/>
    <w:rsid w:val="00AF7728"/>
    <w:rsid w:val="00AF779A"/>
    <w:rsid w:val="00B0164B"/>
    <w:rsid w:val="00B07A5C"/>
    <w:rsid w:val="00B16B33"/>
    <w:rsid w:val="00B24D69"/>
    <w:rsid w:val="00B30179"/>
    <w:rsid w:val="00B31695"/>
    <w:rsid w:val="00B33EC0"/>
    <w:rsid w:val="00B35C41"/>
    <w:rsid w:val="00B416A3"/>
    <w:rsid w:val="00B46BB8"/>
    <w:rsid w:val="00B47058"/>
    <w:rsid w:val="00B52A6D"/>
    <w:rsid w:val="00B5315C"/>
    <w:rsid w:val="00B54A1E"/>
    <w:rsid w:val="00B55767"/>
    <w:rsid w:val="00B612E3"/>
    <w:rsid w:val="00B628DE"/>
    <w:rsid w:val="00B65288"/>
    <w:rsid w:val="00B65948"/>
    <w:rsid w:val="00B6659C"/>
    <w:rsid w:val="00B66695"/>
    <w:rsid w:val="00B671BF"/>
    <w:rsid w:val="00B71973"/>
    <w:rsid w:val="00B72BAF"/>
    <w:rsid w:val="00B77824"/>
    <w:rsid w:val="00B81576"/>
    <w:rsid w:val="00B81E12"/>
    <w:rsid w:val="00B91795"/>
    <w:rsid w:val="00B92F1E"/>
    <w:rsid w:val="00B92F25"/>
    <w:rsid w:val="00B93565"/>
    <w:rsid w:val="00B93EAF"/>
    <w:rsid w:val="00B94D0E"/>
    <w:rsid w:val="00BA395D"/>
    <w:rsid w:val="00BA4C2C"/>
    <w:rsid w:val="00BB0E9C"/>
    <w:rsid w:val="00BB2A9F"/>
    <w:rsid w:val="00BB3292"/>
    <w:rsid w:val="00BB3C77"/>
    <w:rsid w:val="00BB4D22"/>
    <w:rsid w:val="00BB4DC2"/>
    <w:rsid w:val="00BC3F4C"/>
    <w:rsid w:val="00BC74E9"/>
    <w:rsid w:val="00BD1D9F"/>
    <w:rsid w:val="00BD2146"/>
    <w:rsid w:val="00BD2427"/>
    <w:rsid w:val="00BE2713"/>
    <w:rsid w:val="00BE4F74"/>
    <w:rsid w:val="00BE563F"/>
    <w:rsid w:val="00BE618E"/>
    <w:rsid w:val="00BE673A"/>
    <w:rsid w:val="00BF0BDF"/>
    <w:rsid w:val="00BF639B"/>
    <w:rsid w:val="00C008C0"/>
    <w:rsid w:val="00C00CC3"/>
    <w:rsid w:val="00C14C81"/>
    <w:rsid w:val="00C15671"/>
    <w:rsid w:val="00C15AFF"/>
    <w:rsid w:val="00C15CDB"/>
    <w:rsid w:val="00C16CD1"/>
    <w:rsid w:val="00C17699"/>
    <w:rsid w:val="00C23F04"/>
    <w:rsid w:val="00C25EDF"/>
    <w:rsid w:val="00C30B51"/>
    <w:rsid w:val="00C3163F"/>
    <w:rsid w:val="00C31690"/>
    <w:rsid w:val="00C32156"/>
    <w:rsid w:val="00C342A7"/>
    <w:rsid w:val="00C41A28"/>
    <w:rsid w:val="00C46154"/>
    <w:rsid w:val="00C463DD"/>
    <w:rsid w:val="00C46789"/>
    <w:rsid w:val="00C52D14"/>
    <w:rsid w:val="00C56738"/>
    <w:rsid w:val="00C61A09"/>
    <w:rsid w:val="00C66354"/>
    <w:rsid w:val="00C66DDD"/>
    <w:rsid w:val="00C67919"/>
    <w:rsid w:val="00C73E53"/>
    <w:rsid w:val="00C745BF"/>
    <w:rsid w:val="00C745C3"/>
    <w:rsid w:val="00C746C9"/>
    <w:rsid w:val="00C75952"/>
    <w:rsid w:val="00C814F5"/>
    <w:rsid w:val="00C95695"/>
    <w:rsid w:val="00C95E83"/>
    <w:rsid w:val="00C96EC2"/>
    <w:rsid w:val="00C97712"/>
    <w:rsid w:val="00CA08E3"/>
    <w:rsid w:val="00CA7472"/>
    <w:rsid w:val="00CB075D"/>
    <w:rsid w:val="00CB0DBC"/>
    <w:rsid w:val="00CB26E1"/>
    <w:rsid w:val="00CB2911"/>
    <w:rsid w:val="00CB6FC8"/>
    <w:rsid w:val="00CC3759"/>
    <w:rsid w:val="00CC71E4"/>
    <w:rsid w:val="00CD0AB3"/>
    <w:rsid w:val="00CE01C0"/>
    <w:rsid w:val="00CE497F"/>
    <w:rsid w:val="00CE4A8F"/>
    <w:rsid w:val="00CE6550"/>
    <w:rsid w:val="00CE7BC3"/>
    <w:rsid w:val="00CF1191"/>
    <w:rsid w:val="00CF41B3"/>
    <w:rsid w:val="00CF5BB0"/>
    <w:rsid w:val="00D0135E"/>
    <w:rsid w:val="00D01E98"/>
    <w:rsid w:val="00D028F9"/>
    <w:rsid w:val="00D04A2A"/>
    <w:rsid w:val="00D07918"/>
    <w:rsid w:val="00D121B6"/>
    <w:rsid w:val="00D12B04"/>
    <w:rsid w:val="00D1389C"/>
    <w:rsid w:val="00D164DD"/>
    <w:rsid w:val="00D165EC"/>
    <w:rsid w:val="00D2031B"/>
    <w:rsid w:val="00D21230"/>
    <w:rsid w:val="00D25FE2"/>
    <w:rsid w:val="00D26E16"/>
    <w:rsid w:val="00D27576"/>
    <w:rsid w:val="00D30977"/>
    <w:rsid w:val="00D317BB"/>
    <w:rsid w:val="00D33328"/>
    <w:rsid w:val="00D37DA3"/>
    <w:rsid w:val="00D37E51"/>
    <w:rsid w:val="00D41FE3"/>
    <w:rsid w:val="00D43252"/>
    <w:rsid w:val="00D45D0A"/>
    <w:rsid w:val="00D5122D"/>
    <w:rsid w:val="00D6389B"/>
    <w:rsid w:val="00D643B2"/>
    <w:rsid w:val="00D66BBC"/>
    <w:rsid w:val="00D675F4"/>
    <w:rsid w:val="00D71B47"/>
    <w:rsid w:val="00D74C03"/>
    <w:rsid w:val="00D765D1"/>
    <w:rsid w:val="00D81A90"/>
    <w:rsid w:val="00D82BD9"/>
    <w:rsid w:val="00D84852"/>
    <w:rsid w:val="00D85458"/>
    <w:rsid w:val="00D87978"/>
    <w:rsid w:val="00D87D7C"/>
    <w:rsid w:val="00D93EE6"/>
    <w:rsid w:val="00D945A3"/>
    <w:rsid w:val="00D96E2D"/>
    <w:rsid w:val="00D97729"/>
    <w:rsid w:val="00D978C6"/>
    <w:rsid w:val="00DA24F8"/>
    <w:rsid w:val="00DA67AD"/>
    <w:rsid w:val="00DB06D2"/>
    <w:rsid w:val="00DB5D0F"/>
    <w:rsid w:val="00DB5E09"/>
    <w:rsid w:val="00DB5F97"/>
    <w:rsid w:val="00DC17B5"/>
    <w:rsid w:val="00DC59B0"/>
    <w:rsid w:val="00DC7333"/>
    <w:rsid w:val="00DD051B"/>
    <w:rsid w:val="00DD22FB"/>
    <w:rsid w:val="00DE1F63"/>
    <w:rsid w:val="00DE5044"/>
    <w:rsid w:val="00DF0592"/>
    <w:rsid w:val="00DF12F7"/>
    <w:rsid w:val="00DF1747"/>
    <w:rsid w:val="00DF3292"/>
    <w:rsid w:val="00DF541A"/>
    <w:rsid w:val="00DF6569"/>
    <w:rsid w:val="00DF6806"/>
    <w:rsid w:val="00E02687"/>
    <w:rsid w:val="00E02C81"/>
    <w:rsid w:val="00E059FC"/>
    <w:rsid w:val="00E06A5F"/>
    <w:rsid w:val="00E0797D"/>
    <w:rsid w:val="00E07B4D"/>
    <w:rsid w:val="00E130AB"/>
    <w:rsid w:val="00E131BB"/>
    <w:rsid w:val="00E144BF"/>
    <w:rsid w:val="00E14F86"/>
    <w:rsid w:val="00E23F89"/>
    <w:rsid w:val="00E3419D"/>
    <w:rsid w:val="00E3617C"/>
    <w:rsid w:val="00E36FC5"/>
    <w:rsid w:val="00E374C1"/>
    <w:rsid w:val="00E42338"/>
    <w:rsid w:val="00E46597"/>
    <w:rsid w:val="00E54480"/>
    <w:rsid w:val="00E5499D"/>
    <w:rsid w:val="00E54ECD"/>
    <w:rsid w:val="00E7260F"/>
    <w:rsid w:val="00E7676E"/>
    <w:rsid w:val="00E767C0"/>
    <w:rsid w:val="00E87921"/>
    <w:rsid w:val="00E90A32"/>
    <w:rsid w:val="00E90D89"/>
    <w:rsid w:val="00E9253A"/>
    <w:rsid w:val="00E94D63"/>
    <w:rsid w:val="00E96630"/>
    <w:rsid w:val="00EA264E"/>
    <w:rsid w:val="00EA29A4"/>
    <w:rsid w:val="00EA4494"/>
    <w:rsid w:val="00EB1E67"/>
    <w:rsid w:val="00EB247C"/>
    <w:rsid w:val="00EB504F"/>
    <w:rsid w:val="00EB6164"/>
    <w:rsid w:val="00EC0134"/>
    <w:rsid w:val="00EC2F56"/>
    <w:rsid w:val="00EC50E8"/>
    <w:rsid w:val="00ED1423"/>
    <w:rsid w:val="00ED2F7D"/>
    <w:rsid w:val="00ED3355"/>
    <w:rsid w:val="00ED5D98"/>
    <w:rsid w:val="00ED6C08"/>
    <w:rsid w:val="00ED7A2A"/>
    <w:rsid w:val="00EE1340"/>
    <w:rsid w:val="00EE2B5D"/>
    <w:rsid w:val="00EE6953"/>
    <w:rsid w:val="00EF114F"/>
    <w:rsid w:val="00EF1D7F"/>
    <w:rsid w:val="00EF2506"/>
    <w:rsid w:val="00EF558D"/>
    <w:rsid w:val="00F0165D"/>
    <w:rsid w:val="00F01D5F"/>
    <w:rsid w:val="00F03020"/>
    <w:rsid w:val="00F07C40"/>
    <w:rsid w:val="00F1366A"/>
    <w:rsid w:val="00F1561E"/>
    <w:rsid w:val="00F168BE"/>
    <w:rsid w:val="00F17769"/>
    <w:rsid w:val="00F20E92"/>
    <w:rsid w:val="00F2154F"/>
    <w:rsid w:val="00F3378C"/>
    <w:rsid w:val="00F34786"/>
    <w:rsid w:val="00F36BD3"/>
    <w:rsid w:val="00F406CB"/>
    <w:rsid w:val="00F40B40"/>
    <w:rsid w:val="00F40B44"/>
    <w:rsid w:val="00F4111B"/>
    <w:rsid w:val="00F41891"/>
    <w:rsid w:val="00F425EB"/>
    <w:rsid w:val="00F44197"/>
    <w:rsid w:val="00F44A3D"/>
    <w:rsid w:val="00F45770"/>
    <w:rsid w:val="00F52154"/>
    <w:rsid w:val="00F5285B"/>
    <w:rsid w:val="00F53EDA"/>
    <w:rsid w:val="00F60219"/>
    <w:rsid w:val="00F60332"/>
    <w:rsid w:val="00F64133"/>
    <w:rsid w:val="00F65E0E"/>
    <w:rsid w:val="00F7199D"/>
    <w:rsid w:val="00F7753D"/>
    <w:rsid w:val="00F77CEC"/>
    <w:rsid w:val="00F818AC"/>
    <w:rsid w:val="00F81B73"/>
    <w:rsid w:val="00F85F34"/>
    <w:rsid w:val="00F9011D"/>
    <w:rsid w:val="00F96903"/>
    <w:rsid w:val="00FA06F7"/>
    <w:rsid w:val="00FA1595"/>
    <w:rsid w:val="00FA1BD2"/>
    <w:rsid w:val="00FA3854"/>
    <w:rsid w:val="00FA6BD0"/>
    <w:rsid w:val="00FA7E3C"/>
    <w:rsid w:val="00FB171A"/>
    <w:rsid w:val="00FB4B23"/>
    <w:rsid w:val="00FB517C"/>
    <w:rsid w:val="00FB782A"/>
    <w:rsid w:val="00FC3D39"/>
    <w:rsid w:val="00FC68B7"/>
    <w:rsid w:val="00FD0DCB"/>
    <w:rsid w:val="00FD0E31"/>
    <w:rsid w:val="00FD45C9"/>
    <w:rsid w:val="00FD5A5B"/>
    <w:rsid w:val="00FD5ECB"/>
    <w:rsid w:val="00FD7BF6"/>
    <w:rsid w:val="00FE1700"/>
    <w:rsid w:val="00FE1FC2"/>
    <w:rsid w:val="00FE33D2"/>
    <w:rsid w:val="00FF2020"/>
    <w:rsid w:val="00FF2C2F"/>
    <w:rsid w:val="00FF4E89"/>
    <w:rsid w:val="00FF57B6"/>
    <w:rsid w:val="00FF63F3"/>
    <w:rsid w:val="00FF7BE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E70C59"/>
  <w15:docId w15:val="{8CEBA2D5-0E17-4F5F-A1F8-0310BDC7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580ED5"/>
    <w:pPr>
      <w:spacing w:line="240" w:lineRule="auto"/>
    </w:pPr>
    <w:rPr>
      <w:rFonts w:ascii="Tahoma" w:hAnsi="Tahoma"/>
      <w:sz w:val="16"/>
      <w:szCs w:val="16"/>
    </w:rPr>
  </w:style>
  <w:style w:type="character" w:customStyle="1" w:styleId="BalloonTextChar">
    <w:name w:val="Balloon Text Char"/>
    <w:link w:val="BalloonText"/>
    <w:rsid w:val="00580ED5"/>
    <w:rPr>
      <w:rFonts w:ascii="Tahoma" w:hAnsi="Tahoma" w:cs="Tahoma"/>
      <w:sz w:val="16"/>
      <w:szCs w:val="16"/>
      <w:lang w:eastAsia="en-US"/>
    </w:rPr>
  </w:style>
  <w:style w:type="paragraph" w:styleId="ListParagraph">
    <w:name w:val="List Paragraph"/>
    <w:basedOn w:val="Normal"/>
    <w:uiPriority w:val="34"/>
    <w:qFormat/>
    <w:rsid w:val="00403952"/>
    <w:pPr>
      <w:suppressAutoHyphens w:val="0"/>
      <w:spacing w:after="200" w:line="276" w:lineRule="auto"/>
      <w:ind w:left="720"/>
      <w:contextualSpacing/>
    </w:pPr>
    <w:rPr>
      <w:rFonts w:ascii="Calibri" w:eastAsia="Calibri" w:hAnsi="Calibri"/>
      <w:sz w:val="22"/>
      <w:szCs w:val="22"/>
      <w:lang w:val="nl-NL"/>
    </w:rPr>
  </w:style>
  <w:style w:type="paragraph" w:styleId="ListBullet">
    <w:name w:val="List Bullet"/>
    <w:basedOn w:val="Normal"/>
    <w:uiPriority w:val="99"/>
    <w:rsid w:val="00403952"/>
    <w:pPr>
      <w:numPr>
        <w:numId w:val="22"/>
      </w:numPr>
      <w:tabs>
        <w:tab w:val="num" w:pos="360"/>
      </w:tabs>
      <w:suppressAutoHyphens w:val="0"/>
      <w:spacing w:after="200" w:line="276" w:lineRule="auto"/>
      <w:ind w:left="360"/>
      <w:contextualSpacing/>
    </w:pPr>
    <w:rPr>
      <w:rFonts w:ascii="Calibri" w:eastAsia="Calibri" w:hAnsi="Calibri"/>
      <w:sz w:val="22"/>
      <w:szCs w:val="22"/>
      <w:lang w:val="nl-NL"/>
    </w:rPr>
  </w:style>
  <w:style w:type="character" w:customStyle="1" w:styleId="FooterChar">
    <w:name w:val="Footer Char"/>
    <w:aliases w:val="3_G Char"/>
    <w:basedOn w:val="DefaultParagraphFont"/>
    <w:link w:val="Footer"/>
    <w:uiPriority w:val="99"/>
    <w:rsid w:val="005E79BC"/>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2866">
      <w:bodyDiv w:val="1"/>
      <w:marLeft w:val="0"/>
      <w:marRight w:val="0"/>
      <w:marTop w:val="0"/>
      <w:marBottom w:val="0"/>
      <w:divBdr>
        <w:top w:val="none" w:sz="0" w:space="0" w:color="auto"/>
        <w:left w:val="none" w:sz="0" w:space="0" w:color="auto"/>
        <w:bottom w:val="none" w:sz="0" w:space="0" w:color="auto"/>
        <w:right w:val="none" w:sz="0" w:space="0" w:color="auto"/>
      </w:divBdr>
    </w:div>
    <w:div w:id="811991325">
      <w:bodyDiv w:val="1"/>
      <w:marLeft w:val="0"/>
      <w:marRight w:val="0"/>
      <w:marTop w:val="0"/>
      <w:marBottom w:val="0"/>
      <w:divBdr>
        <w:top w:val="none" w:sz="0" w:space="0" w:color="auto"/>
        <w:left w:val="none" w:sz="0" w:space="0" w:color="auto"/>
        <w:bottom w:val="none" w:sz="0" w:space="0" w:color="auto"/>
        <w:right w:val="none" w:sz="0" w:space="0" w:color="auto"/>
      </w:divBdr>
    </w:div>
    <w:div w:id="10592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5C4D7-0551-4EB9-B79B-B0F9AE83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17</TotalTime>
  <Pages>4</Pages>
  <Words>1401</Words>
  <Characters>7989</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Lucille Caillot</cp:lastModifiedBy>
  <cp:revision>9</cp:revision>
  <cp:lastPrinted>2014-04-09T09:43:00Z</cp:lastPrinted>
  <dcterms:created xsi:type="dcterms:W3CDTF">2018-01-12T15:48:00Z</dcterms:created>
  <dcterms:modified xsi:type="dcterms:W3CDTF">2018-01-16T14:10:00Z</dcterms:modified>
</cp:coreProperties>
</file>