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E67A0" w:rsidP="00CE67A0">
            <w:pPr>
              <w:suppressAutoHyphens w:val="0"/>
              <w:spacing w:after="20"/>
              <w:jc w:val="right"/>
            </w:pPr>
            <w:r w:rsidRPr="00CE67A0">
              <w:rPr>
                <w:sz w:val="40"/>
              </w:rPr>
              <w:t>ECE</w:t>
            </w:r>
            <w:r>
              <w:t>/TRANS/WP.15/AC.2/2018/45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E67A0" w:rsidP="00CE67A0">
            <w:pPr>
              <w:spacing w:before="240"/>
            </w:pPr>
            <w:r>
              <w:t>Distr.: General</w:t>
            </w:r>
          </w:p>
          <w:p w:rsidR="00CE67A0" w:rsidRDefault="00CE67A0" w:rsidP="00CE67A0">
            <w:pPr>
              <w:suppressAutoHyphens w:val="0"/>
            </w:pPr>
            <w:r>
              <w:t>12 June 2018</w:t>
            </w:r>
          </w:p>
          <w:p w:rsidR="00CE67A0" w:rsidRDefault="00CE67A0" w:rsidP="00CE67A0">
            <w:pPr>
              <w:suppressAutoHyphens w:val="0"/>
            </w:pPr>
            <w:r>
              <w:t>English</w:t>
            </w:r>
          </w:p>
          <w:p w:rsidR="00CE67A0" w:rsidRDefault="00CE67A0" w:rsidP="00CE67A0">
            <w:pPr>
              <w:suppressAutoHyphens w:val="0"/>
            </w:pPr>
            <w:r>
              <w:t>Original: French</w:t>
            </w:r>
          </w:p>
        </w:tc>
      </w:tr>
    </w:tbl>
    <w:p w:rsidR="00CE67A0" w:rsidRDefault="00CE67A0" w:rsidP="00CE67A0">
      <w:pPr>
        <w:spacing w:before="120"/>
        <w:rPr>
          <w:b/>
          <w:sz w:val="28"/>
          <w:szCs w:val="28"/>
        </w:rPr>
      </w:pPr>
      <w:r>
        <w:rPr>
          <w:b/>
          <w:sz w:val="28"/>
          <w:szCs w:val="28"/>
        </w:rPr>
        <w:t>Economic Commission for Europe</w:t>
      </w:r>
    </w:p>
    <w:p w:rsidR="00CE67A0" w:rsidRDefault="00CE67A0" w:rsidP="00CE67A0">
      <w:pPr>
        <w:spacing w:before="120"/>
        <w:rPr>
          <w:sz w:val="28"/>
          <w:szCs w:val="28"/>
        </w:rPr>
      </w:pPr>
      <w:r>
        <w:rPr>
          <w:sz w:val="28"/>
          <w:szCs w:val="28"/>
        </w:rPr>
        <w:t>Inland Transport Committee</w:t>
      </w:r>
    </w:p>
    <w:p w:rsidR="00CE67A0" w:rsidRDefault="00CE67A0" w:rsidP="00CE67A0">
      <w:pPr>
        <w:spacing w:before="120"/>
        <w:rPr>
          <w:b/>
          <w:sz w:val="24"/>
          <w:szCs w:val="24"/>
        </w:rPr>
      </w:pPr>
      <w:r>
        <w:rPr>
          <w:b/>
          <w:sz w:val="24"/>
          <w:szCs w:val="24"/>
        </w:rPr>
        <w:t xml:space="preserve">Working Party on the Transport of </w:t>
      </w:r>
      <w:r w:rsidRPr="002D0E73">
        <w:rPr>
          <w:b/>
          <w:sz w:val="24"/>
          <w:szCs w:val="24"/>
        </w:rPr>
        <w:t>Dangerous Goods</w:t>
      </w:r>
    </w:p>
    <w:p w:rsidR="00CE67A0" w:rsidRPr="00C52240" w:rsidRDefault="00CE67A0" w:rsidP="00CE67A0">
      <w:pPr>
        <w:spacing w:before="120"/>
        <w:rPr>
          <w:b/>
        </w:rPr>
      </w:pPr>
      <w:r w:rsidRPr="00C52240">
        <w:rPr>
          <w:b/>
        </w:rPr>
        <w:t>Joint Meeting of Experts on the Regulations annexed to the</w:t>
      </w:r>
      <w:r w:rsidRPr="00C52240">
        <w:rPr>
          <w:b/>
        </w:rPr>
        <w:br/>
        <w:t>European Agreement concerning the International Carriage</w:t>
      </w:r>
      <w:r w:rsidRPr="00C52240">
        <w:rPr>
          <w:b/>
        </w:rPr>
        <w:br/>
        <w:t>of Dangerous Goods by Inland Waterways (ADN)</w:t>
      </w:r>
      <w:r w:rsidRPr="00C52240">
        <w:rPr>
          <w:b/>
        </w:rPr>
        <w:br/>
        <w:t>(ADN Safety Committee)</w:t>
      </w:r>
    </w:p>
    <w:p w:rsidR="00CE67A0" w:rsidRPr="00C52240" w:rsidRDefault="00CE67A0" w:rsidP="00CE67A0">
      <w:pPr>
        <w:spacing w:before="120"/>
        <w:rPr>
          <w:b/>
        </w:rPr>
      </w:pPr>
      <w:r w:rsidRPr="00C14E2D">
        <w:rPr>
          <w:b/>
        </w:rPr>
        <w:t>Thirty-third</w:t>
      </w:r>
      <w:r w:rsidRPr="00C52240">
        <w:rPr>
          <w:b/>
        </w:rPr>
        <w:t xml:space="preserve"> session</w:t>
      </w:r>
    </w:p>
    <w:p w:rsidR="00CE67A0" w:rsidRPr="00C52240" w:rsidRDefault="00CE67A0" w:rsidP="00CE67A0">
      <w:r w:rsidRPr="00C52240">
        <w:t xml:space="preserve">Geneva, </w:t>
      </w:r>
      <w:r>
        <w:t>27–</w:t>
      </w:r>
      <w:r w:rsidRPr="00C14E2D">
        <w:t>31 August 2018</w:t>
      </w:r>
    </w:p>
    <w:p w:rsidR="00CE67A0" w:rsidRPr="00C52240" w:rsidRDefault="00CE67A0" w:rsidP="00CE67A0">
      <w:r w:rsidRPr="00C52240">
        <w:t xml:space="preserve">Item </w:t>
      </w:r>
      <w:r w:rsidRPr="00C14E2D">
        <w:t>4 (b) of the provisional agenda</w:t>
      </w:r>
    </w:p>
    <w:p w:rsidR="00CE67A0" w:rsidRPr="00830130" w:rsidRDefault="00CE67A0" w:rsidP="00CE67A0">
      <w:pPr>
        <w:rPr>
          <w:b/>
          <w:bCs/>
        </w:rPr>
      </w:pPr>
      <w:r w:rsidRPr="00830130">
        <w:rPr>
          <w:b/>
          <w:bCs/>
        </w:rPr>
        <w:t>Proposals for amendments to the Regulations annexed to ADN:</w:t>
      </w:r>
    </w:p>
    <w:p w:rsidR="00CE67A0" w:rsidRDefault="00CE67A0" w:rsidP="00CE67A0">
      <w:pPr>
        <w:rPr>
          <w:b/>
          <w:bCs/>
        </w:rPr>
      </w:pPr>
      <w:r w:rsidRPr="00830130">
        <w:rPr>
          <w:b/>
          <w:bCs/>
        </w:rPr>
        <w:t>Other proposals</w:t>
      </w:r>
    </w:p>
    <w:p w:rsidR="00CE67A0" w:rsidRPr="00C14E2D" w:rsidRDefault="00CE67A0" w:rsidP="00CE67A0">
      <w:pPr>
        <w:pStyle w:val="HChG"/>
      </w:pPr>
      <w:r w:rsidRPr="00C14E2D">
        <w:tab/>
      </w:r>
      <w:r w:rsidRPr="00C14E2D">
        <w:tab/>
        <w:t>Amendment to 7.1.4.1: limitation of the quantities carried</w:t>
      </w:r>
    </w:p>
    <w:p w:rsidR="00CE67A0" w:rsidRPr="004411EF" w:rsidRDefault="00CE67A0" w:rsidP="00CE67A0">
      <w:pPr>
        <w:pStyle w:val="H1G"/>
        <w:rPr>
          <w:b w:val="0"/>
          <w:bCs/>
          <w:sz w:val="20"/>
        </w:rPr>
      </w:pPr>
      <w:r w:rsidRPr="00C14E2D">
        <w:tab/>
      </w:r>
      <w:r w:rsidRPr="00C14E2D">
        <w:tab/>
        <w:t>Transmitted by the European Barge Union (EBU), the European River-Sea-Transport Union (ERSTU) and the European Skippers Organisation (ESO</w:t>
      </w:r>
      <w:r w:rsidRPr="004411EF">
        <w:rPr>
          <w:b w:val="0"/>
          <w:bCs/>
          <w:sz w:val="20"/>
        </w:rPr>
        <w:t>)</w:t>
      </w:r>
      <w:r w:rsidRPr="004411EF">
        <w:rPr>
          <w:b w:val="0"/>
          <w:bCs/>
          <w:sz w:val="20"/>
        </w:rPr>
        <w:footnoteReference w:customMarkFollows="1" w:id="1"/>
        <w:t>*</w:t>
      </w:r>
      <w:r w:rsidRPr="004411EF">
        <w:rPr>
          <w:b w:val="0"/>
          <w:bCs/>
          <w:position w:val="8"/>
          <w:sz w:val="20"/>
        </w:rPr>
        <w:t>,</w:t>
      </w:r>
      <w:r w:rsidR="0072325D" w:rsidRPr="0072325D">
        <w:rPr>
          <w:b w:val="0"/>
          <w:bCs/>
          <w:sz w:val="20"/>
        </w:rPr>
        <w:t xml:space="preserve"> </w:t>
      </w:r>
      <w:r w:rsidRPr="004411EF">
        <w:rPr>
          <w:b w:val="0"/>
          <w:bCs/>
          <w:sz w:val="20"/>
        </w:rPr>
        <w:footnoteReference w:customMarkFollows="1" w:id="2"/>
        <w:t>**</w:t>
      </w:r>
    </w:p>
    <w:p w:rsidR="00CE67A0" w:rsidRPr="00C14E2D" w:rsidRDefault="00CE67A0" w:rsidP="00CE67A0">
      <w:pPr>
        <w:pStyle w:val="HChG"/>
      </w:pPr>
      <w:r w:rsidRPr="00C14E2D">
        <w:tab/>
      </w:r>
      <w:r w:rsidRPr="00C14E2D">
        <w:tab/>
        <w:t>Introduction</w:t>
      </w:r>
    </w:p>
    <w:p w:rsidR="00CE67A0" w:rsidRPr="00C14E2D" w:rsidRDefault="00CE67A0" w:rsidP="00CE67A0">
      <w:pPr>
        <w:pStyle w:val="SingleTxtG"/>
      </w:pPr>
      <w:r w:rsidRPr="00C14E2D">
        <w:t>1.</w:t>
      </w:r>
      <w:r w:rsidRPr="00C14E2D">
        <w:tab/>
        <w:t>The representatives of the inland navigation sector submitted documents for consideration of this topic at the twenty-ninth session and again at the thirty-first session of the ADN Safety Committee. At the thirty-first session, we stated that the inland navigation sector</w:t>
      </w:r>
      <w:r>
        <w:t>’</w:t>
      </w:r>
      <w:r w:rsidRPr="00C14E2D">
        <w:t>s request was focused on achieving three objectives:</w:t>
      </w:r>
    </w:p>
    <w:p w:rsidR="00CE67A0" w:rsidRPr="00C14E2D" w:rsidRDefault="00CE67A0" w:rsidP="00CE67A0">
      <w:pPr>
        <w:pStyle w:val="SingleTxtG"/>
      </w:pPr>
      <w:r w:rsidRPr="00D86833">
        <w:tab/>
      </w:r>
      <w:r w:rsidRPr="00C14E2D">
        <w:t>(a)</w:t>
      </w:r>
      <w:r w:rsidRPr="00C14E2D">
        <w:tab/>
        <w:t>Greater clarity and improved transparency of 7.1.4.1.1 by means of a different presentation;</w:t>
      </w:r>
    </w:p>
    <w:p w:rsidR="00CE67A0" w:rsidRPr="00C14E2D" w:rsidRDefault="00CE67A0" w:rsidP="00CE67A0">
      <w:pPr>
        <w:pStyle w:val="SingleTxtG"/>
      </w:pPr>
      <w:r w:rsidRPr="00D86833">
        <w:tab/>
      </w:r>
      <w:r w:rsidRPr="00C14E2D">
        <w:t>(b)</w:t>
      </w:r>
      <w:r w:rsidRPr="00C14E2D">
        <w:tab/>
        <w:t>Clarification by bringing together the ranges of quantities in 7.1.4.1.1;</w:t>
      </w:r>
    </w:p>
    <w:p w:rsidR="00CE67A0" w:rsidRPr="00C14E2D" w:rsidRDefault="00CE67A0" w:rsidP="00CE67A0">
      <w:pPr>
        <w:pStyle w:val="SingleTxtG"/>
      </w:pPr>
      <w:r w:rsidRPr="00D86833">
        <w:tab/>
      </w:r>
      <w:r w:rsidRPr="00C14E2D">
        <w:t>(c)</w:t>
      </w:r>
      <w:r w:rsidRPr="00C14E2D">
        <w:tab/>
        <w:t>Removal of the maximum limit of 1,100 tonnes for the quantities in 7.1.4.1.2.</w:t>
      </w:r>
    </w:p>
    <w:p w:rsidR="00CE67A0" w:rsidRPr="00C14E2D" w:rsidRDefault="00CE67A0" w:rsidP="00CE67A0">
      <w:pPr>
        <w:pStyle w:val="SingleTxtG"/>
      </w:pPr>
      <w:r w:rsidRPr="00C14E2D">
        <w:t>2.</w:t>
      </w:r>
      <w:r w:rsidRPr="00C14E2D">
        <w:tab/>
        <w:t>During the discussion at the thirty-first session of the ADN Safety Committee, it became clear that there was no basis for discussion of objectives (b) and (c) mentioned in paragraph 1 above. The Safety Committee nevertheless agreed that the issue should be addressed in the context of a correspondence group.</w:t>
      </w:r>
    </w:p>
    <w:p w:rsidR="00CE67A0" w:rsidRPr="00C14E2D" w:rsidRDefault="00CE67A0" w:rsidP="00CE67A0">
      <w:pPr>
        <w:pStyle w:val="SingleTxtG"/>
      </w:pPr>
      <w:r w:rsidRPr="00C14E2D">
        <w:lastRenderedPageBreak/>
        <w:t>3.</w:t>
      </w:r>
      <w:r w:rsidRPr="00C14E2D">
        <w:tab/>
        <w:t>To date, the request has not yet been addressed through a correspondence group. The navigation sector has taken note of, and accepts for the moment, the rejection of objectives (b) and (c) in paragraph 1.</w:t>
      </w:r>
    </w:p>
    <w:p w:rsidR="00CE67A0" w:rsidRPr="00C14E2D" w:rsidRDefault="00CE67A0" w:rsidP="00CE67A0">
      <w:pPr>
        <w:pStyle w:val="SingleTxtG"/>
      </w:pPr>
      <w:r w:rsidRPr="00C14E2D">
        <w:t>4.</w:t>
      </w:r>
      <w:r w:rsidRPr="00C14E2D">
        <w:tab/>
        <w:t>However, we reiterate our wish for greater clarity and transparency by means of a change to the presentation of 7.1.4.1. This is necessary in particular to make the issue understandable for users who do not consult ADN regularly.</w:t>
      </w:r>
    </w:p>
    <w:p w:rsidR="00CE67A0" w:rsidRPr="00C14E2D" w:rsidRDefault="00CE67A0" w:rsidP="00CE67A0">
      <w:pPr>
        <w:pStyle w:val="HChG"/>
      </w:pPr>
      <w:r w:rsidRPr="00C14E2D">
        <w:tab/>
      </w:r>
      <w:r w:rsidRPr="00C14E2D">
        <w:tab/>
        <w:t>Proposal</w:t>
      </w:r>
    </w:p>
    <w:p w:rsidR="00CE67A0" w:rsidRPr="00C14E2D" w:rsidRDefault="00CE67A0" w:rsidP="00CE67A0">
      <w:pPr>
        <w:pStyle w:val="SingleTxtG"/>
      </w:pPr>
      <w:r w:rsidRPr="00C14E2D">
        <w:t>5.</w:t>
      </w:r>
      <w:r w:rsidRPr="00C14E2D">
        <w:tab/>
        <w:t>Replace the wording of paragraphs 7.1.4.1.1, 7.1.4.1.2 and 7.1.4.1.3 by the following text:</w:t>
      </w:r>
    </w:p>
    <w:p w:rsidR="00CE67A0" w:rsidRPr="00C14E2D" w:rsidRDefault="00CE67A0" w:rsidP="00CE67A0">
      <w:pPr>
        <w:pStyle w:val="SingleTxtG"/>
      </w:pPr>
      <w:r>
        <w:t>“</w:t>
      </w:r>
      <w:r w:rsidRPr="00C14E2D">
        <w:t>7.1.4.1</w:t>
      </w:r>
      <w:r w:rsidRPr="00C14E2D">
        <w:tab/>
      </w:r>
      <w:r w:rsidRPr="00D86833">
        <w:rPr>
          <w:b/>
          <w:bCs/>
        </w:rPr>
        <w:t>Limitation of the quantities carried</w:t>
      </w:r>
    </w:p>
    <w:p w:rsidR="00CE67A0" w:rsidRPr="00C14E2D" w:rsidRDefault="00CE67A0" w:rsidP="00CE67A0">
      <w:pPr>
        <w:pStyle w:val="SingleTxtG"/>
        <w:ind w:left="2268"/>
      </w:pPr>
      <w:r w:rsidRPr="00C14E2D">
        <w:t>Some</w:t>
      </w:r>
      <w:r w:rsidRPr="005061E0">
        <w:rPr>
          <w:vertAlign w:val="superscript"/>
        </w:rPr>
        <w:t>(1)</w:t>
      </w:r>
      <w:r w:rsidRPr="00C14E2D">
        <w:t xml:space="preserve"> dangerous goods of Classes 1,</w:t>
      </w:r>
      <w:r w:rsidRPr="00FF0408">
        <w:rPr>
          <w:vertAlign w:val="superscript"/>
        </w:rPr>
        <w:t xml:space="preserve">(2) </w:t>
      </w:r>
      <w:r w:rsidRPr="00C14E2D">
        <w:t>2, 3, 4.1, 4.2, 4.3, 5.1, 5.2, 6.1, 7, 8 and 9 may be transported only in limited quantities, in accordance with 7.1.4.1.1, 7.1.4.1.2 and 7.1.4.1.3.</w:t>
      </w:r>
    </w:p>
    <w:p w:rsidR="00CE67A0" w:rsidRPr="00C14E2D" w:rsidRDefault="00CE67A0" w:rsidP="00CE67A0">
      <w:pPr>
        <w:pStyle w:val="SingleTxtG"/>
        <w:ind w:left="2268"/>
      </w:pPr>
      <w:r w:rsidRPr="00C14E2D">
        <w:t xml:space="preserve">For pushed convoys and side-by-side formations, the quantity limitations specified in 7.1.4.1.1, 7.1.4.1.2 and 7.1.4.1.3 apply to each unit, with a maximum of 1,100,000 kg permitted for each unit. </w:t>
      </w:r>
    </w:p>
    <w:p w:rsidR="00CE67A0" w:rsidRPr="00C14E2D" w:rsidRDefault="00CE67A0" w:rsidP="00CE67A0">
      <w:pPr>
        <w:pStyle w:val="SingleTxtG"/>
        <w:ind w:left="2268" w:hanging="1134"/>
      </w:pPr>
      <w:r w:rsidRPr="00C14E2D">
        <w:t>7.1.4.1.1</w:t>
      </w:r>
      <w:r w:rsidRPr="00C14E2D">
        <w:tab/>
        <w:t xml:space="preserve">Double-hull vessels that meet the additional rules for construction in 9.1.0.88 to 9.1.0.95 or 9.2.0.88 to 9.2.0.95 may carry only the quantities of Class 1 dangerous goods specified in 7.1.4.1.3. </w:t>
      </w:r>
    </w:p>
    <w:p w:rsidR="00CE67A0" w:rsidRPr="00C14E2D" w:rsidRDefault="00CE67A0" w:rsidP="00CE67A0">
      <w:pPr>
        <w:pStyle w:val="SingleTxtG"/>
        <w:ind w:left="2268"/>
      </w:pPr>
      <w:r w:rsidRPr="00C14E2D">
        <w:t xml:space="preserve">Such vessels may carry goods of Classes 2, 3, 4.1, 4.2, 4.3, 5.1, 5.2, 6.1, 7, 8 and 9 without limitation on the quantity carried. </w:t>
      </w:r>
    </w:p>
    <w:p w:rsidR="00CE67A0" w:rsidRPr="00C14E2D" w:rsidRDefault="00CE67A0" w:rsidP="00CE67A0">
      <w:pPr>
        <w:pStyle w:val="SingleTxtG"/>
        <w:ind w:left="2268"/>
      </w:pPr>
      <w:r w:rsidRPr="00C14E2D">
        <w:t>Notwithstanding this provision, dangerous goods for which a model No. 1 danger label</w:t>
      </w:r>
      <w:r>
        <w:t xml:space="preserve"> </w:t>
      </w:r>
      <w:r w:rsidRPr="00C14E2D">
        <w:t>is required in column (5) of Table A in Chapter 3.2 may be carried on board each unit only in the quantities set out in 7.1.4.1.3.</w:t>
      </w:r>
      <w:r w:rsidRPr="00C53224">
        <w:rPr>
          <w:vertAlign w:val="superscript"/>
        </w:rPr>
        <w:t>(3)</w:t>
      </w:r>
    </w:p>
    <w:p w:rsidR="00CE67A0" w:rsidRPr="00C14E2D" w:rsidRDefault="00CE67A0" w:rsidP="00CE67A0">
      <w:pPr>
        <w:pStyle w:val="SingleTxtG"/>
        <w:ind w:left="2268" w:hanging="1134"/>
      </w:pPr>
      <w:r w:rsidRPr="00C14E2D">
        <w:t>7.1.4.1.2</w:t>
      </w:r>
      <w:r w:rsidRPr="00C14E2D">
        <w:tab/>
        <w:t>Single-hull vessels, pushed barges and double-hull vessels which do not meet the additional rules of construction in 9.1.0.88 to 9.1.0.95 or 9.2.0.88 to 9.2.0.95 may carry only the quantities of dangerous goods of Classes 1, 2, 3, 4.1, 4.2, 4.3, 5.1, 5.2, 6.1, 7, 8 and 9 set out in 7.1.4.1.3.</w:t>
      </w:r>
    </w:p>
    <w:p w:rsidR="00CE67A0" w:rsidRPr="00C14E2D" w:rsidRDefault="00CE67A0" w:rsidP="00CE67A0">
      <w:pPr>
        <w:pStyle w:val="SingleTxtG"/>
        <w:ind w:left="2268"/>
      </w:pPr>
      <w:r w:rsidRPr="0085589D">
        <w:rPr>
          <w:b/>
          <w:bCs/>
          <w:i/>
          <w:iCs/>
        </w:rPr>
        <w:t>NOTE</w:t>
      </w:r>
      <w:r w:rsidRPr="00C53224">
        <w:rPr>
          <w:i/>
          <w:iCs/>
        </w:rPr>
        <w:t>: Where the quantity</w:t>
      </w:r>
      <w:r>
        <w:rPr>
          <w:i/>
          <w:iCs/>
        </w:rPr>
        <w:t xml:space="preserve"> </w:t>
      </w:r>
      <w:r w:rsidRPr="00C53224">
        <w:rPr>
          <w:i/>
          <w:iCs/>
        </w:rPr>
        <w:t xml:space="preserve">indication </w:t>
      </w:r>
      <w:r>
        <w:rPr>
          <w:i/>
          <w:iCs/>
        </w:rPr>
        <w:t>“</w:t>
      </w:r>
      <w:r w:rsidRPr="00C53224">
        <w:rPr>
          <w:i/>
          <w:iCs/>
        </w:rPr>
        <w:t>No limitation</w:t>
      </w:r>
      <w:r>
        <w:rPr>
          <w:i/>
          <w:iCs/>
        </w:rPr>
        <w:t>”</w:t>
      </w:r>
      <w:r w:rsidRPr="00C53224">
        <w:rPr>
          <w:i/>
          <w:iCs/>
        </w:rPr>
        <w:t xml:space="preserve"> is shown in 7.1.4.1.3, these goods may be carried in unlimited quantities</w:t>
      </w:r>
      <w:r w:rsidRPr="00C14E2D">
        <w:t>.</w:t>
      </w:r>
      <w:r w:rsidRPr="00C53224">
        <w:rPr>
          <w:vertAlign w:val="superscript"/>
        </w:rPr>
        <w:t>(4)</w:t>
      </w:r>
      <w:r>
        <w:t>”</w:t>
      </w:r>
    </w:p>
    <w:p w:rsidR="00CE67A0" w:rsidRPr="00C14E2D" w:rsidRDefault="00CE67A0" w:rsidP="00CE67A0">
      <w:pPr>
        <w:pStyle w:val="SingleTxtG"/>
      </w:pPr>
      <w:r w:rsidRPr="00C14E2D">
        <w:t>7.1.4.1.3</w:t>
      </w:r>
      <w:r w:rsidRPr="00C14E2D">
        <w:tab/>
        <w:t>Table (see pages 4 and 5 of the present document)</w:t>
      </w:r>
    </w:p>
    <w:p w:rsidR="00CE67A0" w:rsidRPr="00C14E2D" w:rsidRDefault="00CE67A0" w:rsidP="00CE67A0">
      <w:pPr>
        <w:pStyle w:val="SingleTxtG"/>
      </w:pPr>
      <w:r w:rsidRPr="00C14E2D">
        <w:t>Paragraphs 7.1.4.1.4 to 7.1.4.1.6 remain unchanged.</w:t>
      </w:r>
    </w:p>
    <w:p w:rsidR="00CE67A0" w:rsidRPr="00C14E2D" w:rsidRDefault="00CE67A0" w:rsidP="00CE67A0">
      <w:pPr>
        <w:pStyle w:val="H1G"/>
      </w:pPr>
      <w:r w:rsidRPr="00C14E2D">
        <w:tab/>
      </w:r>
      <w:r w:rsidRPr="00C14E2D">
        <w:tab/>
        <w:t>Comments</w:t>
      </w:r>
    </w:p>
    <w:p w:rsidR="00CE67A0" w:rsidRPr="00C14E2D" w:rsidRDefault="00CE67A0" w:rsidP="00CE67A0">
      <w:pPr>
        <w:pStyle w:val="SingleTxtG"/>
        <w:ind w:left="1701" w:hanging="567"/>
      </w:pPr>
      <w:r w:rsidRPr="00C14E2D">
        <w:t>(1)</w:t>
      </w:r>
      <w:r w:rsidRPr="00C14E2D">
        <w:tab/>
        <w:t xml:space="preserve">The addition of the word </w:t>
      </w:r>
      <w:r>
        <w:t>“</w:t>
      </w:r>
      <w:r w:rsidRPr="00C14E2D">
        <w:t>some</w:t>
      </w:r>
      <w:r>
        <w:t>”</w:t>
      </w:r>
      <w:r w:rsidRPr="00C14E2D">
        <w:t xml:space="preserve"> indicates from the outset that different requirements may apply to different classes. </w:t>
      </w:r>
    </w:p>
    <w:p w:rsidR="00CE67A0" w:rsidRPr="00C14E2D" w:rsidRDefault="00CE67A0" w:rsidP="00CE67A0">
      <w:pPr>
        <w:pStyle w:val="SingleTxtG"/>
        <w:ind w:left="1701" w:hanging="567"/>
      </w:pPr>
      <w:r>
        <w:t>(2)</w:t>
      </w:r>
      <w:r w:rsidRPr="00C14E2D">
        <w:tab/>
        <w:t xml:space="preserve">The new quantity limits proposed in table 7.1.4.1.3 also apply for Class 1 goods. Class 1 should therefore be mentioned in the introductory text of the new 7.1.4.1. </w:t>
      </w:r>
    </w:p>
    <w:p w:rsidR="00CE67A0" w:rsidRPr="00C14E2D" w:rsidRDefault="00CE67A0" w:rsidP="00CE67A0">
      <w:pPr>
        <w:pStyle w:val="SingleTxtG"/>
        <w:ind w:left="1701" w:hanging="567"/>
      </w:pPr>
      <w:r>
        <w:t>(3)</w:t>
      </w:r>
      <w:r w:rsidRPr="00C14E2D">
        <w:tab/>
        <w:t xml:space="preserve">Class 1 goods are not mentioned in 7.1.4.1.3 in the 2017 version of ADN. Double-hull vessels that meet the additional rules of construction under subsections 9.1.0.88 to 9.1.0.95 or 9.2.0.88 to 9.2.0.95 are not permitted to carry goods of Class 1 without quantity limits. These vessels must observe the quantity limits that have been mentioned to date in 7.1.4.1.1 or are set out in 7.1.4.1.3 of this proposal. </w:t>
      </w:r>
    </w:p>
    <w:p w:rsidR="00CE67A0" w:rsidRPr="00C14E2D" w:rsidRDefault="00CE67A0" w:rsidP="00CE67A0">
      <w:pPr>
        <w:pStyle w:val="SingleTxtG"/>
        <w:ind w:left="1701" w:hanging="567"/>
      </w:pPr>
      <w:r>
        <w:t>(4)</w:t>
      </w:r>
      <w:r w:rsidRPr="00C14E2D">
        <w:tab/>
        <w:t xml:space="preserve">The use of the term </w:t>
      </w:r>
      <w:r>
        <w:t>“</w:t>
      </w:r>
      <w:r w:rsidRPr="00C14E2D">
        <w:t>No limitation</w:t>
      </w:r>
      <w:r>
        <w:t>”</w:t>
      </w:r>
      <w:r w:rsidRPr="00C14E2D">
        <w:t xml:space="preserve"> in this context means that quantities of more than 1,100,000 kg are allowed in such cases.</w:t>
      </w:r>
    </w:p>
    <w:p w:rsidR="00CE67A0" w:rsidRPr="00C14E2D" w:rsidRDefault="00CE67A0" w:rsidP="00CE67A0">
      <w:pPr>
        <w:pStyle w:val="HChG"/>
      </w:pPr>
      <w:r w:rsidRPr="00C14E2D">
        <w:lastRenderedPageBreak/>
        <w:tab/>
      </w:r>
      <w:r w:rsidRPr="00C14E2D">
        <w:tab/>
        <w:t>Note to the Secretariat</w:t>
      </w:r>
    </w:p>
    <w:p w:rsidR="00CE67A0" w:rsidRDefault="00CE67A0" w:rsidP="00CE67A0">
      <w:pPr>
        <w:pStyle w:val="SingleTxtG"/>
      </w:pPr>
      <w:r w:rsidRPr="00C14E2D">
        <w:t>6.</w:t>
      </w:r>
      <w:r w:rsidRPr="00C14E2D">
        <w:tab/>
        <w:t xml:space="preserve">Footnotes </w:t>
      </w:r>
      <w:r w:rsidRPr="00EA34EF">
        <w:rPr>
          <w:vertAlign w:val="superscript"/>
        </w:rPr>
        <w:t>(1)</w:t>
      </w:r>
      <w:r w:rsidRPr="00C14E2D">
        <w:t xml:space="preserve"> to </w:t>
      </w:r>
      <w:r w:rsidRPr="00EA34EF">
        <w:rPr>
          <w:vertAlign w:val="superscript"/>
        </w:rPr>
        <w:t>(4)</w:t>
      </w:r>
      <w:r w:rsidRPr="00C14E2D">
        <w:t xml:space="preserve"> contain clarifications to facilitate understanding of the new text. They are </w:t>
      </w:r>
      <w:r w:rsidRPr="00EA34EF">
        <w:rPr>
          <w:u w:val="single"/>
        </w:rPr>
        <w:t>not</w:t>
      </w:r>
      <w:r w:rsidRPr="00C14E2D">
        <w:t xml:space="preserve"> intended to be printed in ADN.</w:t>
      </w:r>
    </w:p>
    <w:p w:rsidR="00CB1AD3" w:rsidRDefault="00CB1AD3" w:rsidP="00CE67A0">
      <w:pPr>
        <w:pStyle w:val="SingleTxtG"/>
      </w:pPr>
    </w:p>
    <w:p w:rsidR="00720E3A" w:rsidRDefault="00720E3A" w:rsidP="00CE67A0">
      <w:pPr>
        <w:pStyle w:val="SingleTxtG"/>
        <w:sectPr w:rsidR="00720E3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720E3A" w:rsidRPr="007A26FF" w:rsidRDefault="00720E3A" w:rsidP="00720E3A">
      <w:pPr>
        <w:pStyle w:val="SingleTxtG"/>
      </w:pPr>
      <w:r w:rsidRPr="007A26FF">
        <w:lastRenderedPageBreak/>
        <w:t>7.1.4.1.3</w:t>
      </w:r>
      <w:r w:rsidRPr="007A26FF">
        <w:tab/>
        <w:t xml:space="preserve">Quantity limitations </w:t>
      </w:r>
    </w:p>
    <w:tbl>
      <w:tblPr>
        <w:tblStyle w:val="TableGrid1"/>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
        <w:gridCol w:w="9217"/>
        <w:gridCol w:w="279"/>
        <w:gridCol w:w="279"/>
        <w:gridCol w:w="279"/>
        <w:gridCol w:w="279"/>
        <w:gridCol w:w="324"/>
        <w:gridCol w:w="301"/>
        <w:gridCol w:w="301"/>
        <w:gridCol w:w="301"/>
      </w:tblGrid>
      <w:tr w:rsidR="00720E3A" w:rsidRPr="00720E3A" w:rsidTr="00475EC5">
        <w:trPr>
          <w:tblHeader/>
        </w:trPr>
        <w:tc>
          <w:tcPr>
            <w:tcW w:w="799" w:type="dxa"/>
            <w:tcBorders>
              <w:top w:val="single" w:sz="4" w:space="0" w:color="auto"/>
              <w:bottom w:val="nil"/>
            </w:tcBorders>
            <w:shd w:val="clear" w:color="auto" w:fill="auto"/>
            <w:vAlign w:val="bottom"/>
          </w:tcPr>
          <w:p w:rsidR="00720E3A" w:rsidRPr="00720E3A" w:rsidRDefault="00720E3A" w:rsidP="00720E3A">
            <w:pPr>
              <w:tabs>
                <w:tab w:val="clear" w:pos="425"/>
                <w:tab w:val="clear" w:pos="851"/>
                <w:tab w:val="clear" w:pos="1276"/>
              </w:tabs>
              <w:suppressAutoHyphens w:val="0"/>
              <w:spacing w:before="80" w:after="80" w:line="200" w:lineRule="exact"/>
              <w:ind w:right="113"/>
              <w:jc w:val="left"/>
              <w:rPr>
                <w:i/>
                <w:sz w:val="16"/>
                <w:lang w:val="en-GB"/>
              </w:rPr>
            </w:pPr>
          </w:p>
        </w:tc>
        <w:tc>
          <w:tcPr>
            <w:tcW w:w="9217" w:type="dxa"/>
            <w:tcBorders>
              <w:top w:val="single" w:sz="4" w:space="0" w:color="auto"/>
              <w:bottom w:val="nil"/>
            </w:tcBorders>
            <w:shd w:val="clear" w:color="auto" w:fill="auto"/>
            <w:vAlign w:val="bottom"/>
          </w:tcPr>
          <w:p w:rsidR="00720E3A" w:rsidRPr="00720E3A" w:rsidRDefault="00720E3A" w:rsidP="00720E3A">
            <w:pPr>
              <w:tabs>
                <w:tab w:val="clear" w:pos="425"/>
                <w:tab w:val="clear" w:pos="851"/>
                <w:tab w:val="clear" w:pos="1276"/>
              </w:tabs>
              <w:suppressAutoHyphens w:val="0"/>
              <w:spacing w:before="80" w:after="80" w:line="200" w:lineRule="exact"/>
              <w:ind w:right="113"/>
              <w:jc w:val="left"/>
              <w:rPr>
                <w:i/>
                <w:sz w:val="16"/>
                <w:lang w:val="en-GB"/>
              </w:rPr>
            </w:pPr>
          </w:p>
        </w:tc>
        <w:tc>
          <w:tcPr>
            <w:tcW w:w="2343" w:type="dxa"/>
            <w:gridSpan w:val="8"/>
            <w:tcBorders>
              <w:top w:val="single" w:sz="4" w:space="0" w:color="auto"/>
              <w:bottom w:val="single" w:sz="4" w:space="0" w:color="auto"/>
            </w:tcBorders>
            <w:shd w:val="clear" w:color="auto" w:fill="auto"/>
            <w:vAlign w:val="bottom"/>
          </w:tcPr>
          <w:p w:rsidR="00720E3A" w:rsidRPr="00720E3A" w:rsidRDefault="00720E3A" w:rsidP="00944EAD">
            <w:pPr>
              <w:tabs>
                <w:tab w:val="clear" w:pos="425"/>
                <w:tab w:val="clear" w:pos="851"/>
                <w:tab w:val="clear" w:pos="1276"/>
              </w:tabs>
              <w:suppressAutoHyphens w:val="0"/>
              <w:spacing w:before="80" w:after="80" w:line="200" w:lineRule="exact"/>
              <w:ind w:right="113"/>
              <w:jc w:val="center"/>
              <w:rPr>
                <w:i/>
                <w:sz w:val="16"/>
                <w:lang w:val="en-GB"/>
              </w:rPr>
            </w:pPr>
            <w:r w:rsidRPr="00720E3A">
              <w:rPr>
                <w:i/>
                <w:sz w:val="16"/>
                <w:lang w:val="en-GB"/>
              </w:rPr>
              <w:t>Gross mass on board vessel</w:t>
            </w:r>
          </w:p>
        </w:tc>
      </w:tr>
      <w:tr w:rsidR="00720E3A" w:rsidRPr="00720E3A" w:rsidTr="00475EC5">
        <w:trPr>
          <w:cantSplit/>
          <w:trHeight w:val="1448"/>
          <w:tblHeader/>
        </w:trPr>
        <w:tc>
          <w:tcPr>
            <w:tcW w:w="799" w:type="dxa"/>
            <w:tcBorders>
              <w:top w:val="nil"/>
              <w:bottom w:val="single" w:sz="12" w:space="0" w:color="auto"/>
            </w:tcBorders>
            <w:shd w:val="clear" w:color="auto" w:fill="auto"/>
            <w:vAlign w:val="bottom"/>
          </w:tcPr>
          <w:p w:rsidR="00720E3A" w:rsidRPr="00720E3A" w:rsidRDefault="00944EAD" w:rsidP="00720E3A">
            <w:pPr>
              <w:tabs>
                <w:tab w:val="clear" w:pos="425"/>
                <w:tab w:val="clear" w:pos="851"/>
                <w:tab w:val="clear" w:pos="1276"/>
              </w:tabs>
              <w:suppressAutoHyphens w:val="0"/>
              <w:spacing w:before="40" w:after="120" w:line="220" w:lineRule="exact"/>
              <w:ind w:right="113"/>
              <w:jc w:val="left"/>
              <w:rPr>
                <w:lang w:val="en-GB"/>
              </w:rPr>
            </w:pPr>
            <w:r w:rsidRPr="00720E3A">
              <w:rPr>
                <w:i/>
                <w:sz w:val="16"/>
                <w:lang w:val="en-GB"/>
              </w:rPr>
              <w:t>Class</w:t>
            </w:r>
          </w:p>
        </w:tc>
        <w:tc>
          <w:tcPr>
            <w:tcW w:w="9217" w:type="dxa"/>
            <w:tcBorders>
              <w:top w:val="nil"/>
              <w:bottom w:val="single" w:sz="12" w:space="0" w:color="auto"/>
            </w:tcBorders>
            <w:shd w:val="clear" w:color="auto" w:fill="auto"/>
            <w:vAlign w:val="bottom"/>
          </w:tcPr>
          <w:p w:rsidR="00720E3A" w:rsidRPr="00720E3A" w:rsidRDefault="00944EAD" w:rsidP="00720E3A">
            <w:pPr>
              <w:tabs>
                <w:tab w:val="clear" w:pos="425"/>
                <w:tab w:val="clear" w:pos="851"/>
                <w:tab w:val="clear" w:pos="1276"/>
              </w:tabs>
              <w:suppressAutoHyphens w:val="0"/>
              <w:spacing w:before="40" w:after="120" w:line="220" w:lineRule="exact"/>
              <w:ind w:right="113"/>
              <w:jc w:val="left"/>
              <w:rPr>
                <w:lang w:val="en-GB"/>
              </w:rPr>
            </w:pPr>
            <w:r w:rsidRPr="00720E3A">
              <w:rPr>
                <w:i/>
                <w:sz w:val="16"/>
                <w:lang w:val="en-GB"/>
              </w:rPr>
              <w:t>Description</w:t>
            </w:r>
          </w:p>
        </w:tc>
        <w:tc>
          <w:tcPr>
            <w:tcW w:w="279" w:type="dxa"/>
            <w:tcBorders>
              <w:top w:val="single" w:sz="4" w:space="0" w:color="auto"/>
              <w:bottom w:val="single" w:sz="12" w:space="0" w:color="auto"/>
            </w:tcBorders>
            <w:shd w:val="clear" w:color="auto" w:fill="auto"/>
            <w:textDirection w:val="tbRl"/>
            <w:vAlign w:val="bottom"/>
          </w:tcPr>
          <w:p w:rsidR="00720E3A" w:rsidRPr="00944EAD" w:rsidRDefault="00720E3A" w:rsidP="00721235">
            <w:pPr>
              <w:tabs>
                <w:tab w:val="clear" w:pos="425"/>
                <w:tab w:val="clear" w:pos="851"/>
                <w:tab w:val="clear" w:pos="1276"/>
              </w:tabs>
              <w:suppressAutoHyphens w:val="0"/>
              <w:spacing w:before="80" w:after="80" w:line="200" w:lineRule="exact"/>
              <w:ind w:right="113"/>
              <w:jc w:val="right"/>
              <w:rPr>
                <w:i/>
                <w:sz w:val="16"/>
                <w:lang w:val="en-GB"/>
              </w:rPr>
            </w:pPr>
            <w:r w:rsidRPr="00944EAD">
              <w:rPr>
                <w:i/>
                <w:sz w:val="16"/>
                <w:lang w:val="en-GB"/>
              </w:rPr>
              <w:t>0 kg</w:t>
            </w:r>
          </w:p>
        </w:tc>
        <w:tc>
          <w:tcPr>
            <w:tcW w:w="279" w:type="dxa"/>
            <w:tcBorders>
              <w:top w:val="single" w:sz="4" w:space="0" w:color="auto"/>
              <w:bottom w:val="single" w:sz="12" w:space="0" w:color="auto"/>
            </w:tcBorders>
            <w:shd w:val="clear" w:color="auto" w:fill="auto"/>
            <w:textDirection w:val="tbRl"/>
            <w:vAlign w:val="bottom"/>
          </w:tcPr>
          <w:p w:rsidR="00720E3A" w:rsidRPr="00944EAD" w:rsidRDefault="00720E3A" w:rsidP="00721235">
            <w:pPr>
              <w:tabs>
                <w:tab w:val="clear" w:pos="425"/>
                <w:tab w:val="clear" w:pos="851"/>
                <w:tab w:val="clear" w:pos="1276"/>
              </w:tabs>
              <w:suppressAutoHyphens w:val="0"/>
              <w:spacing w:before="80" w:after="80" w:line="200" w:lineRule="exact"/>
              <w:ind w:right="113"/>
              <w:jc w:val="right"/>
              <w:rPr>
                <w:i/>
                <w:sz w:val="16"/>
                <w:lang w:val="en-GB"/>
              </w:rPr>
            </w:pPr>
            <w:r w:rsidRPr="00944EAD">
              <w:rPr>
                <w:i/>
                <w:sz w:val="16"/>
                <w:lang w:val="en-GB"/>
              </w:rPr>
              <w:t>90 kg</w:t>
            </w:r>
          </w:p>
        </w:tc>
        <w:tc>
          <w:tcPr>
            <w:tcW w:w="279" w:type="dxa"/>
            <w:tcBorders>
              <w:top w:val="single" w:sz="4" w:space="0" w:color="auto"/>
              <w:bottom w:val="single" w:sz="12" w:space="0" w:color="auto"/>
            </w:tcBorders>
            <w:shd w:val="clear" w:color="auto" w:fill="auto"/>
            <w:textDirection w:val="tbRl"/>
            <w:vAlign w:val="bottom"/>
          </w:tcPr>
          <w:p w:rsidR="00720E3A" w:rsidRPr="00944EAD" w:rsidRDefault="00720E3A" w:rsidP="00721235">
            <w:pPr>
              <w:tabs>
                <w:tab w:val="clear" w:pos="425"/>
                <w:tab w:val="clear" w:pos="851"/>
                <w:tab w:val="clear" w:pos="1276"/>
              </w:tabs>
              <w:suppressAutoHyphens w:val="0"/>
              <w:spacing w:before="80" w:after="80" w:line="200" w:lineRule="exact"/>
              <w:ind w:right="113"/>
              <w:jc w:val="right"/>
              <w:rPr>
                <w:i/>
                <w:sz w:val="16"/>
                <w:lang w:val="en-GB"/>
              </w:rPr>
            </w:pPr>
            <w:r w:rsidRPr="00944EAD">
              <w:rPr>
                <w:i/>
                <w:sz w:val="16"/>
                <w:lang w:val="en-GB"/>
              </w:rPr>
              <w:t>15,000 kg</w:t>
            </w:r>
          </w:p>
        </w:tc>
        <w:tc>
          <w:tcPr>
            <w:tcW w:w="279" w:type="dxa"/>
            <w:tcBorders>
              <w:top w:val="single" w:sz="4" w:space="0" w:color="auto"/>
              <w:bottom w:val="single" w:sz="12" w:space="0" w:color="auto"/>
            </w:tcBorders>
            <w:shd w:val="clear" w:color="auto" w:fill="auto"/>
            <w:textDirection w:val="tbRl"/>
            <w:vAlign w:val="bottom"/>
          </w:tcPr>
          <w:p w:rsidR="00720E3A" w:rsidRPr="00944EAD" w:rsidRDefault="00720E3A" w:rsidP="00721235">
            <w:pPr>
              <w:tabs>
                <w:tab w:val="clear" w:pos="425"/>
                <w:tab w:val="clear" w:pos="851"/>
                <w:tab w:val="clear" w:pos="1276"/>
              </w:tabs>
              <w:suppressAutoHyphens w:val="0"/>
              <w:spacing w:before="80" w:after="80" w:line="200" w:lineRule="exact"/>
              <w:ind w:right="113"/>
              <w:jc w:val="right"/>
              <w:rPr>
                <w:i/>
                <w:sz w:val="16"/>
                <w:lang w:val="en-GB"/>
              </w:rPr>
            </w:pPr>
            <w:r w:rsidRPr="00944EAD">
              <w:rPr>
                <w:i/>
                <w:sz w:val="16"/>
                <w:lang w:val="en-GB"/>
              </w:rPr>
              <w:t>50,000 kg</w:t>
            </w:r>
          </w:p>
        </w:tc>
        <w:tc>
          <w:tcPr>
            <w:tcW w:w="324" w:type="dxa"/>
            <w:tcBorders>
              <w:top w:val="single" w:sz="4" w:space="0" w:color="auto"/>
              <w:bottom w:val="single" w:sz="12" w:space="0" w:color="auto"/>
            </w:tcBorders>
            <w:shd w:val="clear" w:color="auto" w:fill="auto"/>
            <w:textDirection w:val="tbRl"/>
            <w:vAlign w:val="bottom"/>
          </w:tcPr>
          <w:p w:rsidR="00720E3A" w:rsidRPr="00944EAD" w:rsidRDefault="00720E3A" w:rsidP="00721235">
            <w:pPr>
              <w:tabs>
                <w:tab w:val="clear" w:pos="425"/>
                <w:tab w:val="clear" w:pos="851"/>
                <w:tab w:val="clear" w:pos="1276"/>
              </w:tabs>
              <w:suppressAutoHyphens w:val="0"/>
              <w:spacing w:before="80" w:after="80" w:line="200" w:lineRule="exact"/>
              <w:ind w:right="113"/>
              <w:jc w:val="right"/>
              <w:rPr>
                <w:i/>
                <w:sz w:val="16"/>
                <w:lang w:val="en-GB"/>
              </w:rPr>
            </w:pPr>
            <w:r w:rsidRPr="00944EAD">
              <w:rPr>
                <w:i/>
                <w:sz w:val="16"/>
                <w:lang w:val="en-GB"/>
              </w:rPr>
              <w:t>120,000 kg</w:t>
            </w:r>
          </w:p>
        </w:tc>
        <w:tc>
          <w:tcPr>
            <w:tcW w:w="301" w:type="dxa"/>
            <w:tcBorders>
              <w:top w:val="single" w:sz="4" w:space="0" w:color="auto"/>
              <w:bottom w:val="single" w:sz="12" w:space="0" w:color="auto"/>
            </w:tcBorders>
            <w:shd w:val="clear" w:color="auto" w:fill="auto"/>
            <w:textDirection w:val="tbRl"/>
            <w:vAlign w:val="bottom"/>
          </w:tcPr>
          <w:p w:rsidR="00720E3A" w:rsidRPr="00944EAD" w:rsidRDefault="00720E3A" w:rsidP="00721235">
            <w:pPr>
              <w:tabs>
                <w:tab w:val="clear" w:pos="425"/>
                <w:tab w:val="clear" w:pos="851"/>
                <w:tab w:val="clear" w:pos="1276"/>
              </w:tabs>
              <w:suppressAutoHyphens w:val="0"/>
              <w:spacing w:before="80" w:after="80" w:line="200" w:lineRule="exact"/>
              <w:ind w:right="113"/>
              <w:jc w:val="right"/>
              <w:rPr>
                <w:i/>
                <w:sz w:val="16"/>
                <w:lang w:val="en-GB"/>
              </w:rPr>
            </w:pPr>
            <w:r w:rsidRPr="00944EAD">
              <w:rPr>
                <w:i/>
                <w:sz w:val="16"/>
                <w:lang w:val="en-GB"/>
              </w:rPr>
              <w:t>300,000 kg</w:t>
            </w:r>
          </w:p>
        </w:tc>
        <w:tc>
          <w:tcPr>
            <w:tcW w:w="301" w:type="dxa"/>
            <w:tcBorders>
              <w:top w:val="single" w:sz="4" w:space="0" w:color="auto"/>
              <w:bottom w:val="single" w:sz="12" w:space="0" w:color="auto"/>
            </w:tcBorders>
            <w:shd w:val="clear" w:color="auto" w:fill="auto"/>
            <w:textDirection w:val="tbRl"/>
            <w:vAlign w:val="bottom"/>
          </w:tcPr>
          <w:p w:rsidR="00720E3A" w:rsidRPr="00944EAD" w:rsidRDefault="00720E3A" w:rsidP="00721235">
            <w:pPr>
              <w:tabs>
                <w:tab w:val="clear" w:pos="425"/>
                <w:tab w:val="clear" w:pos="851"/>
                <w:tab w:val="clear" w:pos="1276"/>
              </w:tabs>
              <w:suppressAutoHyphens w:val="0"/>
              <w:spacing w:before="80" w:after="80" w:line="200" w:lineRule="exact"/>
              <w:ind w:right="113"/>
              <w:jc w:val="right"/>
              <w:rPr>
                <w:i/>
                <w:sz w:val="16"/>
                <w:lang w:val="en-GB"/>
              </w:rPr>
            </w:pPr>
            <w:r w:rsidRPr="00944EAD">
              <w:rPr>
                <w:i/>
                <w:sz w:val="16"/>
                <w:lang w:val="en-GB"/>
              </w:rPr>
              <w:t>1,100,000 kg</w:t>
            </w:r>
          </w:p>
        </w:tc>
        <w:tc>
          <w:tcPr>
            <w:tcW w:w="301" w:type="dxa"/>
            <w:tcBorders>
              <w:top w:val="single" w:sz="4" w:space="0" w:color="auto"/>
              <w:bottom w:val="single" w:sz="12" w:space="0" w:color="auto"/>
            </w:tcBorders>
            <w:shd w:val="clear" w:color="auto" w:fill="auto"/>
            <w:textDirection w:val="tbRl"/>
            <w:vAlign w:val="bottom"/>
          </w:tcPr>
          <w:p w:rsidR="00720E3A" w:rsidRPr="00944EAD" w:rsidRDefault="00720E3A" w:rsidP="00721235">
            <w:pPr>
              <w:tabs>
                <w:tab w:val="clear" w:pos="425"/>
                <w:tab w:val="clear" w:pos="851"/>
                <w:tab w:val="clear" w:pos="1276"/>
              </w:tabs>
              <w:suppressAutoHyphens w:val="0"/>
              <w:spacing w:before="80" w:after="80" w:line="200" w:lineRule="exact"/>
              <w:ind w:right="113"/>
              <w:jc w:val="right"/>
              <w:rPr>
                <w:i/>
                <w:sz w:val="16"/>
                <w:lang w:val="en-GB"/>
              </w:rPr>
            </w:pPr>
            <w:r w:rsidRPr="00944EAD">
              <w:rPr>
                <w:i/>
                <w:sz w:val="16"/>
                <w:lang w:val="en-GB"/>
              </w:rPr>
              <w:t>No limitation</w:t>
            </w:r>
          </w:p>
        </w:tc>
      </w:tr>
      <w:tr w:rsidR="003F0128" w:rsidRPr="00720E3A" w:rsidTr="00475EC5">
        <w:trPr>
          <w:trHeight w:hRule="exact" w:val="113"/>
          <w:tblHeader/>
        </w:trPr>
        <w:tc>
          <w:tcPr>
            <w:tcW w:w="799" w:type="dxa"/>
            <w:tcBorders>
              <w:top w:val="single" w:sz="12" w:space="0" w:color="auto"/>
              <w:bottom w:val="nil"/>
            </w:tcBorders>
            <w:shd w:val="clear" w:color="auto" w:fill="auto"/>
          </w:tcPr>
          <w:p w:rsidR="003F0128" w:rsidRPr="008F344D" w:rsidRDefault="003F0128" w:rsidP="00720E3A">
            <w:pPr>
              <w:suppressAutoHyphens w:val="0"/>
              <w:spacing w:before="40" w:after="120" w:line="220" w:lineRule="exact"/>
              <w:ind w:right="113"/>
              <w:rPr>
                <w:b/>
                <w:bCs/>
              </w:rPr>
            </w:pPr>
          </w:p>
        </w:tc>
        <w:tc>
          <w:tcPr>
            <w:tcW w:w="9217" w:type="dxa"/>
            <w:tcBorders>
              <w:top w:val="single" w:sz="12" w:space="0" w:color="auto"/>
              <w:bottom w:val="nil"/>
              <w:right w:val="single" w:sz="4" w:space="0" w:color="auto"/>
            </w:tcBorders>
            <w:shd w:val="clear" w:color="auto" w:fill="auto"/>
          </w:tcPr>
          <w:p w:rsidR="003F0128" w:rsidRPr="00720E3A" w:rsidRDefault="003F0128" w:rsidP="00720E3A">
            <w:pPr>
              <w:suppressAutoHyphens w:val="0"/>
              <w:spacing w:before="40" w:after="120" w:line="220" w:lineRule="exact"/>
              <w:ind w:right="113"/>
              <w:rPr>
                <w:rFonts w:eastAsia="Calibri"/>
              </w:rPr>
            </w:pPr>
          </w:p>
        </w:tc>
        <w:tc>
          <w:tcPr>
            <w:tcW w:w="279" w:type="dxa"/>
            <w:tcBorders>
              <w:top w:val="single" w:sz="12" w:space="0" w:color="auto"/>
              <w:left w:val="single" w:sz="4" w:space="0" w:color="auto"/>
              <w:bottom w:val="nil"/>
              <w:right w:val="single" w:sz="4" w:space="0" w:color="auto"/>
            </w:tcBorders>
            <w:shd w:val="clear" w:color="auto" w:fill="auto"/>
          </w:tcPr>
          <w:p w:rsidR="003F0128" w:rsidRPr="00720E3A" w:rsidRDefault="003F0128" w:rsidP="00146EF7">
            <w:pPr>
              <w:suppressAutoHyphens w:val="0"/>
              <w:spacing w:before="40" w:after="120" w:line="220" w:lineRule="exact"/>
              <w:ind w:right="113"/>
              <w:jc w:val="center"/>
            </w:pPr>
          </w:p>
        </w:tc>
        <w:tc>
          <w:tcPr>
            <w:tcW w:w="279" w:type="dxa"/>
            <w:tcBorders>
              <w:top w:val="single" w:sz="12" w:space="0" w:color="auto"/>
              <w:left w:val="single" w:sz="4" w:space="0" w:color="auto"/>
              <w:bottom w:val="nil"/>
              <w:right w:val="single" w:sz="4" w:space="0" w:color="auto"/>
            </w:tcBorders>
            <w:shd w:val="clear" w:color="auto" w:fill="auto"/>
          </w:tcPr>
          <w:p w:rsidR="003F0128" w:rsidRPr="00720E3A" w:rsidRDefault="003F0128" w:rsidP="00146EF7">
            <w:pPr>
              <w:suppressAutoHyphens w:val="0"/>
              <w:spacing w:before="40" w:after="120" w:line="220" w:lineRule="exact"/>
              <w:ind w:right="113"/>
              <w:jc w:val="center"/>
            </w:pPr>
          </w:p>
        </w:tc>
        <w:tc>
          <w:tcPr>
            <w:tcW w:w="279" w:type="dxa"/>
            <w:tcBorders>
              <w:top w:val="single" w:sz="12" w:space="0" w:color="auto"/>
              <w:left w:val="single" w:sz="4" w:space="0" w:color="auto"/>
              <w:bottom w:val="nil"/>
              <w:right w:val="single" w:sz="4" w:space="0" w:color="auto"/>
            </w:tcBorders>
            <w:shd w:val="clear" w:color="auto" w:fill="auto"/>
          </w:tcPr>
          <w:p w:rsidR="003F0128" w:rsidRPr="00720E3A" w:rsidRDefault="003F0128" w:rsidP="00146EF7">
            <w:pPr>
              <w:suppressAutoHyphens w:val="0"/>
              <w:spacing w:before="40" w:after="120" w:line="220" w:lineRule="exact"/>
              <w:ind w:right="113"/>
              <w:jc w:val="center"/>
            </w:pPr>
          </w:p>
        </w:tc>
        <w:tc>
          <w:tcPr>
            <w:tcW w:w="279" w:type="dxa"/>
            <w:tcBorders>
              <w:top w:val="single" w:sz="12" w:space="0" w:color="auto"/>
              <w:left w:val="single" w:sz="4" w:space="0" w:color="auto"/>
              <w:bottom w:val="nil"/>
              <w:right w:val="single" w:sz="4" w:space="0" w:color="auto"/>
            </w:tcBorders>
            <w:shd w:val="clear" w:color="auto" w:fill="auto"/>
          </w:tcPr>
          <w:p w:rsidR="003F0128" w:rsidRPr="00720E3A" w:rsidRDefault="003F0128" w:rsidP="00146EF7">
            <w:pPr>
              <w:suppressAutoHyphens w:val="0"/>
              <w:spacing w:before="40" w:after="120" w:line="220" w:lineRule="exact"/>
              <w:ind w:right="113"/>
              <w:jc w:val="center"/>
            </w:pPr>
          </w:p>
        </w:tc>
        <w:tc>
          <w:tcPr>
            <w:tcW w:w="324" w:type="dxa"/>
            <w:tcBorders>
              <w:top w:val="single" w:sz="12" w:space="0" w:color="auto"/>
              <w:left w:val="single" w:sz="4" w:space="0" w:color="auto"/>
              <w:bottom w:val="nil"/>
              <w:right w:val="single" w:sz="4" w:space="0" w:color="auto"/>
            </w:tcBorders>
            <w:shd w:val="clear" w:color="auto" w:fill="auto"/>
          </w:tcPr>
          <w:p w:rsidR="003F0128" w:rsidRPr="00720E3A" w:rsidRDefault="003F0128" w:rsidP="00146EF7">
            <w:pPr>
              <w:suppressAutoHyphens w:val="0"/>
              <w:spacing w:before="40" w:after="120" w:line="220" w:lineRule="exact"/>
              <w:ind w:right="113"/>
              <w:jc w:val="center"/>
            </w:pPr>
          </w:p>
        </w:tc>
        <w:tc>
          <w:tcPr>
            <w:tcW w:w="301" w:type="dxa"/>
            <w:tcBorders>
              <w:top w:val="single" w:sz="12" w:space="0" w:color="auto"/>
              <w:left w:val="single" w:sz="4" w:space="0" w:color="auto"/>
              <w:bottom w:val="nil"/>
              <w:right w:val="single" w:sz="4" w:space="0" w:color="auto"/>
            </w:tcBorders>
            <w:shd w:val="clear" w:color="auto" w:fill="auto"/>
          </w:tcPr>
          <w:p w:rsidR="003F0128" w:rsidRPr="00720E3A" w:rsidRDefault="003F0128" w:rsidP="00146EF7">
            <w:pPr>
              <w:suppressAutoHyphens w:val="0"/>
              <w:spacing w:before="40" w:after="120" w:line="220" w:lineRule="exact"/>
              <w:ind w:right="113"/>
              <w:jc w:val="center"/>
            </w:pPr>
          </w:p>
        </w:tc>
        <w:tc>
          <w:tcPr>
            <w:tcW w:w="301" w:type="dxa"/>
            <w:tcBorders>
              <w:top w:val="single" w:sz="12" w:space="0" w:color="auto"/>
              <w:left w:val="single" w:sz="4" w:space="0" w:color="auto"/>
              <w:bottom w:val="nil"/>
              <w:right w:val="single" w:sz="4" w:space="0" w:color="auto"/>
            </w:tcBorders>
            <w:shd w:val="clear" w:color="auto" w:fill="auto"/>
          </w:tcPr>
          <w:p w:rsidR="003F0128" w:rsidRPr="00720E3A" w:rsidRDefault="003F0128" w:rsidP="00146EF7">
            <w:pPr>
              <w:suppressAutoHyphens w:val="0"/>
              <w:spacing w:before="40" w:after="120" w:line="220" w:lineRule="exact"/>
              <w:ind w:right="113"/>
              <w:jc w:val="center"/>
            </w:pPr>
          </w:p>
        </w:tc>
        <w:tc>
          <w:tcPr>
            <w:tcW w:w="301" w:type="dxa"/>
            <w:tcBorders>
              <w:top w:val="single" w:sz="12" w:space="0" w:color="auto"/>
              <w:left w:val="single" w:sz="4" w:space="0" w:color="auto"/>
              <w:bottom w:val="nil"/>
              <w:right w:val="single" w:sz="4" w:space="0" w:color="auto"/>
            </w:tcBorders>
            <w:shd w:val="clear" w:color="auto" w:fill="auto"/>
          </w:tcPr>
          <w:p w:rsidR="003F0128" w:rsidRPr="00720E3A" w:rsidRDefault="003F0128" w:rsidP="00146EF7">
            <w:pPr>
              <w:suppressAutoHyphens w:val="0"/>
              <w:spacing w:before="40" w:after="120" w:line="220" w:lineRule="exact"/>
              <w:ind w:right="113"/>
              <w:jc w:val="center"/>
            </w:pPr>
          </w:p>
        </w:tc>
      </w:tr>
      <w:tr w:rsidR="00720E3A" w:rsidRPr="00720E3A" w:rsidTr="003F0128">
        <w:tc>
          <w:tcPr>
            <w:tcW w:w="799" w:type="dxa"/>
            <w:tcBorders>
              <w:top w:val="nil"/>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1</w:t>
            </w:r>
          </w:p>
        </w:tc>
        <w:tc>
          <w:tcPr>
            <w:tcW w:w="9217" w:type="dxa"/>
            <w:tcBorders>
              <w:top w:val="nil"/>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rFonts w:eastAsia="Calibri"/>
                <w:lang w:val="en-GB"/>
              </w:rPr>
            </w:pPr>
            <w:r w:rsidRPr="00720E3A">
              <w:rPr>
                <w:rFonts w:eastAsia="Calibri"/>
                <w:lang w:val="en-GB"/>
              </w:rPr>
              <w:t>All substances and articles of Division 1.1, compatibility group A</w:t>
            </w:r>
            <w:r w:rsidRPr="00E50F5D">
              <w:rPr>
                <w:rFonts w:eastAsia="Calibri"/>
                <w:vertAlign w:val="superscript"/>
                <w:lang w:val="en-GB"/>
              </w:rPr>
              <w:t>1)</w:t>
            </w: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465C84">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substances and articles of Division 1.1, compatibility groups B, C, D, E, F, G, J or L</w:t>
            </w:r>
            <w:r w:rsidRPr="00E50F5D">
              <w:rPr>
                <w:rFonts w:eastAsia="Calibri"/>
                <w:vertAlign w:val="superscript"/>
                <w:lang w:val="en-GB"/>
              </w:rPr>
              <w:t>2)</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substances and articles of Division 1.2, compatibility groups B, C, D, E, F, G, H, J or 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substances and articles of Division 1.3, compa</w:t>
            </w:r>
            <w:r w:rsidR="00465C84">
              <w:rPr>
                <w:rFonts w:eastAsia="Calibri"/>
                <w:lang w:val="en-GB"/>
              </w:rPr>
              <w:t>tibility groups C, G, H, J or L</w:t>
            </w:r>
            <w:r w:rsidRPr="00E50F5D">
              <w:rPr>
                <w:rFonts w:eastAsia="Calibri"/>
                <w:vertAlign w:val="superscript"/>
                <w:lang w:val="en-GB"/>
              </w:rPr>
              <w:t>3)</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substances and articles of Division 1.4, compatibility groups B, C, D, E, F, G or 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substances of Division 1.5, compatibility</w:t>
            </w:r>
            <w:r w:rsidR="00465C84">
              <w:rPr>
                <w:rFonts w:eastAsia="Calibri"/>
                <w:lang w:val="en-GB"/>
              </w:rPr>
              <w:t xml:space="preserve"> group D</w:t>
            </w:r>
            <w:r w:rsidRPr="006F0114">
              <w:rPr>
                <w:rFonts w:eastAsia="Calibri"/>
                <w:vertAlign w:val="superscript"/>
                <w:lang w:val="en-GB"/>
              </w:rPr>
              <w:t>2)</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articles of Divi</w:t>
            </w:r>
            <w:r w:rsidR="00465C84">
              <w:rPr>
                <w:rFonts w:eastAsia="Calibri"/>
                <w:lang w:val="en-GB"/>
              </w:rPr>
              <w:t>sion 1.6, compatibility group N</w:t>
            </w:r>
            <w:r w:rsidRPr="006F0114">
              <w:rPr>
                <w:rFonts w:eastAsia="Calibri"/>
                <w:vertAlign w:val="superscript"/>
                <w:lang w:val="en-GB"/>
              </w:rPr>
              <w:t>3)</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3F0128">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Empty packaging, uncleaned</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3F0128">
        <w:tc>
          <w:tcPr>
            <w:tcW w:w="799" w:type="dxa"/>
            <w:tcBorders>
              <w:top w:val="single" w:sz="4" w:space="0" w:color="auto"/>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tcBorders>
            <w:shd w:val="clear" w:color="auto" w:fill="auto"/>
          </w:tcPr>
          <w:p w:rsidR="00720E3A" w:rsidRPr="00720E3A" w:rsidRDefault="00726AB5" w:rsidP="00720E3A">
            <w:pPr>
              <w:tabs>
                <w:tab w:val="clear" w:pos="425"/>
                <w:tab w:val="clear" w:pos="851"/>
                <w:tab w:val="clear" w:pos="1276"/>
              </w:tabs>
              <w:suppressAutoHyphens w:val="0"/>
              <w:spacing w:before="40" w:after="120" w:line="220" w:lineRule="exact"/>
              <w:ind w:right="113"/>
              <w:jc w:val="left"/>
              <w:rPr>
                <w:rFonts w:eastAsia="Calibri"/>
                <w:lang w:val="en-GB"/>
              </w:rPr>
            </w:pPr>
            <w:r>
              <w:rPr>
                <w:rFonts w:eastAsia="Calibri"/>
                <w:lang w:val="en-GB"/>
              </w:rPr>
              <w:t>NOTE</w:t>
            </w:r>
            <w:r w:rsidR="00720E3A" w:rsidRPr="00720E3A">
              <w:rPr>
                <w:rFonts w:eastAsia="Calibri"/>
                <w:lang w:val="en-GB"/>
              </w:rPr>
              <w:t>:</w:t>
            </w:r>
          </w:p>
          <w:p w:rsidR="00720E3A" w:rsidRPr="00726AB5" w:rsidRDefault="00720E3A" w:rsidP="00720E3A">
            <w:pPr>
              <w:tabs>
                <w:tab w:val="clear" w:pos="425"/>
                <w:tab w:val="clear" w:pos="851"/>
                <w:tab w:val="clear" w:pos="1276"/>
              </w:tabs>
              <w:suppressAutoHyphens w:val="0"/>
              <w:spacing w:before="40" w:after="120" w:line="220" w:lineRule="exact"/>
              <w:ind w:right="113"/>
              <w:jc w:val="left"/>
              <w:rPr>
                <w:rFonts w:eastAsia="Calibri"/>
                <w:i/>
                <w:iCs/>
                <w:lang w:val="en-GB"/>
              </w:rPr>
            </w:pPr>
            <w:r w:rsidRPr="00726AB5">
              <w:rPr>
                <w:rFonts w:eastAsia="Calibri"/>
                <w:i/>
                <w:iCs/>
                <w:vertAlign w:val="superscript"/>
                <w:lang w:val="en-GB"/>
              </w:rPr>
              <w:t>1)</w:t>
            </w:r>
            <w:r w:rsidRPr="00726AB5">
              <w:rPr>
                <w:rFonts w:eastAsia="Calibri"/>
                <w:i/>
                <w:iCs/>
                <w:lang w:val="en-GB"/>
              </w:rPr>
              <w:t xml:space="preserve"> In not less than three batches of a maximum of 30 kg each, distance between batches not less than 10.00 m.</w:t>
            </w:r>
          </w:p>
          <w:p w:rsidR="00720E3A" w:rsidRPr="00726AB5" w:rsidRDefault="00720E3A" w:rsidP="00720E3A">
            <w:pPr>
              <w:tabs>
                <w:tab w:val="clear" w:pos="425"/>
                <w:tab w:val="clear" w:pos="851"/>
                <w:tab w:val="clear" w:pos="1276"/>
              </w:tabs>
              <w:suppressAutoHyphens w:val="0"/>
              <w:spacing w:before="40" w:after="120" w:line="220" w:lineRule="exact"/>
              <w:ind w:right="113"/>
              <w:jc w:val="left"/>
              <w:rPr>
                <w:rFonts w:eastAsia="Calibri"/>
                <w:i/>
                <w:iCs/>
                <w:lang w:val="en-GB"/>
              </w:rPr>
            </w:pPr>
            <w:r w:rsidRPr="00726AB5">
              <w:rPr>
                <w:rFonts w:eastAsia="Calibri"/>
                <w:i/>
                <w:iCs/>
                <w:vertAlign w:val="superscript"/>
                <w:lang w:val="en-GB"/>
              </w:rPr>
              <w:t>2)</w:t>
            </w:r>
            <w:r w:rsidRPr="00726AB5">
              <w:rPr>
                <w:rFonts w:eastAsia="Calibri"/>
                <w:i/>
                <w:iCs/>
                <w:lang w:val="en-GB"/>
              </w:rPr>
              <w:t xml:space="preserve"> In not less than three batches of a maximum of 5,000 kg each, distance between batches not less than 10.00 m.</w:t>
            </w:r>
          </w:p>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6AB5">
              <w:rPr>
                <w:rFonts w:eastAsia="Calibri"/>
                <w:i/>
                <w:iCs/>
                <w:vertAlign w:val="superscript"/>
                <w:lang w:val="en-GB"/>
              </w:rPr>
              <w:t>3)</w:t>
            </w:r>
            <w:r w:rsidRPr="00726AB5">
              <w:rPr>
                <w:rFonts w:eastAsia="Calibri"/>
                <w:i/>
                <w:iCs/>
                <w:lang w:val="en-GB"/>
              </w:rPr>
              <w:t xml:space="preserve"> Not more than 100,000 kg per hold. A wooden partition is permitted for subdividing a hold.</w:t>
            </w:r>
          </w:p>
        </w:tc>
        <w:tc>
          <w:tcPr>
            <w:tcW w:w="279" w:type="dxa"/>
            <w:tcBorders>
              <w:top w:val="single" w:sz="4" w:space="0" w:color="auto"/>
              <w:bottom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bottom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bottom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bottom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bottom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bottom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bottom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bottom w:val="single" w:sz="4" w:space="0" w:color="auto"/>
              <w:right w:val="nil"/>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2</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goods for which label No. 2.1 is required in column (5) of Table A of Chapter 3.2: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goods for which label No. 2.3 is required in column (5) of Table A of Chapter 3.2: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r w:rsidR="00720E3A" w:rsidRPr="00720E3A" w:rsidTr="005E039F">
        <w:tc>
          <w:tcPr>
            <w:tcW w:w="799" w:type="dxa"/>
            <w:tcBorders>
              <w:top w:val="single" w:sz="4" w:space="0" w:color="auto"/>
              <w:bottom w:val="nil"/>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3</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rFonts w:eastAsia="Calibri"/>
                <w:lang w:val="en-GB"/>
              </w:rPr>
            </w:pPr>
            <w:r w:rsidRPr="00720E3A">
              <w:rPr>
                <w:rFonts w:eastAsia="Calibri"/>
                <w:lang w:val="en-GB"/>
              </w:rPr>
              <w:t xml:space="preserve">All goods of packing groups I or II for which label No. 6.1 is required in column (5) of Table A </w:t>
            </w:r>
            <w:r w:rsidR="000C7AAA">
              <w:rPr>
                <w:rFonts w:eastAsia="Calibri"/>
                <w:lang w:val="en-GB"/>
              </w:rPr>
              <w:br/>
            </w:r>
            <w:r w:rsidRPr="00720E3A">
              <w:rPr>
                <w:rFonts w:eastAsia="Calibri"/>
                <w:lang w:val="en-GB"/>
              </w:rPr>
              <w:t>of Chapter 3.2: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475EC5">
        <w:tc>
          <w:tcPr>
            <w:tcW w:w="799" w:type="dxa"/>
            <w:tcBorders>
              <w:top w:val="nil"/>
              <w:bottom w:val="nil"/>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p>
        </w:tc>
        <w:tc>
          <w:tcPr>
            <w:tcW w:w="9217" w:type="dxa"/>
            <w:tcBorders>
              <w:top w:val="single" w:sz="4" w:space="0" w:color="auto"/>
              <w:bottom w:val="nil"/>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r w:rsidRPr="00720E3A">
              <w:rPr>
                <w:rFonts w:eastAsia="Calibri"/>
                <w:lang w:val="en-GB"/>
              </w:rPr>
              <w:t>: total</w:t>
            </w:r>
          </w:p>
        </w:tc>
        <w:tc>
          <w:tcPr>
            <w:tcW w:w="279"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475EC5">
        <w:tc>
          <w:tcPr>
            <w:tcW w:w="799" w:type="dxa"/>
            <w:tcBorders>
              <w:top w:val="nil"/>
            </w:tcBorders>
            <w:shd w:val="clear" w:color="auto" w:fill="auto"/>
          </w:tcPr>
          <w:p w:rsidR="00720E3A" w:rsidRPr="008F344D" w:rsidRDefault="00720E3A" w:rsidP="00CE0CA2">
            <w:pPr>
              <w:keepNext/>
              <w:keepLines/>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lastRenderedPageBreak/>
              <w:t>4.1</w:t>
            </w:r>
          </w:p>
        </w:tc>
        <w:tc>
          <w:tcPr>
            <w:tcW w:w="9217" w:type="dxa"/>
            <w:tcBorders>
              <w:top w:val="nil"/>
              <w:bottom w:val="single" w:sz="4" w:space="0" w:color="auto"/>
              <w:right w:val="single" w:sz="4" w:space="0" w:color="auto"/>
            </w:tcBorders>
            <w:shd w:val="clear" w:color="auto" w:fill="auto"/>
          </w:tcPr>
          <w:p w:rsidR="00720E3A" w:rsidRPr="00720E3A" w:rsidRDefault="00720E3A" w:rsidP="00CE0CA2">
            <w:pPr>
              <w:keepNext/>
              <w:keepLines/>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UN Nos. 3221, 3222, 3231 and 3232, total</w:t>
            </w: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CE0CA2">
            <w:pPr>
              <w:keepNext/>
              <w:keepLines/>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CE0CA2">
            <w:pPr>
              <w:keepNext/>
              <w:keepLines/>
              <w:tabs>
                <w:tab w:val="clear" w:pos="425"/>
                <w:tab w:val="clear" w:pos="851"/>
                <w:tab w:val="clear" w:pos="1276"/>
              </w:tabs>
              <w:suppressAutoHyphens w:val="0"/>
              <w:spacing w:before="40" w:after="120" w:line="220" w:lineRule="exact"/>
              <w:ind w:right="113"/>
              <w:jc w:val="left"/>
              <w:rPr>
                <w:rFonts w:eastAsia="Calibri"/>
                <w:lang w:val="en-GB"/>
              </w:rPr>
            </w:pPr>
            <w:r w:rsidRPr="00720E3A">
              <w:rPr>
                <w:rFonts w:eastAsia="Calibri"/>
                <w:lang w:val="en-GB"/>
              </w:rPr>
              <w:t>All goods of packing group I;</w:t>
            </w:r>
          </w:p>
          <w:p w:rsidR="00720E3A" w:rsidRPr="00720E3A" w:rsidRDefault="00720E3A" w:rsidP="00CE0CA2">
            <w:pPr>
              <w:keepNext/>
              <w:keepLines/>
              <w:tabs>
                <w:tab w:val="clear" w:pos="425"/>
                <w:tab w:val="clear" w:pos="851"/>
                <w:tab w:val="clear" w:pos="1276"/>
              </w:tabs>
              <w:suppressAutoHyphens w:val="0"/>
              <w:spacing w:before="40" w:after="120" w:line="220" w:lineRule="exact"/>
              <w:ind w:right="113"/>
              <w:jc w:val="left"/>
              <w:rPr>
                <w:rFonts w:eastAsia="Calibri"/>
                <w:lang w:val="en-GB"/>
              </w:rPr>
            </w:pPr>
            <w:r w:rsidRPr="00720E3A">
              <w:rPr>
                <w:rFonts w:eastAsia="Calibri"/>
                <w:lang w:val="en-GB"/>
              </w:rPr>
              <w:t>All goods of packing group II for which label No. 6.1 is required in column (5) of Table A of Chapter 3.2;</w:t>
            </w:r>
          </w:p>
          <w:p w:rsidR="00720E3A" w:rsidRPr="00720E3A" w:rsidRDefault="00720E3A" w:rsidP="00CE0CA2">
            <w:pPr>
              <w:keepNext/>
              <w:keepLines/>
              <w:tabs>
                <w:tab w:val="clear" w:pos="425"/>
                <w:tab w:val="clear" w:pos="851"/>
                <w:tab w:val="clear" w:pos="1276"/>
              </w:tabs>
              <w:suppressAutoHyphens w:val="0"/>
              <w:spacing w:before="40" w:after="120" w:line="220" w:lineRule="exact"/>
              <w:ind w:right="113"/>
              <w:jc w:val="left"/>
              <w:rPr>
                <w:rFonts w:eastAsia="Calibri"/>
                <w:lang w:val="en-GB"/>
              </w:rPr>
            </w:pPr>
            <w:r w:rsidRPr="00720E3A">
              <w:rPr>
                <w:rFonts w:eastAsia="Calibri"/>
                <w:lang w:val="en-GB"/>
              </w:rPr>
              <w:t xml:space="preserve">Self-reactive substances of types C, D, E and F (UN Nos. 3223 to 3230 and 3233 to 3240); </w:t>
            </w:r>
          </w:p>
          <w:p w:rsidR="00720E3A" w:rsidRPr="00720E3A" w:rsidRDefault="00720E3A" w:rsidP="00CE0CA2">
            <w:pPr>
              <w:keepNext/>
              <w:keepLines/>
              <w:tabs>
                <w:tab w:val="clear" w:pos="425"/>
                <w:tab w:val="clear" w:pos="851"/>
                <w:tab w:val="clear" w:pos="1276"/>
              </w:tabs>
              <w:suppressAutoHyphens w:val="0"/>
              <w:spacing w:before="40" w:after="120" w:line="220" w:lineRule="exact"/>
              <w:ind w:right="113"/>
              <w:jc w:val="left"/>
              <w:rPr>
                <w:rFonts w:eastAsia="Calibri"/>
                <w:lang w:val="en-GB"/>
              </w:rPr>
            </w:pPr>
            <w:r w:rsidRPr="00720E3A">
              <w:rPr>
                <w:rFonts w:eastAsia="Calibri"/>
                <w:lang w:val="en-GB"/>
              </w:rPr>
              <w:t>All other substances of classification code SR1 or SR2 (UN Nos. 2956, 3241, 3242 and 3251);</w:t>
            </w:r>
          </w:p>
          <w:p w:rsidR="00720E3A" w:rsidRPr="00720E3A" w:rsidRDefault="00720E3A" w:rsidP="00CE0CA2">
            <w:pPr>
              <w:keepNext/>
              <w:keepLines/>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 xml:space="preserve">and desensitized explosive substances of packing group II (UN Nos. 2907, 3319 and 3344): total </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keepNext/>
              <w:keepLines/>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4.2</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 xml:space="preserve">All goods of packing groups I or II for which label No. 6.1 is required in column (5) of Table A </w:t>
            </w:r>
            <w:r w:rsidR="00E5430E">
              <w:rPr>
                <w:rFonts w:eastAsia="Calibri"/>
                <w:lang w:val="en-GB"/>
              </w:rPr>
              <w:br/>
            </w:r>
            <w:r w:rsidRPr="00720E3A">
              <w:rPr>
                <w:rFonts w:eastAsia="Calibri"/>
                <w:lang w:val="en-GB"/>
              </w:rPr>
              <w:t>of Chapter 3.2: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4.3</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 xml:space="preserve">All goods of packing groups I or II for which label No. 3, 4.1 or 6.1 is required in column (5) of Table A </w:t>
            </w:r>
            <w:r w:rsidR="00E5430E">
              <w:rPr>
                <w:rFonts w:eastAsia="Calibri"/>
                <w:lang w:val="en-GB"/>
              </w:rPr>
              <w:br/>
            </w:r>
            <w:r w:rsidRPr="00720E3A">
              <w:rPr>
                <w:rFonts w:eastAsia="Calibri"/>
                <w:lang w:val="en-GB"/>
              </w:rPr>
              <w:t>of Chapter 3.2: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5.1</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 xml:space="preserve">All goods of packing groups I or II for which label No. 6.1 is required in column (5) of Table A </w:t>
            </w:r>
            <w:r w:rsidR="00E9101B">
              <w:rPr>
                <w:rFonts w:eastAsia="Calibri"/>
                <w:lang w:val="en-GB"/>
              </w:rPr>
              <w:br/>
            </w:r>
            <w:r w:rsidRPr="00720E3A">
              <w:rPr>
                <w:rFonts w:eastAsia="Calibri"/>
                <w:lang w:val="en-GB"/>
              </w:rPr>
              <w:t>of Chapter 3.2: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5.2</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UN Nos. 3101, 3102, 3111 and 3112: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6.1</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8365CC">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goods of packing group I: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nil"/>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8365CC">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goods of packing group II: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D7596">
        <w:tc>
          <w:tcPr>
            <w:tcW w:w="799" w:type="dxa"/>
            <w:tcBorders>
              <w:top w:val="nil"/>
              <w:bottom w:val="nil"/>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nil"/>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goods carried in bulk</w:t>
            </w:r>
          </w:p>
        </w:tc>
        <w:tc>
          <w:tcPr>
            <w:tcW w:w="279"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279"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nil"/>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D7596">
        <w:tc>
          <w:tcPr>
            <w:tcW w:w="799" w:type="dxa"/>
            <w:tcBorders>
              <w:top w:val="nil"/>
              <w:bottom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p>
        </w:tc>
        <w:tc>
          <w:tcPr>
            <w:tcW w:w="9217" w:type="dxa"/>
            <w:tcBorders>
              <w:top w:val="nil"/>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nil"/>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7</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UN Nos. 2912, 2913, 2915, 2916, 2917, 2919, 2977, 2978 and 3321 to 3333</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8</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8365CC">
            <w:pPr>
              <w:tabs>
                <w:tab w:val="clear" w:pos="425"/>
                <w:tab w:val="clear" w:pos="851"/>
                <w:tab w:val="clear" w:pos="1276"/>
              </w:tabs>
              <w:suppressAutoHyphens w:val="0"/>
              <w:spacing w:before="40" w:after="120" w:line="220" w:lineRule="exact"/>
              <w:ind w:right="113"/>
              <w:jc w:val="left"/>
              <w:rPr>
                <w:rFonts w:eastAsia="Calibri"/>
                <w:lang w:val="en-GB"/>
              </w:rPr>
            </w:pPr>
            <w:r w:rsidRPr="00720E3A">
              <w:rPr>
                <w:rFonts w:eastAsia="Calibri"/>
                <w:lang w:val="en-GB"/>
              </w:rPr>
              <w:t>All goods of packing group I;</w:t>
            </w:r>
          </w:p>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 xml:space="preserve">All goods of packing group II for which label No. 3 or 6.1 is required in column (5) of Table A </w:t>
            </w:r>
            <w:r w:rsidR="000C7AAA">
              <w:rPr>
                <w:rFonts w:eastAsia="Calibri"/>
                <w:lang w:val="en-GB"/>
              </w:rPr>
              <w:br/>
            </w:r>
            <w:r w:rsidRPr="00720E3A">
              <w:rPr>
                <w:rFonts w:eastAsia="Calibri"/>
                <w:lang w:val="en-GB"/>
              </w:rPr>
              <w:t>in Chapter 3.2: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r w:rsidR="00720E3A" w:rsidRPr="00720E3A" w:rsidTr="005E039F">
        <w:tc>
          <w:tcPr>
            <w:tcW w:w="799" w:type="dxa"/>
            <w:tcBorders>
              <w:top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r w:rsidRPr="008F344D">
              <w:rPr>
                <w:b/>
                <w:bCs/>
                <w:lang w:val="en-GB"/>
              </w:rPr>
              <w:t>9</w:t>
            </w: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All goods of packing group II: total</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rFonts w:eastAsia="Calibri"/>
                <w:lang w:val="en-GB"/>
              </w:rPr>
              <w:t xml:space="preserve">UN No. 3077, goods carried in bulk and classified as hazardous to the aquatic environment, categories </w:t>
            </w:r>
            <w:r w:rsidR="000C7AAA">
              <w:rPr>
                <w:rFonts w:eastAsia="Calibri"/>
                <w:lang w:val="en-GB"/>
              </w:rPr>
              <w:br/>
            </w:r>
            <w:r w:rsidRPr="00720E3A">
              <w:rPr>
                <w:rFonts w:eastAsia="Calibri"/>
                <w:lang w:val="en-GB"/>
              </w:rPr>
              <w:t xml:space="preserve">Acute 1 or Chronic 1, in accordance with 2.4.3  </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r>
      <w:tr w:rsidR="00720E3A" w:rsidRPr="00720E3A" w:rsidTr="005E039F">
        <w:tc>
          <w:tcPr>
            <w:tcW w:w="799" w:type="dxa"/>
            <w:tcBorders>
              <w:bottom w:val="single" w:sz="4" w:space="0" w:color="auto"/>
            </w:tcBorders>
            <w:shd w:val="clear" w:color="auto" w:fill="auto"/>
          </w:tcPr>
          <w:p w:rsidR="00720E3A" w:rsidRPr="008F344D" w:rsidRDefault="00720E3A" w:rsidP="00720E3A">
            <w:pPr>
              <w:tabs>
                <w:tab w:val="clear" w:pos="425"/>
                <w:tab w:val="clear" w:pos="851"/>
                <w:tab w:val="clear" w:pos="1276"/>
              </w:tabs>
              <w:suppressAutoHyphens w:val="0"/>
              <w:spacing w:before="40" w:after="120" w:line="220" w:lineRule="exact"/>
              <w:ind w:right="113"/>
              <w:jc w:val="left"/>
              <w:rPr>
                <w:b/>
                <w:bCs/>
                <w:lang w:val="en-GB"/>
              </w:rPr>
            </w:pPr>
          </w:p>
        </w:tc>
        <w:tc>
          <w:tcPr>
            <w:tcW w:w="9217" w:type="dxa"/>
            <w:tcBorders>
              <w:top w:val="single" w:sz="4" w:space="0" w:color="auto"/>
              <w:bottom w:val="single" w:sz="4" w:space="0" w:color="auto"/>
              <w:right w:val="single" w:sz="4" w:space="0" w:color="auto"/>
            </w:tcBorders>
            <w:shd w:val="clear" w:color="auto" w:fill="auto"/>
          </w:tcPr>
          <w:p w:rsidR="00720E3A" w:rsidRPr="00720E3A" w:rsidRDefault="00720E3A" w:rsidP="00720E3A">
            <w:pPr>
              <w:tabs>
                <w:tab w:val="clear" w:pos="425"/>
                <w:tab w:val="clear" w:pos="851"/>
                <w:tab w:val="clear" w:pos="1276"/>
              </w:tabs>
              <w:suppressAutoHyphens w:val="0"/>
              <w:spacing w:before="40" w:after="120" w:line="220" w:lineRule="exact"/>
              <w:ind w:right="113"/>
              <w:jc w:val="left"/>
              <w:rPr>
                <w:lang w:val="en-GB"/>
              </w:rPr>
            </w:pPr>
            <w:r w:rsidRPr="00720E3A">
              <w:rPr>
                <w:lang w:val="en-GB"/>
              </w:rPr>
              <w:t>Other goods</w:t>
            </w: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720E3A" w:rsidRPr="00720E3A" w:rsidRDefault="00720E3A" w:rsidP="00146EF7">
            <w:pPr>
              <w:tabs>
                <w:tab w:val="clear" w:pos="425"/>
                <w:tab w:val="clear" w:pos="851"/>
                <w:tab w:val="clear" w:pos="1276"/>
              </w:tabs>
              <w:suppressAutoHyphens w:val="0"/>
              <w:spacing w:before="40" w:after="120" w:line="220" w:lineRule="exact"/>
              <w:ind w:right="113"/>
              <w:jc w:val="center"/>
              <w:rPr>
                <w:lang w:val="en-GB"/>
              </w:rPr>
            </w:pPr>
            <w:r w:rsidRPr="00720E3A">
              <w:rPr>
                <w:lang w:val="en-GB"/>
              </w:rPr>
              <w:t>X</w:t>
            </w:r>
          </w:p>
        </w:tc>
      </w:tr>
    </w:tbl>
    <w:p w:rsidR="002B73C3" w:rsidRDefault="002B73C3">
      <w:pPr>
        <w:spacing w:before="240"/>
        <w:jc w:val="center"/>
        <w:rPr>
          <w:u w:val="single"/>
        </w:rPr>
      </w:pPr>
      <w:r>
        <w:rPr>
          <w:u w:val="single"/>
        </w:rPr>
        <w:tab/>
      </w:r>
      <w:r>
        <w:rPr>
          <w:u w:val="single"/>
        </w:rPr>
        <w:tab/>
      </w:r>
      <w:r>
        <w:rPr>
          <w:u w:val="single"/>
        </w:rPr>
        <w:tab/>
      </w:r>
    </w:p>
    <w:sectPr w:rsidR="002B73C3" w:rsidSect="00CB1AD3">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CFB" w:rsidRPr="00FB1744" w:rsidRDefault="00532CFB" w:rsidP="00FB1744">
      <w:pPr>
        <w:pStyle w:val="Footer"/>
      </w:pPr>
    </w:p>
  </w:endnote>
  <w:endnote w:type="continuationSeparator" w:id="0">
    <w:p w:rsidR="00532CFB" w:rsidRPr="00FB1744" w:rsidRDefault="00532CF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A0" w:rsidRDefault="00CE67A0" w:rsidP="00CE67A0">
    <w:pPr>
      <w:pStyle w:val="Footer"/>
      <w:tabs>
        <w:tab w:val="right" w:pos="9638"/>
      </w:tabs>
    </w:pPr>
    <w:r w:rsidRPr="00CE67A0">
      <w:rPr>
        <w:b/>
        <w:bCs/>
        <w:sz w:val="18"/>
      </w:rPr>
      <w:fldChar w:fldCharType="begin"/>
    </w:r>
    <w:r w:rsidRPr="00CE67A0">
      <w:rPr>
        <w:b/>
        <w:bCs/>
        <w:sz w:val="18"/>
      </w:rPr>
      <w:instrText xml:space="preserve"> PAGE  \* MERGEFORMAT </w:instrText>
    </w:r>
    <w:r w:rsidRPr="00CE67A0">
      <w:rPr>
        <w:b/>
        <w:bCs/>
        <w:sz w:val="18"/>
      </w:rPr>
      <w:fldChar w:fldCharType="separate"/>
    </w:r>
    <w:r w:rsidR="00B825E8">
      <w:rPr>
        <w:b/>
        <w:bCs/>
        <w:noProof/>
        <w:sz w:val="18"/>
      </w:rPr>
      <w:t>2</w:t>
    </w:r>
    <w:r w:rsidRPr="00CE67A0">
      <w:rPr>
        <w:b/>
        <w:bCs/>
        <w:sz w:val="18"/>
      </w:rPr>
      <w:fldChar w:fldCharType="end"/>
    </w:r>
    <w:r>
      <w:tab/>
      <w:t>GE.18-09609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A0" w:rsidRDefault="00CE67A0" w:rsidP="00CE67A0">
    <w:pPr>
      <w:pStyle w:val="Footer"/>
      <w:tabs>
        <w:tab w:val="right" w:pos="9638"/>
      </w:tabs>
    </w:pPr>
    <w:r>
      <w:t>GE.18-09609</w:t>
    </w:r>
    <w:r>
      <w:tab/>
    </w:r>
    <w:r w:rsidRPr="00CE67A0">
      <w:rPr>
        <w:b/>
        <w:bCs/>
        <w:sz w:val="18"/>
      </w:rPr>
      <w:fldChar w:fldCharType="begin"/>
    </w:r>
    <w:r w:rsidRPr="00CE67A0">
      <w:rPr>
        <w:b/>
        <w:bCs/>
        <w:sz w:val="18"/>
      </w:rPr>
      <w:instrText xml:space="preserve"> PAGE  \* MERGEFORMAT </w:instrText>
    </w:r>
    <w:r w:rsidRPr="00CE67A0">
      <w:rPr>
        <w:b/>
        <w:bCs/>
        <w:sz w:val="18"/>
      </w:rPr>
      <w:fldChar w:fldCharType="separate"/>
    </w:r>
    <w:r w:rsidR="00B825E8">
      <w:rPr>
        <w:b/>
        <w:bCs/>
        <w:noProof/>
        <w:sz w:val="18"/>
      </w:rPr>
      <w:t>3</w:t>
    </w:r>
    <w:r w:rsidRPr="00CE67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CE67A0" w:rsidP="00AB3C7E">
    <w:r>
      <w:rPr>
        <w:noProof/>
        <w:lang w:eastAsia="zh-CN"/>
      </w:rPr>
      <w:drawing>
        <wp:anchor distT="0" distB="0" distL="114300" distR="114300" simplePos="0" relativeHeight="25163878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E67A0" w:rsidRDefault="00CE67A0" w:rsidP="00CE67A0">
    <w:r>
      <w:t>GE.18-09609  (E)</w:t>
    </w:r>
    <w:r w:rsidR="00EA3B30">
      <w:t xml:space="preserve">    190618    19</w:t>
    </w:r>
    <w:r w:rsidR="00303515">
      <w:t>0618</w:t>
    </w:r>
  </w:p>
  <w:p w:rsidR="00CE67A0" w:rsidRPr="00CE67A0" w:rsidRDefault="00CE67A0" w:rsidP="00CE67A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4185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D3" w:rsidRPr="00CB1AD3" w:rsidRDefault="00CB1AD3" w:rsidP="00CB1AD3">
    <w:pPr>
      <w:pStyle w:val="Footer"/>
    </w:pPr>
    <w:r>
      <w:rPr>
        <w:noProof/>
      </w:rPr>
      <mc:AlternateContent>
        <mc:Choice Requires="wps">
          <w:drawing>
            <wp:anchor distT="0" distB="0" distL="114300" distR="114300" simplePos="0" relativeHeight="251665408" behindDoc="0" locked="1" layoutInCell="1" allowOverlap="1">
              <wp:simplePos x="0" y="0"/>
              <wp:positionH relativeFrom="page">
                <wp:posOffset>505460</wp:posOffset>
              </wp:positionH>
              <wp:positionV relativeFrom="page">
                <wp:posOffset>719455</wp:posOffset>
              </wp:positionV>
              <wp:extent cx="222885"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B1AD3" w:rsidRDefault="00CB1AD3" w:rsidP="00CB1AD3">
                          <w:pPr>
                            <w:pStyle w:val="Footer"/>
                            <w:tabs>
                              <w:tab w:val="right" w:pos="9638"/>
                            </w:tabs>
                          </w:pPr>
                          <w:r w:rsidRPr="00CE67A0">
                            <w:rPr>
                              <w:b/>
                              <w:bCs/>
                              <w:sz w:val="18"/>
                            </w:rPr>
                            <w:fldChar w:fldCharType="begin"/>
                          </w:r>
                          <w:r w:rsidRPr="00CE67A0">
                            <w:rPr>
                              <w:b/>
                              <w:bCs/>
                              <w:sz w:val="18"/>
                            </w:rPr>
                            <w:instrText xml:space="preserve"> PAGE  \* MERGEFORMAT </w:instrText>
                          </w:r>
                          <w:r w:rsidRPr="00CE67A0">
                            <w:rPr>
                              <w:b/>
                              <w:bCs/>
                              <w:sz w:val="18"/>
                            </w:rPr>
                            <w:fldChar w:fldCharType="separate"/>
                          </w:r>
                          <w:r w:rsidR="00B825E8">
                            <w:rPr>
                              <w:b/>
                              <w:bCs/>
                              <w:noProof/>
                              <w:sz w:val="18"/>
                            </w:rPr>
                            <w:t>6</w:t>
                          </w:r>
                          <w:r w:rsidRPr="00CE67A0">
                            <w:rPr>
                              <w:b/>
                              <w:bCs/>
                              <w:sz w:val="18"/>
                            </w:rPr>
                            <w:fldChar w:fldCharType="end"/>
                          </w:r>
                          <w:r>
                            <w:tab/>
                            <w:t>GE.18-09609</w:t>
                          </w:r>
                        </w:p>
                        <w:p w:rsidR="00CB1AD3" w:rsidRDefault="00CB1A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9.8pt;margin-top:56.65pt;width:17.55pt;height:481.9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" fillcolor="#4f81bd [3204]" stroked="f">
              <v:fill opacity="0"/>
              <v:stroke joinstyle="round"/>
              <v:path arrowok="t"/>
              <v:textbox style="layout-flow:vertical" inset="0,0,0,0">
                <w:txbxContent>
                  <w:p w:rsidR="00CB1AD3" w:rsidRDefault="00CB1AD3" w:rsidP="00CB1AD3">
                    <w:pPr>
                      <w:pStyle w:val="Footer"/>
                      <w:tabs>
                        <w:tab w:val="right" w:pos="9638"/>
                      </w:tabs>
                    </w:pPr>
                    <w:r w:rsidRPr="00CE67A0">
                      <w:rPr>
                        <w:b/>
                        <w:bCs/>
                        <w:sz w:val="18"/>
                      </w:rPr>
                      <w:fldChar w:fldCharType="begin"/>
                    </w:r>
                    <w:r w:rsidRPr="00CE67A0">
                      <w:rPr>
                        <w:b/>
                        <w:bCs/>
                        <w:sz w:val="18"/>
                      </w:rPr>
                      <w:instrText xml:space="preserve"> PAGE  \* MERGEFORMAT </w:instrText>
                    </w:r>
                    <w:r w:rsidRPr="00CE67A0">
                      <w:rPr>
                        <w:b/>
                        <w:bCs/>
                        <w:sz w:val="18"/>
                      </w:rPr>
                      <w:fldChar w:fldCharType="separate"/>
                    </w:r>
                    <w:r w:rsidR="00B825E8">
                      <w:rPr>
                        <w:b/>
                        <w:bCs/>
                        <w:noProof/>
                        <w:sz w:val="18"/>
                      </w:rPr>
                      <w:t>6</w:t>
                    </w:r>
                    <w:r w:rsidRPr="00CE67A0">
                      <w:rPr>
                        <w:b/>
                        <w:bCs/>
                        <w:sz w:val="18"/>
                      </w:rPr>
                      <w:fldChar w:fldCharType="end"/>
                    </w:r>
                    <w:r>
                      <w:tab/>
                      <w:t>GE.18-09609</w:t>
                    </w:r>
                  </w:p>
                  <w:p w:rsidR="00CB1AD3" w:rsidRDefault="00CB1AD3"/>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D3" w:rsidRPr="00CB1AD3" w:rsidRDefault="00CB1AD3" w:rsidP="00CB1AD3">
    <w:pPr>
      <w:pStyle w:val="Footer"/>
    </w:pPr>
    <w:r>
      <w:rPr>
        <w:noProof/>
      </w:rPr>
      <mc:AlternateContent>
        <mc:Choice Requires="wps">
          <w:drawing>
            <wp:anchor distT="0" distB="0" distL="114300" distR="114300" simplePos="0" relativeHeight="251676672" behindDoc="0" locked="1" layoutInCell="1" allowOverlap="1">
              <wp:simplePos x="0" y="0"/>
              <wp:positionH relativeFrom="page">
                <wp:posOffset>477520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B1AD3" w:rsidRDefault="00CB1AD3" w:rsidP="00CB1AD3">
                          <w:pPr>
                            <w:pStyle w:val="Footer"/>
                            <w:tabs>
                              <w:tab w:val="right" w:pos="9638"/>
                            </w:tabs>
                          </w:pPr>
                          <w:r>
                            <w:t>GE.18-09609</w:t>
                          </w:r>
                          <w:r>
                            <w:tab/>
                          </w:r>
                          <w:r w:rsidRPr="00CE67A0">
                            <w:rPr>
                              <w:b/>
                              <w:bCs/>
                              <w:sz w:val="18"/>
                            </w:rPr>
                            <w:fldChar w:fldCharType="begin"/>
                          </w:r>
                          <w:r w:rsidRPr="00CE67A0">
                            <w:rPr>
                              <w:b/>
                              <w:bCs/>
                              <w:sz w:val="18"/>
                            </w:rPr>
                            <w:instrText xml:space="preserve"> PAGE  \* MERGEFORMAT </w:instrText>
                          </w:r>
                          <w:r w:rsidRPr="00CE67A0">
                            <w:rPr>
                              <w:b/>
                              <w:bCs/>
                              <w:sz w:val="18"/>
                            </w:rPr>
                            <w:fldChar w:fldCharType="separate"/>
                          </w:r>
                          <w:r w:rsidR="00B825E8">
                            <w:rPr>
                              <w:b/>
                              <w:bCs/>
                              <w:noProof/>
                              <w:sz w:val="18"/>
                            </w:rPr>
                            <w:t>5</w:t>
                          </w:r>
                          <w:r w:rsidRPr="00CE67A0">
                            <w:rPr>
                              <w:b/>
                              <w:bCs/>
                              <w:sz w:val="18"/>
                            </w:rPr>
                            <w:fldChar w:fldCharType="end"/>
                          </w:r>
                        </w:p>
                        <w:p w:rsidR="00CB1AD3" w:rsidRDefault="00CB1A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7.6pt;margin-top:56.65pt;width:17.55pt;height:481.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" fillcolor="#4f81bd [3204]" stroked="f">
              <v:fill opacity="0"/>
              <v:stroke joinstyle="round"/>
              <v:path arrowok="t"/>
              <v:textbox style="layout-flow:vertical" inset="0,0,0,0">
                <w:txbxContent>
                  <w:p w:rsidR="00CB1AD3" w:rsidRDefault="00CB1AD3" w:rsidP="00CB1AD3">
                    <w:pPr>
                      <w:pStyle w:val="Footer"/>
                      <w:tabs>
                        <w:tab w:val="right" w:pos="9638"/>
                      </w:tabs>
                    </w:pPr>
                    <w:r>
                      <w:t>GE.18-09609</w:t>
                    </w:r>
                    <w:r>
                      <w:tab/>
                    </w:r>
                    <w:r w:rsidRPr="00CE67A0">
                      <w:rPr>
                        <w:b/>
                        <w:bCs/>
                        <w:sz w:val="18"/>
                      </w:rPr>
                      <w:fldChar w:fldCharType="begin"/>
                    </w:r>
                    <w:r w:rsidRPr="00CE67A0">
                      <w:rPr>
                        <w:b/>
                        <w:bCs/>
                        <w:sz w:val="18"/>
                      </w:rPr>
                      <w:instrText xml:space="preserve"> PAGE  \* MERGEFORMAT </w:instrText>
                    </w:r>
                    <w:r w:rsidRPr="00CE67A0">
                      <w:rPr>
                        <w:b/>
                        <w:bCs/>
                        <w:sz w:val="18"/>
                      </w:rPr>
                      <w:fldChar w:fldCharType="separate"/>
                    </w:r>
                    <w:r w:rsidR="00B825E8">
                      <w:rPr>
                        <w:b/>
                        <w:bCs/>
                        <w:noProof/>
                        <w:sz w:val="18"/>
                      </w:rPr>
                      <w:t>5</w:t>
                    </w:r>
                    <w:r w:rsidRPr="00CE67A0">
                      <w:rPr>
                        <w:b/>
                        <w:bCs/>
                        <w:sz w:val="18"/>
                      </w:rPr>
                      <w:fldChar w:fldCharType="end"/>
                    </w:r>
                  </w:p>
                  <w:p w:rsidR="00CB1AD3" w:rsidRDefault="00CB1AD3"/>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CFB" w:rsidRPr="00FB1744" w:rsidRDefault="00532CFB" w:rsidP="00FB1744">
      <w:pPr>
        <w:tabs>
          <w:tab w:val="right" w:pos="2155"/>
        </w:tabs>
        <w:spacing w:after="80" w:line="240" w:lineRule="auto"/>
        <w:ind w:left="680"/>
      </w:pPr>
      <w:r>
        <w:rPr>
          <w:u w:val="single"/>
        </w:rPr>
        <w:tab/>
      </w:r>
    </w:p>
  </w:footnote>
  <w:footnote w:type="continuationSeparator" w:id="0">
    <w:p w:rsidR="00532CFB" w:rsidRPr="00FB1744" w:rsidRDefault="00532CFB" w:rsidP="00FB1744">
      <w:pPr>
        <w:tabs>
          <w:tab w:val="right" w:pos="2155"/>
        </w:tabs>
        <w:spacing w:after="80" w:line="240" w:lineRule="auto"/>
        <w:ind w:left="680"/>
      </w:pPr>
      <w:r>
        <w:rPr>
          <w:u w:val="single"/>
        </w:rPr>
        <w:tab/>
      </w:r>
    </w:p>
  </w:footnote>
  <w:footnote w:id="1">
    <w:p w:rsidR="00CE67A0" w:rsidRPr="002E5544" w:rsidRDefault="00CE67A0" w:rsidP="00CE67A0">
      <w:pPr>
        <w:pStyle w:val="FootnoteText"/>
      </w:pPr>
      <w:r w:rsidRPr="002E5544">
        <w:rPr>
          <w:rStyle w:val="FootnoteReference"/>
        </w:rPr>
        <w:tab/>
      </w:r>
      <w:r w:rsidRPr="00F92444">
        <w:rPr>
          <w:rStyle w:val="FootnoteReference"/>
          <w:sz w:val="20"/>
          <w:vertAlign w:val="baseline"/>
        </w:rPr>
        <w:t>*</w:t>
      </w:r>
      <w:r w:rsidRPr="00F92444">
        <w:rPr>
          <w:rStyle w:val="FootnoteReference"/>
          <w:sz w:val="20"/>
          <w:vertAlign w:val="baseline"/>
        </w:rPr>
        <w:tab/>
      </w:r>
      <w:r>
        <w:t>Distributed in German by the Central Commission for the Navigation of the Rhine under the symbol</w:t>
      </w:r>
      <w:r w:rsidRPr="00420658">
        <w:t xml:space="preserve"> </w:t>
      </w:r>
      <w:r w:rsidRPr="002E5544">
        <w:t>CCNR</w:t>
      </w:r>
      <w:r>
        <w:t>-</w:t>
      </w:r>
      <w:r w:rsidRPr="002E5544">
        <w:t>ZKR/ADN/WP.15/AC.2/2018/45.</w:t>
      </w:r>
    </w:p>
  </w:footnote>
  <w:footnote w:id="2">
    <w:p w:rsidR="00CE67A0" w:rsidRPr="002E5544" w:rsidRDefault="00CE67A0" w:rsidP="00CE67A0">
      <w:pPr>
        <w:pStyle w:val="FootnoteText"/>
      </w:pPr>
      <w:r w:rsidRPr="002E5544">
        <w:tab/>
      </w:r>
      <w:r w:rsidRPr="00F92444">
        <w:rPr>
          <w:rStyle w:val="FootnoteReference"/>
          <w:sz w:val="20"/>
          <w:vertAlign w:val="baseline"/>
        </w:rPr>
        <w:t>**</w:t>
      </w:r>
      <w:r w:rsidRPr="00F92444">
        <w:rPr>
          <w:sz w:val="20"/>
        </w:rPr>
        <w:tab/>
      </w:r>
      <w:r>
        <w:t>In accordance with the programme of work of the Inland Transport Committee for 2018–2019</w:t>
      </w:r>
      <w:r w:rsidRPr="002E5544">
        <w:t xml:space="preserve">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A0" w:rsidRDefault="00CE67A0" w:rsidP="00CE67A0">
    <w:pPr>
      <w:pStyle w:val="Header"/>
    </w:pPr>
    <w:r>
      <w:t>ECE/TRANS/WP.15/AC.2/2018/45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A0" w:rsidRDefault="00CE67A0" w:rsidP="00CE67A0">
    <w:pPr>
      <w:pStyle w:val="Header"/>
      <w:jc w:val="right"/>
    </w:pPr>
    <w:r>
      <w:t>ECE/TRANS/WP.15/AC.2/2018/45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D3" w:rsidRPr="00CB1AD3" w:rsidRDefault="00CB1AD3" w:rsidP="00CB1AD3">
    <w:pPr>
      <w:pStyle w:val="Header"/>
      <w:pBdr>
        <w:bottom w:val="none" w:sz="0" w:space="0" w:color="auto"/>
      </w:pBdr>
    </w:pPr>
    <w:r>
      <w:rPr>
        <w:noProof/>
      </w:rPr>
      <mc:AlternateContent>
        <mc:Choice Requires="wps">
          <w:drawing>
            <wp:anchor distT="0" distB="0" distL="114300" distR="114300" simplePos="0" relativeHeight="251654144"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B1AD3" w:rsidRDefault="00CB1AD3" w:rsidP="00CB1AD3">
                          <w:pPr>
                            <w:pStyle w:val="Header"/>
                          </w:pPr>
                          <w:r>
                            <w:t>ECE/TRANS/WP.15/AC.2/2018/45</w:t>
                          </w:r>
                        </w:p>
                        <w:p w:rsidR="00CB1AD3" w:rsidRDefault="00CB1A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56.65pt;width:23pt;height:48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C85d4v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CB1AD3" w:rsidRDefault="00CB1AD3" w:rsidP="00CB1AD3">
                    <w:pPr>
                      <w:pStyle w:val="Header"/>
                    </w:pPr>
                    <w:r>
                      <w:t>ECE/TRANS/WP.15/AC.2/2018/45</w:t>
                    </w:r>
                  </w:p>
                  <w:p w:rsidR="00CB1AD3" w:rsidRDefault="00CB1AD3"/>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D3" w:rsidRPr="00CB1AD3" w:rsidRDefault="00CB1AD3" w:rsidP="00CB1AD3">
    <w:pPr>
      <w:pStyle w:val="Header"/>
      <w:pBdr>
        <w:bottom w:val="none" w:sz="0" w:space="0" w:color="auto"/>
      </w:pBdr>
    </w:pPr>
    <w:r>
      <w:rPr>
        <w:noProof/>
      </w:rPr>
      <mc:AlternateContent>
        <mc:Choice Requires="wps">
          <w:drawing>
            <wp:anchor distT="0" distB="0" distL="114300" distR="114300" simplePos="0" relativeHeight="251671552"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B1AD3" w:rsidRDefault="00CB1AD3" w:rsidP="00CB1AD3">
                          <w:pPr>
                            <w:pStyle w:val="Header"/>
                            <w:jc w:val="right"/>
                          </w:pPr>
                          <w:r>
                            <w:t>ECE/TRANS/WP.15/AC.2/2018/45</w:t>
                          </w:r>
                        </w:p>
                        <w:p w:rsidR="00CB1AD3" w:rsidRDefault="00CB1A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1pt;margin-top:56.65pt;width:23pt;height:481.9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6UFLw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CB1AD3" w:rsidRDefault="00CB1AD3" w:rsidP="00CB1AD3">
                    <w:pPr>
                      <w:pStyle w:val="Header"/>
                      <w:jc w:val="right"/>
                    </w:pPr>
                    <w:r>
                      <w:t>ECE/TRANS/WP.15/AC.2/2018/45</w:t>
                    </w:r>
                  </w:p>
                  <w:p w:rsidR="00CB1AD3" w:rsidRDefault="00CB1AD3"/>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D3" w:rsidRDefault="00CB1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2CFB"/>
    <w:rsid w:val="00046E92"/>
    <w:rsid w:val="000C7AAA"/>
    <w:rsid w:val="000D1B89"/>
    <w:rsid w:val="000D6521"/>
    <w:rsid w:val="000F7EE2"/>
    <w:rsid w:val="001170DC"/>
    <w:rsid w:val="00146EF7"/>
    <w:rsid w:val="00226E9B"/>
    <w:rsid w:val="00247E2C"/>
    <w:rsid w:val="0029735F"/>
    <w:rsid w:val="002B73C3"/>
    <w:rsid w:val="002D6C53"/>
    <w:rsid w:val="002F5595"/>
    <w:rsid w:val="00303515"/>
    <w:rsid w:val="00334F6A"/>
    <w:rsid w:val="00342AC8"/>
    <w:rsid w:val="003B4550"/>
    <w:rsid w:val="003F0128"/>
    <w:rsid w:val="004121A3"/>
    <w:rsid w:val="00461253"/>
    <w:rsid w:val="00465C84"/>
    <w:rsid w:val="00475EC5"/>
    <w:rsid w:val="005042C2"/>
    <w:rsid w:val="00506C12"/>
    <w:rsid w:val="00532CFB"/>
    <w:rsid w:val="00534F25"/>
    <w:rsid w:val="0056599A"/>
    <w:rsid w:val="00587690"/>
    <w:rsid w:val="005D7596"/>
    <w:rsid w:val="005E039F"/>
    <w:rsid w:val="00607125"/>
    <w:rsid w:val="00671529"/>
    <w:rsid w:val="006A0D2C"/>
    <w:rsid w:val="006F0114"/>
    <w:rsid w:val="00717266"/>
    <w:rsid w:val="00720E3A"/>
    <w:rsid w:val="00721235"/>
    <w:rsid w:val="0072325D"/>
    <w:rsid w:val="007268F9"/>
    <w:rsid w:val="00726AB5"/>
    <w:rsid w:val="007C52B0"/>
    <w:rsid w:val="008365CC"/>
    <w:rsid w:val="0085589D"/>
    <w:rsid w:val="00895273"/>
    <w:rsid w:val="008F344D"/>
    <w:rsid w:val="009148F4"/>
    <w:rsid w:val="009411B4"/>
    <w:rsid w:val="00944EAD"/>
    <w:rsid w:val="009D0139"/>
    <w:rsid w:val="009E28C7"/>
    <w:rsid w:val="009F5CDC"/>
    <w:rsid w:val="00A775CF"/>
    <w:rsid w:val="00AB2C14"/>
    <w:rsid w:val="00AB3C7E"/>
    <w:rsid w:val="00B06045"/>
    <w:rsid w:val="00B451F8"/>
    <w:rsid w:val="00B54D65"/>
    <w:rsid w:val="00B825E8"/>
    <w:rsid w:val="00C35A27"/>
    <w:rsid w:val="00C5651F"/>
    <w:rsid w:val="00CB1AD3"/>
    <w:rsid w:val="00CE0CA2"/>
    <w:rsid w:val="00CE67A0"/>
    <w:rsid w:val="00D55316"/>
    <w:rsid w:val="00E02C2B"/>
    <w:rsid w:val="00E50F5D"/>
    <w:rsid w:val="00E5430E"/>
    <w:rsid w:val="00E9101B"/>
    <w:rsid w:val="00EA3B30"/>
    <w:rsid w:val="00ED6C48"/>
    <w:rsid w:val="00F10F09"/>
    <w:rsid w:val="00F65F5D"/>
    <w:rsid w:val="00F83298"/>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4A024F-E65E-400F-BD38-C7C5683E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TableGrid1">
    <w:name w:val="Table Grid1"/>
    <w:basedOn w:val="TableNormal"/>
    <w:next w:val="TableGrid"/>
    <w:uiPriority w:val="39"/>
    <w:rsid w:val="00720E3A"/>
    <w:pPr>
      <w:tabs>
        <w:tab w:val="left" w:pos="425"/>
        <w:tab w:val="left" w:pos="851"/>
        <w:tab w:val="left" w:pos="1276"/>
      </w:tabs>
      <w:spacing w:after="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09BF-7B37-438F-B6F6-4975D7C3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ECE/TRANS/WP.15/AC.2/2018/45</vt:lpstr>
    </vt:vector>
  </TitlesOfParts>
  <Company>DCM</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ECE/TRANS/WP.15/AC.2/2018/45</dc:title>
  <dc:subject>1809609</dc:subject>
  <dc:creator>ROLLAND</dc:creator>
  <cp:keywords/>
  <dc:description/>
  <cp:lastModifiedBy>Caillot</cp:lastModifiedBy>
  <cp:revision>2</cp:revision>
  <cp:lastPrinted>2018-06-21T09:17:00Z</cp:lastPrinted>
  <dcterms:created xsi:type="dcterms:W3CDTF">2018-07-24T09:32:00Z</dcterms:created>
  <dcterms:modified xsi:type="dcterms:W3CDTF">2018-07-24T09:32:00Z</dcterms:modified>
</cp:coreProperties>
</file>