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27F7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27F7A" w:rsidP="00B27F7A">
            <w:pPr>
              <w:jc w:val="right"/>
            </w:pPr>
            <w:r w:rsidRPr="00B27F7A">
              <w:rPr>
                <w:sz w:val="40"/>
              </w:rPr>
              <w:t>ECE</w:t>
            </w:r>
            <w:r>
              <w:t>/TRANS/WP.15/AC.1/2018/6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27F7A" w:rsidP="00C97039">
            <w:pPr>
              <w:spacing w:before="240"/>
            </w:pPr>
            <w:r>
              <w:t>Distr. générale</w:t>
            </w:r>
          </w:p>
          <w:p w:rsidR="00B27F7A" w:rsidRDefault="00B27F7A" w:rsidP="00B27F7A">
            <w:pPr>
              <w:spacing w:line="240" w:lineRule="exact"/>
            </w:pPr>
            <w:r>
              <w:t>21 décembre 2017</w:t>
            </w:r>
          </w:p>
          <w:p w:rsidR="00B27F7A" w:rsidRDefault="00B27F7A" w:rsidP="00B27F7A">
            <w:pPr>
              <w:spacing w:line="240" w:lineRule="exact"/>
            </w:pPr>
            <w:r>
              <w:t>Français</w:t>
            </w:r>
          </w:p>
          <w:p w:rsidR="00B27F7A" w:rsidRPr="00DB58B5" w:rsidRDefault="00B27F7A" w:rsidP="00B27F7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D06B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27F7A" w:rsidRPr="009E01B8" w:rsidRDefault="00B27F7A" w:rsidP="00AF0CB5">
      <w:pPr>
        <w:spacing w:before="120"/>
        <w:rPr>
          <w:b/>
          <w:sz w:val="24"/>
          <w:szCs w:val="24"/>
        </w:rPr>
      </w:pPr>
      <w:r w:rsidRPr="009E01B8">
        <w:rPr>
          <w:b/>
          <w:sz w:val="24"/>
          <w:szCs w:val="24"/>
        </w:rPr>
        <w:t>Groupe de travail des transports de marchandises dangereuses</w:t>
      </w:r>
    </w:p>
    <w:p w:rsidR="00B27F7A" w:rsidRPr="00926E87" w:rsidRDefault="00B27F7A" w:rsidP="00AF0CB5">
      <w:pPr>
        <w:spacing w:before="120"/>
        <w:rPr>
          <w:b/>
        </w:rPr>
      </w:pPr>
      <w:r w:rsidRPr="00926E87">
        <w:rPr>
          <w:b/>
        </w:rPr>
        <w:t>Réunion commune de la Commission d</w:t>
      </w:r>
      <w:r w:rsidR="004D06BE">
        <w:rPr>
          <w:b/>
        </w:rPr>
        <w:t>’</w:t>
      </w:r>
      <w:r w:rsidRPr="00926E87">
        <w:rPr>
          <w:b/>
        </w:rPr>
        <w:t>experts du RID</w:t>
      </w:r>
      <w:r>
        <w:rPr>
          <w:b/>
        </w:rPr>
        <w:t xml:space="preserve"> </w:t>
      </w:r>
      <w:r w:rsidRPr="00926E87">
        <w:rPr>
          <w:b/>
        </w:rPr>
        <w:t>et</w:t>
      </w:r>
      <w:r w:rsidR="009C4C67">
        <w:rPr>
          <w:b/>
        </w:rPr>
        <w:t xml:space="preserve"> </w:t>
      </w:r>
      <w:r>
        <w:rPr>
          <w:b/>
        </w:rPr>
        <w:br/>
      </w:r>
      <w:r w:rsidRPr="00926E87">
        <w:rPr>
          <w:b/>
        </w:rPr>
        <w:t>du Groupe de travail</w:t>
      </w:r>
      <w:r>
        <w:rPr>
          <w:b/>
        </w:rPr>
        <w:t xml:space="preserve"> </w:t>
      </w:r>
      <w:r w:rsidRPr="00926E87">
        <w:rPr>
          <w:b/>
        </w:rPr>
        <w:t>des transports de marchandises dangereuses</w:t>
      </w:r>
    </w:p>
    <w:p w:rsidR="00B27F7A" w:rsidRDefault="00FE2280" w:rsidP="00AF0CB5">
      <w:pPr>
        <w:spacing w:before="120"/>
      </w:pPr>
      <w:bookmarkStart w:id="1" w:name="bookmark_14"/>
      <w:r w:rsidRPr="00B27F7A">
        <w:rPr>
          <w:lang w:val="fr-FR"/>
        </w:rPr>
        <w:t>Berne, 12-16 mars 2018</w:t>
      </w:r>
      <w:bookmarkEnd w:id="1"/>
    </w:p>
    <w:p w:rsidR="00FE1A7B" w:rsidRPr="00B27F7A" w:rsidRDefault="00FE2280" w:rsidP="00B27F7A">
      <w:bookmarkStart w:id="2" w:name="bookmark_15"/>
      <w:r w:rsidRPr="00B27F7A">
        <w:rPr>
          <w:lang w:val="fr-FR"/>
        </w:rPr>
        <w:t>Point 2 de l</w:t>
      </w:r>
      <w:r w:rsidR="004D06BE">
        <w:rPr>
          <w:lang w:val="fr-FR"/>
        </w:rPr>
        <w:t>’</w:t>
      </w:r>
      <w:r w:rsidRPr="00B27F7A">
        <w:rPr>
          <w:lang w:val="fr-FR"/>
        </w:rPr>
        <w:t xml:space="preserve">ordre du jour </w:t>
      </w:r>
      <w:r w:rsidRPr="00B27F7A">
        <w:rPr>
          <w:lang w:val="fr-FR"/>
        </w:rPr>
        <w:t>provisoire</w:t>
      </w:r>
      <w:bookmarkEnd w:id="2"/>
    </w:p>
    <w:p w:rsidR="00FE1A7B" w:rsidRPr="00B27F7A" w:rsidRDefault="00FE2280" w:rsidP="00B27F7A">
      <w:pPr>
        <w:rPr>
          <w:b/>
        </w:rPr>
      </w:pPr>
      <w:bookmarkStart w:id="3" w:name="bookmark_16"/>
      <w:r w:rsidRPr="00B27F7A">
        <w:rPr>
          <w:b/>
          <w:lang w:val="fr-FR"/>
        </w:rPr>
        <w:t xml:space="preserve">Citernes </w:t>
      </w:r>
      <w:bookmarkEnd w:id="3"/>
    </w:p>
    <w:p w:rsidR="00FE1A7B" w:rsidRPr="00B27F7A" w:rsidRDefault="00FE2280" w:rsidP="006D4A26">
      <w:pPr>
        <w:pStyle w:val="HChG"/>
      </w:pPr>
      <w:bookmarkStart w:id="4" w:name="bookmark_17"/>
      <w:r w:rsidRPr="00B27F7A">
        <w:rPr>
          <w:lang w:val="fr-FR"/>
        </w:rPr>
        <w:tab/>
      </w:r>
      <w:r w:rsidRPr="00B27F7A">
        <w:rPr>
          <w:lang w:val="fr-FR"/>
        </w:rPr>
        <w:tab/>
        <w:t xml:space="preserve">Qualification des procédures de soudage </w:t>
      </w:r>
      <w:r w:rsidR="00E9103F">
        <w:rPr>
          <w:lang w:val="fr-FR"/>
        </w:rPr>
        <w:t>−</w:t>
      </w:r>
      <w:r w:rsidRPr="00B27F7A">
        <w:rPr>
          <w:lang w:val="fr-FR"/>
        </w:rPr>
        <w:t xml:space="preserve"> </w:t>
      </w:r>
      <w:r w:rsidR="00E76FCE">
        <w:rPr>
          <w:lang w:val="fr-FR"/>
        </w:rPr>
        <w:br/>
      </w:r>
      <w:r w:rsidR="00E76FCE" w:rsidRPr="00B27F7A">
        <w:rPr>
          <w:lang w:val="fr-FR"/>
        </w:rPr>
        <w:t xml:space="preserve">Soudage </w:t>
      </w:r>
      <w:r w:rsidRPr="00B27F7A">
        <w:rPr>
          <w:lang w:val="fr-FR"/>
        </w:rPr>
        <w:t>selon le paragraphe 6.8.2.1.23</w:t>
      </w:r>
      <w:bookmarkEnd w:id="4"/>
    </w:p>
    <w:p w:rsidR="00F9573C" w:rsidRDefault="00FE2280" w:rsidP="006D4A26">
      <w:pPr>
        <w:pStyle w:val="H1G"/>
        <w:rPr>
          <w:lang w:val="fr-FR"/>
        </w:rPr>
      </w:pPr>
      <w:bookmarkStart w:id="5" w:name="bookmark_18"/>
      <w:r w:rsidRPr="00B27F7A">
        <w:rPr>
          <w:lang w:val="fr-FR"/>
        </w:rPr>
        <w:tab/>
      </w:r>
      <w:r w:rsidRPr="00B27F7A">
        <w:rPr>
          <w:lang w:val="fr-FR"/>
        </w:rPr>
        <w:tab/>
        <w:t>Communication du Gouvernement polonais</w:t>
      </w:r>
      <w:r w:rsidRPr="00E76FCE">
        <w:rPr>
          <w:rStyle w:val="FootnoteReference"/>
          <w:b w:val="0"/>
        </w:rPr>
        <w:footnoteReference w:id="2"/>
      </w:r>
      <w:bookmarkEnd w:id="5"/>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27F7A" w:rsidTr="00216E0F">
        <w:trPr>
          <w:jc w:val="center"/>
        </w:trPr>
        <w:tc>
          <w:tcPr>
            <w:tcW w:w="9637" w:type="dxa"/>
            <w:shd w:val="clear" w:color="auto" w:fill="auto"/>
          </w:tcPr>
          <w:p w:rsidR="00B27F7A" w:rsidRPr="000001E7" w:rsidRDefault="00B27F7A" w:rsidP="00216E0F">
            <w:pPr>
              <w:spacing w:before="240" w:after="120"/>
              <w:ind w:left="255"/>
              <w:rPr>
                <w:i/>
                <w:sz w:val="24"/>
              </w:rPr>
            </w:pPr>
            <w:r w:rsidRPr="000001E7">
              <w:rPr>
                <w:i/>
                <w:sz w:val="24"/>
              </w:rPr>
              <w:t>Résumé</w:t>
            </w:r>
          </w:p>
        </w:tc>
      </w:tr>
      <w:tr w:rsidR="00B27F7A" w:rsidTr="00216E0F">
        <w:trPr>
          <w:jc w:val="center"/>
        </w:trPr>
        <w:tc>
          <w:tcPr>
            <w:tcW w:w="9637" w:type="dxa"/>
            <w:shd w:val="clear" w:color="auto" w:fill="auto"/>
          </w:tcPr>
          <w:p w:rsidR="00B27F7A" w:rsidRDefault="00FE2280" w:rsidP="00E9103F">
            <w:pPr>
              <w:pStyle w:val="SingleTxtG"/>
              <w:ind w:left="2552" w:hanging="2268"/>
            </w:pPr>
            <w:r w:rsidRPr="00B27F7A">
              <w:rPr>
                <w:b/>
                <w:bCs/>
                <w:lang w:val="fr-FR"/>
              </w:rPr>
              <w:t>Résumé analytique</w:t>
            </w:r>
            <w:r w:rsidR="00E9103F">
              <w:rPr>
                <w:b/>
                <w:bCs/>
                <w:lang w:val="fr-FR"/>
              </w:rPr>
              <w:t> </w:t>
            </w:r>
            <w:r w:rsidR="00E9103F" w:rsidRPr="00E9103F">
              <w:rPr>
                <w:bCs/>
                <w:lang w:val="fr-FR"/>
              </w:rPr>
              <w:t>:</w:t>
            </w:r>
            <w:r w:rsidRPr="00B27F7A">
              <w:rPr>
                <w:lang w:val="fr-FR"/>
              </w:rPr>
              <w:tab/>
              <w:t>La présente proposition vise à préciser le niveau des épreuves concernant le mode</w:t>
            </w:r>
            <w:r w:rsidRPr="00B27F7A">
              <w:rPr>
                <w:lang w:val="fr-FR"/>
              </w:rPr>
              <w:t xml:space="preserve"> opératoire de soudage décrites dans la norme EN ISO 15614-1:2017 qui doit être utilisé. Cette norme est référencée dans les normes EN 14025:2013 et EN 14025:2013 + A1:2016, qui sont inclus</w:t>
            </w:r>
            <w:r w:rsidR="00E76FCE">
              <w:rPr>
                <w:lang w:val="fr-FR"/>
              </w:rPr>
              <w:t>es</w:t>
            </w:r>
            <w:r w:rsidRPr="00B27F7A">
              <w:rPr>
                <w:lang w:val="fr-FR"/>
              </w:rPr>
              <w:t xml:space="preserve"> dans le tableau du paragraphe 6.8.2.6.1.</w:t>
            </w:r>
          </w:p>
        </w:tc>
      </w:tr>
      <w:tr w:rsidR="00B27F7A" w:rsidTr="00216E0F">
        <w:trPr>
          <w:jc w:val="center"/>
        </w:trPr>
        <w:tc>
          <w:tcPr>
            <w:tcW w:w="9637" w:type="dxa"/>
            <w:shd w:val="clear" w:color="auto" w:fill="auto"/>
          </w:tcPr>
          <w:p w:rsidR="00B27F7A" w:rsidRDefault="00FE2280" w:rsidP="00E9103F">
            <w:pPr>
              <w:pStyle w:val="SingleTxtG"/>
              <w:ind w:left="2552" w:hanging="2268"/>
            </w:pPr>
            <w:bookmarkStart w:id="7" w:name="bookmark_22"/>
            <w:r w:rsidRPr="00B27F7A">
              <w:rPr>
                <w:b/>
                <w:bCs/>
                <w:lang w:val="fr-FR"/>
              </w:rPr>
              <w:t>Mesure à prendre</w:t>
            </w:r>
            <w:r w:rsidR="00E9103F">
              <w:rPr>
                <w:b/>
                <w:bCs/>
                <w:lang w:val="fr-FR"/>
              </w:rPr>
              <w:t> </w:t>
            </w:r>
            <w:r w:rsidR="00E9103F" w:rsidRPr="00E9103F">
              <w:rPr>
                <w:bCs/>
                <w:lang w:val="fr-FR"/>
              </w:rPr>
              <w:t>:</w:t>
            </w:r>
            <w:r w:rsidRPr="00B27F7A">
              <w:rPr>
                <w:lang w:val="fr-FR"/>
              </w:rPr>
              <w:tab/>
            </w:r>
            <w:r w:rsidRPr="00B27F7A">
              <w:rPr>
                <w:lang w:val="fr-FR"/>
              </w:rPr>
              <w:t>Modifier la réglementation concernée pour indiquer le niveau applicable des épreuves concernant le mode opératoire de soudage, le cas échéant.</w:t>
            </w:r>
            <w:bookmarkEnd w:id="7"/>
          </w:p>
        </w:tc>
      </w:tr>
      <w:tr w:rsidR="00B27F7A" w:rsidTr="00216E0F">
        <w:trPr>
          <w:jc w:val="center"/>
        </w:trPr>
        <w:tc>
          <w:tcPr>
            <w:tcW w:w="9637" w:type="dxa"/>
            <w:shd w:val="clear" w:color="auto" w:fill="auto"/>
          </w:tcPr>
          <w:p w:rsidR="00B27F7A" w:rsidRDefault="00B27F7A" w:rsidP="00216E0F"/>
        </w:tc>
      </w:tr>
    </w:tbl>
    <w:p w:rsidR="00B27F7A" w:rsidRPr="004D5C2B" w:rsidRDefault="006D4A26" w:rsidP="00A3439E">
      <w:pPr>
        <w:pStyle w:val="HChG"/>
        <w:spacing w:before="0" w:after="120"/>
      </w:pPr>
      <w:bookmarkStart w:id="8" w:name="bookmark_23"/>
      <w:r w:rsidRPr="00A3439E">
        <w:rPr>
          <w:sz w:val="20"/>
        </w:rPr>
        <w:br w:type="page"/>
      </w:r>
      <w:r w:rsidR="00D17313">
        <w:rPr>
          <w:lang w:val="fr-FR"/>
        </w:rPr>
        <w:lastRenderedPageBreak/>
        <w:tab/>
      </w:r>
      <w:r w:rsidR="00D17313">
        <w:rPr>
          <w:lang w:val="fr-FR"/>
        </w:rPr>
        <w:tab/>
      </w:r>
      <w:r w:rsidR="00B27F7A">
        <w:rPr>
          <w:lang w:val="fr-FR"/>
        </w:rPr>
        <w:t>Introduction</w:t>
      </w:r>
      <w:bookmarkEnd w:id="8"/>
    </w:p>
    <w:p w:rsidR="00B27F7A" w:rsidRDefault="00D17313" w:rsidP="00D17313">
      <w:pPr>
        <w:pStyle w:val="SingleTxtG"/>
        <w:rPr>
          <w:lang w:val="fr-FR"/>
        </w:rPr>
      </w:pPr>
      <w:bookmarkStart w:id="9" w:name="bookmark_24"/>
      <w:r>
        <w:rPr>
          <w:lang w:val="fr-FR"/>
        </w:rPr>
        <w:t>1.</w:t>
      </w:r>
      <w:r>
        <w:rPr>
          <w:lang w:val="fr-FR"/>
        </w:rPr>
        <w:tab/>
      </w:r>
      <w:r w:rsidR="00B27F7A">
        <w:rPr>
          <w:lang w:val="fr-FR"/>
        </w:rPr>
        <w:t xml:space="preserve">Selon le paragraphe 6.8.2.1.4, </w:t>
      </w:r>
      <w:r w:rsidR="00E9103F">
        <w:rPr>
          <w:lang w:val="fr-FR"/>
        </w:rPr>
        <w:t>« </w:t>
      </w:r>
      <w:r w:rsidR="00E76FCE">
        <w:rPr>
          <w:lang w:val="fr-FR"/>
        </w:rPr>
        <w:t xml:space="preserve">Les </w:t>
      </w:r>
      <w:r w:rsidR="00B27F7A">
        <w:rPr>
          <w:lang w:val="fr-FR"/>
        </w:rPr>
        <w:t>réservoirs doivent être conçus et construits conformément aux prescriptions des normes énumérées au 6.8.2.6 ou d</w:t>
      </w:r>
      <w:r w:rsidR="004D06BE">
        <w:rPr>
          <w:lang w:val="fr-FR"/>
        </w:rPr>
        <w:t>’</w:t>
      </w:r>
      <w:r w:rsidR="00B27F7A">
        <w:rPr>
          <w:lang w:val="fr-FR"/>
        </w:rPr>
        <w:t>un code technique reconnu par l</w:t>
      </w:r>
      <w:r w:rsidR="004D06BE">
        <w:rPr>
          <w:lang w:val="fr-FR"/>
        </w:rPr>
        <w:t>’</w:t>
      </w:r>
      <w:r w:rsidR="00B27F7A">
        <w:rPr>
          <w:lang w:val="fr-FR"/>
        </w:rPr>
        <w:t>autorité compétente, conformément au 6.8.2.7 (...)</w:t>
      </w:r>
      <w:r w:rsidR="00E9103F">
        <w:rPr>
          <w:lang w:val="fr-FR"/>
        </w:rPr>
        <w:t> »</w:t>
      </w:r>
      <w:r w:rsidR="00B27F7A">
        <w:rPr>
          <w:lang w:val="fr-FR"/>
        </w:rPr>
        <w:t xml:space="preserve">. Sous la rubrique </w:t>
      </w:r>
      <w:r w:rsidR="00E9103F">
        <w:rPr>
          <w:lang w:val="fr-FR"/>
        </w:rPr>
        <w:t>« </w:t>
      </w:r>
      <w:r w:rsidR="00B27F7A">
        <w:rPr>
          <w:lang w:val="fr-FR"/>
        </w:rPr>
        <w:t>Pour la conception et la construction des citernes</w:t>
      </w:r>
      <w:r w:rsidR="00E9103F">
        <w:rPr>
          <w:lang w:val="fr-FR"/>
        </w:rPr>
        <w:t> </w:t>
      </w:r>
      <w:r w:rsidR="00B27F7A">
        <w:rPr>
          <w:lang w:val="fr-FR"/>
        </w:rPr>
        <w:t>», le tableau du paragraphe 6.8.2.6.1 comprend deux normes EN 14025 «</w:t>
      </w:r>
      <w:r w:rsidR="00E9103F">
        <w:rPr>
          <w:lang w:val="fr-FR"/>
        </w:rPr>
        <w:t> </w:t>
      </w:r>
      <w:r w:rsidR="00B27F7A">
        <w:rPr>
          <w:lang w:val="fr-FR"/>
        </w:rPr>
        <w:t xml:space="preserve">Citernes destinées au transport de matières dangereuses </w:t>
      </w:r>
      <w:r w:rsidR="00E9103F">
        <w:rPr>
          <w:lang w:val="fr-FR"/>
        </w:rPr>
        <w:t>−</w:t>
      </w:r>
      <w:r w:rsidR="00B27F7A">
        <w:rPr>
          <w:lang w:val="fr-FR"/>
        </w:rPr>
        <w:t xml:space="preserve"> citernes métalliques sous pression </w:t>
      </w:r>
      <w:r w:rsidR="00E9103F">
        <w:rPr>
          <w:lang w:val="fr-FR"/>
        </w:rPr>
        <w:t xml:space="preserve">− </w:t>
      </w:r>
      <w:r w:rsidR="00B27F7A">
        <w:rPr>
          <w:lang w:val="fr-FR"/>
        </w:rPr>
        <w:t>conception et fabrication</w:t>
      </w:r>
      <w:r w:rsidR="00E9103F">
        <w:rPr>
          <w:lang w:val="fr-FR"/>
        </w:rPr>
        <w:t> </w:t>
      </w:r>
      <w:r w:rsidR="00B27F7A">
        <w:rPr>
          <w:lang w:val="fr-FR"/>
        </w:rPr>
        <w:t>» qui restent applicables. La première est la norme EN 14025:2013, qui est applicable aux nouvelles homologations de type ou aux renouvellements effectués entre le 1</w:t>
      </w:r>
      <w:r w:rsidR="00B27F7A">
        <w:rPr>
          <w:vertAlign w:val="superscript"/>
          <w:lang w:val="fr-FR"/>
        </w:rPr>
        <w:t>er</w:t>
      </w:r>
      <w:r w:rsidR="00E9103F">
        <w:rPr>
          <w:lang w:val="fr-FR"/>
        </w:rPr>
        <w:t> </w:t>
      </w:r>
      <w:r w:rsidR="00B27F7A">
        <w:rPr>
          <w:lang w:val="fr-FR"/>
        </w:rPr>
        <w:t>janvier 2015 et le 31</w:t>
      </w:r>
      <w:r w:rsidR="00E9103F">
        <w:rPr>
          <w:lang w:val="fr-FR"/>
        </w:rPr>
        <w:t> </w:t>
      </w:r>
      <w:r w:rsidR="00B27F7A">
        <w:rPr>
          <w:lang w:val="fr-FR"/>
        </w:rPr>
        <w:t>décembre 2018. La deuxième est la norme EN 14025:2013 + A1:2016 (sauf annexe B). La partie pertinente du tableau énumérant ces normes est reproduite ci-après.</w:t>
      </w:r>
      <w:bookmarkEnd w:id="9"/>
    </w:p>
    <w:tbl>
      <w:tblPr>
        <w:tblStyle w:val="TableGrid"/>
        <w:tblW w:w="0" w:type="auto"/>
        <w:tblInd w:w="1134" w:type="dxa"/>
        <w:tblLayout w:type="fixed"/>
        <w:tblLook w:val="04A0" w:firstRow="1" w:lastRow="0" w:firstColumn="1" w:lastColumn="0" w:noHBand="0" w:noVBand="1"/>
      </w:tblPr>
      <w:tblGrid>
        <w:gridCol w:w="1418"/>
        <w:gridCol w:w="2552"/>
        <w:gridCol w:w="1418"/>
        <w:gridCol w:w="1758"/>
        <w:gridCol w:w="1361"/>
      </w:tblGrid>
      <w:tr w:rsidR="00B27F7A" w:rsidRPr="006A3913" w:rsidTr="00A3439E">
        <w:tc>
          <w:tcPr>
            <w:tcW w:w="1418" w:type="dxa"/>
          </w:tcPr>
          <w:p w:rsidR="00B27F7A" w:rsidRPr="006A3913" w:rsidRDefault="00B27F7A" w:rsidP="00A3439E">
            <w:pPr>
              <w:spacing w:before="60" w:after="60"/>
              <w:ind w:left="57" w:right="57"/>
              <w:jc w:val="center"/>
              <w:rPr>
                <w:b/>
                <w:sz w:val="18"/>
                <w:szCs w:val="18"/>
              </w:rPr>
            </w:pPr>
            <w:bookmarkStart w:id="10" w:name="bookmark_25"/>
            <w:r w:rsidRPr="006A3913">
              <w:rPr>
                <w:b/>
                <w:sz w:val="18"/>
                <w:szCs w:val="18"/>
                <w:lang w:val="fr-FR"/>
              </w:rPr>
              <w:t>Référence</w:t>
            </w:r>
            <w:bookmarkEnd w:id="10"/>
          </w:p>
        </w:tc>
        <w:tc>
          <w:tcPr>
            <w:tcW w:w="2552" w:type="dxa"/>
          </w:tcPr>
          <w:p w:rsidR="00B27F7A" w:rsidRPr="006A3913" w:rsidRDefault="00B27F7A" w:rsidP="00A3439E">
            <w:pPr>
              <w:spacing w:before="60" w:after="60"/>
              <w:ind w:left="57" w:right="57"/>
              <w:jc w:val="center"/>
              <w:rPr>
                <w:b/>
                <w:sz w:val="18"/>
                <w:szCs w:val="18"/>
              </w:rPr>
            </w:pPr>
            <w:bookmarkStart w:id="11" w:name="bookmark_26"/>
            <w:r w:rsidRPr="006A3913">
              <w:rPr>
                <w:b/>
                <w:sz w:val="18"/>
                <w:szCs w:val="18"/>
                <w:lang w:val="fr-FR"/>
              </w:rPr>
              <w:t>Titre du document</w:t>
            </w:r>
            <w:bookmarkEnd w:id="11"/>
          </w:p>
        </w:tc>
        <w:tc>
          <w:tcPr>
            <w:tcW w:w="1418" w:type="dxa"/>
          </w:tcPr>
          <w:p w:rsidR="00B27F7A" w:rsidRPr="006A3913" w:rsidRDefault="00B27F7A" w:rsidP="00A3439E">
            <w:pPr>
              <w:spacing w:before="60" w:after="60"/>
              <w:ind w:left="57" w:right="57"/>
              <w:jc w:val="center"/>
              <w:rPr>
                <w:b/>
                <w:sz w:val="18"/>
                <w:szCs w:val="18"/>
              </w:rPr>
            </w:pPr>
            <w:bookmarkStart w:id="12" w:name="bookmark_27"/>
            <w:r w:rsidRPr="006A3913">
              <w:rPr>
                <w:b/>
                <w:sz w:val="18"/>
                <w:szCs w:val="18"/>
                <w:lang w:val="fr-FR"/>
              </w:rPr>
              <w:t xml:space="preserve">Sous-sections </w:t>
            </w:r>
            <w:r w:rsidR="00A3439E">
              <w:rPr>
                <w:b/>
                <w:sz w:val="18"/>
                <w:szCs w:val="18"/>
                <w:lang w:val="fr-FR"/>
              </w:rPr>
              <w:br/>
            </w:r>
            <w:r w:rsidRPr="006A3913">
              <w:rPr>
                <w:b/>
                <w:sz w:val="18"/>
                <w:szCs w:val="18"/>
                <w:lang w:val="fr-FR"/>
              </w:rPr>
              <w:t>et paragraphes applicables</w:t>
            </w:r>
            <w:bookmarkEnd w:id="12"/>
          </w:p>
        </w:tc>
        <w:tc>
          <w:tcPr>
            <w:tcW w:w="1758" w:type="dxa"/>
          </w:tcPr>
          <w:p w:rsidR="00B27F7A" w:rsidRPr="006A3913" w:rsidRDefault="00B27F7A" w:rsidP="00A3439E">
            <w:pPr>
              <w:spacing w:before="60" w:after="60"/>
              <w:ind w:left="57" w:right="57"/>
              <w:jc w:val="center"/>
              <w:rPr>
                <w:b/>
                <w:sz w:val="18"/>
                <w:szCs w:val="18"/>
              </w:rPr>
            </w:pPr>
            <w:bookmarkStart w:id="13" w:name="bookmark_28"/>
            <w:r w:rsidRPr="006A3913">
              <w:rPr>
                <w:b/>
                <w:sz w:val="18"/>
                <w:szCs w:val="18"/>
                <w:lang w:val="fr-FR"/>
              </w:rPr>
              <w:t>Applicable pour les nouveaux agréments de type ou pour les renouvellements</w:t>
            </w:r>
            <w:bookmarkEnd w:id="13"/>
          </w:p>
        </w:tc>
        <w:tc>
          <w:tcPr>
            <w:tcW w:w="1361" w:type="dxa"/>
          </w:tcPr>
          <w:p w:rsidR="00B27F7A" w:rsidRPr="006A3913" w:rsidRDefault="00B27F7A" w:rsidP="00A3439E">
            <w:pPr>
              <w:spacing w:before="60" w:after="60"/>
              <w:ind w:left="57" w:right="57"/>
              <w:jc w:val="center"/>
              <w:rPr>
                <w:b/>
                <w:sz w:val="18"/>
                <w:szCs w:val="18"/>
              </w:rPr>
            </w:pPr>
            <w:bookmarkStart w:id="14" w:name="bookmark_29"/>
            <w:r w:rsidRPr="006A3913">
              <w:rPr>
                <w:b/>
                <w:sz w:val="18"/>
                <w:szCs w:val="18"/>
                <w:lang w:val="fr-FR"/>
              </w:rPr>
              <w:t>Date ultime de retrait des agréments de type existants</w:t>
            </w:r>
            <w:bookmarkEnd w:id="14"/>
          </w:p>
        </w:tc>
      </w:tr>
      <w:tr w:rsidR="00B27F7A" w:rsidRPr="00746BB0" w:rsidTr="00A3439E">
        <w:tc>
          <w:tcPr>
            <w:tcW w:w="1418" w:type="dxa"/>
          </w:tcPr>
          <w:p w:rsidR="00B27F7A" w:rsidRPr="00746BB0" w:rsidRDefault="00B27F7A" w:rsidP="00A3439E">
            <w:pPr>
              <w:spacing w:before="60" w:after="60"/>
              <w:ind w:left="57" w:right="57"/>
              <w:jc w:val="center"/>
              <w:rPr>
                <w:sz w:val="18"/>
                <w:szCs w:val="18"/>
              </w:rPr>
            </w:pPr>
            <w:bookmarkStart w:id="15" w:name="bookmark_30"/>
            <w:r>
              <w:rPr>
                <w:lang w:val="fr-FR"/>
              </w:rPr>
              <w:t>1)</w:t>
            </w:r>
            <w:bookmarkEnd w:id="15"/>
          </w:p>
        </w:tc>
        <w:tc>
          <w:tcPr>
            <w:tcW w:w="2552" w:type="dxa"/>
          </w:tcPr>
          <w:p w:rsidR="00B27F7A" w:rsidRPr="00746BB0" w:rsidRDefault="00B27F7A" w:rsidP="00A3439E">
            <w:pPr>
              <w:spacing w:before="60" w:after="60"/>
              <w:ind w:left="57" w:right="57"/>
              <w:jc w:val="center"/>
              <w:rPr>
                <w:sz w:val="18"/>
                <w:szCs w:val="18"/>
              </w:rPr>
            </w:pPr>
            <w:bookmarkStart w:id="16" w:name="bookmark_31"/>
            <w:r>
              <w:rPr>
                <w:lang w:val="fr-FR"/>
              </w:rPr>
              <w:t>2)</w:t>
            </w:r>
            <w:bookmarkEnd w:id="16"/>
          </w:p>
        </w:tc>
        <w:tc>
          <w:tcPr>
            <w:tcW w:w="1418" w:type="dxa"/>
          </w:tcPr>
          <w:p w:rsidR="00B27F7A" w:rsidRPr="00746BB0" w:rsidRDefault="00B27F7A" w:rsidP="00A3439E">
            <w:pPr>
              <w:spacing w:before="60" w:after="60"/>
              <w:ind w:left="57" w:right="57"/>
              <w:jc w:val="center"/>
              <w:rPr>
                <w:sz w:val="18"/>
                <w:szCs w:val="18"/>
              </w:rPr>
            </w:pPr>
            <w:bookmarkStart w:id="17" w:name="bookmark_32"/>
            <w:r>
              <w:rPr>
                <w:lang w:val="fr-FR"/>
              </w:rPr>
              <w:t>3)</w:t>
            </w:r>
            <w:bookmarkEnd w:id="17"/>
          </w:p>
        </w:tc>
        <w:tc>
          <w:tcPr>
            <w:tcW w:w="1758" w:type="dxa"/>
          </w:tcPr>
          <w:p w:rsidR="00B27F7A" w:rsidRPr="00746BB0" w:rsidRDefault="00B27F7A" w:rsidP="00A3439E">
            <w:pPr>
              <w:spacing w:before="60" w:after="60"/>
              <w:ind w:left="57" w:right="57"/>
              <w:jc w:val="center"/>
              <w:rPr>
                <w:sz w:val="18"/>
                <w:szCs w:val="18"/>
              </w:rPr>
            </w:pPr>
            <w:bookmarkStart w:id="18" w:name="bookmark_33"/>
            <w:r>
              <w:rPr>
                <w:lang w:val="fr-FR"/>
              </w:rPr>
              <w:t>4)</w:t>
            </w:r>
            <w:bookmarkEnd w:id="18"/>
          </w:p>
        </w:tc>
        <w:tc>
          <w:tcPr>
            <w:tcW w:w="1361" w:type="dxa"/>
          </w:tcPr>
          <w:p w:rsidR="00B27F7A" w:rsidRPr="00746BB0" w:rsidRDefault="00B27F7A" w:rsidP="00A3439E">
            <w:pPr>
              <w:spacing w:before="60" w:after="60"/>
              <w:ind w:left="57" w:right="57"/>
              <w:jc w:val="center"/>
            </w:pPr>
            <w:bookmarkStart w:id="19" w:name="bookmark_34"/>
            <w:r>
              <w:rPr>
                <w:lang w:val="fr-FR"/>
              </w:rPr>
              <w:t>5)</w:t>
            </w:r>
            <w:bookmarkEnd w:id="19"/>
          </w:p>
        </w:tc>
      </w:tr>
      <w:tr w:rsidR="00B27F7A" w:rsidRPr="006A3913" w:rsidTr="00A3439E">
        <w:tc>
          <w:tcPr>
            <w:tcW w:w="8507" w:type="dxa"/>
            <w:gridSpan w:val="5"/>
          </w:tcPr>
          <w:p w:rsidR="00B27F7A" w:rsidRPr="006A3913" w:rsidRDefault="00B27F7A" w:rsidP="00A3439E">
            <w:pPr>
              <w:spacing w:before="60" w:after="60"/>
              <w:ind w:left="57" w:right="57"/>
              <w:rPr>
                <w:b/>
                <w:i/>
                <w:sz w:val="18"/>
                <w:szCs w:val="18"/>
              </w:rPr>
            </w:pPr>
            <w:bookmarkStart w:id="20" w:name="bookmark_35"/>
            <w:r w:rsidRPr="006A3913">
              <w:rPr>
                <w:b/>
                <w:i/>
                <w:sz w:val="18"/>
                <w:szCs w:val="18"/>
                <w:lang w:val="fr-FR"/>
              </w:rPr>
              <w:t xml:space="preserve">Pour la conception et la construction des citernes </w:t>
            </w:r>
            <w:bookmarkEnd w:id="20"/>
          </w:p>
        </w:tc>
      </w:tr>
      <w:tr w:rsidR="00B27F7A" w:rsidRPr="00746BB0" w:rsidTr="00A3439E">
        <w:tc>
          <w:tcPr>
            <w:tcW w:w="8507" w:type="dxa"/>
            <w:gridSpan w:val="5"/>
          </w:tcPr>
          <w:p w:rsidR="00B27F7A" w:rsidRPr="00746BB0" w:rsidRDefault="00B27F7A" w:rsidP="00A3439E">
            <w:pPr>
              <w:spacing w:before="60" w:after="60"/>
              <w:ind w:left="57" w:right="57"/>
              <w:rPr>
                <w:sz w:val="18"/>
                <w:szCs w:val="18"/>
              </w:rPr>
            </w:pPr>
            <w:bookmarkStart w:id="21" w:name="bookmark_36"/>
            <w:r>
              <w:rPr>
                <w:lang w:val="fr-FR"/>
              </w:rPr>
              <w:t>(...)</w:t>
            </w:r>
            <w:bookmarkEnd w:id="21"/>
          </w:p>
        </w:tc>
      </w:tr>
      <w:tr w:rsidR="00B27F7A" w:rsidRPr="006A3913" w:rsidTr="00A3439E">
        <w:tc>
          <w:tcPr>
            <w:tcW w:w="1418" w:type="dxa"/>
          </w:tcPr>
          <w:p w:rsidR="00B27F7A" w:rsidRPr="006A3913" w:rsidRDefault="00B27F7A" w:rsidP="00A3439E">
            <w:pPr>
              <w:spacing w:before="60" w:after="60"/>
              <w:ind w:left="57" w:right="57"/>
              <w:rPr>
                <w:sz w:val="18"/>
                <w:szCs w:val="18"/>
              </w:rPr>
            </w:pPr>
            <w:bookmarkStart w:id="22" w:name="bookmark_37"/>
            <w:r w:rsidRPr="006A3913">
              <w:rPr>
                <w:sz w:val="18"/>
                <w:lang w:val="fr-FR"/>
              </w:rPr>
              <w:t>EN 14025:2013</w:t>
            </w:r>
            <w:bookmarkEnd w:id="22"/>
          </w:p>
        </w:tc>
        <w:tc>
          <w:tcPr>
            <w:tcW w:w="2552" w:type="dxa"/>
          </w:tcPr>
          <w:p w:rsidR="00B27F7A" w:rsidRPr="006A3913" w:rsidRDefault="00B27F7A" w:rsidP="00A3439E">
            <w:pPr>
              <w:spacing w:before="60" w:after="60"/>
              <w:ind w:left="57" w:right="57"/>
              <w:rPr>
                <w:sz w:val="18"/>
                <w:szCs w:val="18"/>
              </w:rPr>
            </w:pPr>
            <w:bookmarkStart w:id="23" w:name="bookmark_38"/>
            <w:r w:rsidRPr="006A3913">
              <w:rPr>
                <w:sz w:val="18"/>
                <w:lang w:val="fr-FR"/>
              </w:rPr>
              <w:t xml:space="preserve">Citernes destinées au transport de matières dangereuses − citernes métalliques sous pression − conception et fabrication </w:t>
            </w:r>
            <w:bookmarkEnd w:id="23"/>
          </w:p>
        </w:tc>
        <w:tc>
          <w:tcPr>
            <w:tcW w:w="1418" w:type="dxa"/>
          </w:tcPr>
          <w:p w:rsidR="00B27F7A" w:rsidRPr="006A3913" w:rsidRDefault="00B27F7A" w:rsidP="00A3439E">
            <w:pPr>
              <w:spacing w:before="60" w:after="60"/>
              <w:ind w:left="57" w:right="57"/>
              <w:rPr>
                <w:sz w:val="18"/>
                <w:szCs w:val="18"/>
              </w:rPr>
            </w:pPr>
            <w:bookmarkStart w:id="24" w:name="bookmark_39"/>
            <w:r w:rsidRPr="006A3913">
              <w:rPr>
                <w:sz w:val="18"/>
                <w:lang w:val="fr-FR"/>
              </w:rPr>
              <w:t xml:space="preserve">6.8.2.1 et </w:t>
            </w:r>
            <w:r w:rsidR="00E76FCE">
              <w:rPr>
                <w:sz w:val="18"/>
                <w:lang w:val="fr-FR"/>
              </w:rPr>
              <w:br/>
            </w:r>
            <w:r w:rsidRPr="006A3913">
              <w:rPr>
                <w:sz w:val="18"/>
                <w:lang w:val="fr-FR"/>
              </w:rPr>
              <w:t xml:space="preserve">6.8.3.1 </w:t>
            </w:r>
            <w:bookmarkEnd w:id="24"/>
          </w:p>
        </w:tc>
        <w:tc>
          <w:tcPr>
            <w:tcW w:w="1758" w:type="dxa"/>
          </w:tcPr>
          <w:p w:rsidR="00B27F7A" w:rsidRPr="006A3913" w:rsidRDefault="00B27F7A" w:rsidP="00E9103F">
            <w:pPr>
              <w:spacing w:before="60" w:after="60"/>
              <w:ind w:left="57" w:right="57"/>
              <w:jc w:val="center"/>
              <w:rPr>
                <w:sz w:val="18"/>
                <w:szCs w:val="18"/>
              </w:rPr>
            </w:pPr>
            <w:bookmarkStart w:id="25" w:name="bookmark_40"/>
            <w:r w:rsidRPr="006A3913">
              <w:rPr>
                <w:sz w:val="18"/>
                <w:lang w:val="fr-FR"/>
              </w:rPr>
              <w:t>Entre</w:t>
            </w:r>
            <w:bookmarkEnd w:id="25"/>
            <w:r w:rsidR="00C067C6">
              <w:rPr>
                <w:sz w:val="18"/>
                <w:lang w:val="fr-FR"/>
              </w:rPr>
              <w:t xml:space="preserve"> </w:t>
            </w:r>
            <w:bookmarkStart w:id="26" w:name="bookmark_41"/>
            <w:r w:rsidR="00C067C6">
              <w:rPr>
                <w:sz w:val="18"/>
                <w:lang w:val="fr-FR"/>
              </w:rPr>
              <w:br/>
            </w:r>
            <w:r w:rsidRPr="006A3913">
              <w:rPr>
                <w:sz w:val="18"/>
                <w:lang w:val="fr-FR"/>
              </w:rPr>
              <w:t>le</w:t>
            </w:r>
            <w:r w:rsidR="00C067C6">
              <w:rPr>
                <w:sz w:val="18"/>
                <w:lang w:val="fr-FR"/>
              </w:rPr>
              <w:t xml:space="preserve"> </w:t>
            </w:r>
            <w:r w:rsidRPr="006A3913">
              <w:rPr>
                <w:sz w:val="18"/>
                <w:lang w:val="fr-FR"/>
              </w:rPr>
              <w:t>1</w:t>
            </w:r>
            <w:r w:rsidRPr="006A3913">
              <w:rPr>
                <w:sz w:val="18"/>
                <w:vertAlign w:val="superscript"/>
                <w:lang w:val="fr-FR"/>
              </w:rPr>
              <w:t>er</w:t>
            </w:r>
            <w:r w:rsidR="00E9103F">
              <w:rPr>
                <w:sz w:val="18"/>
                <w:lang w:val="fr-FR"/>
              </w:rPr>
              <w:t> </w:t>
            </w:r>
            <w:r w:rsidRPr="006A3913">
              <w:rPr>
                <w:sz w:val="18"/>
                <w:lang w:val="fr-FR"/>
              </w:rPr>
              <w:t xml:space="preserve">janvier 2015 et </w:t>
            </w:r>
            <w:r w:rsidR="00C067C6">
              <w:rPr>
                <w:sz w:val="18"/>
                <w:lang w:val="fr-FR"/>
              </w:rPr>
              <w:br/>
            </w:r>
            <w:r w:rsidRPr="006A3913">
              <w:rPr>
                <w:sz w:val="18"/>
                <w:lang w:val="fr-FR"/>
              </w:rPr>
              <w:t>le 31</w:t>
            </w:r>
            <w:r w:rsidR="00E9103F">
              <w:rPr>
                <w:sz w:val="18"/>
                <w:lang w:val="fr-FR"/>
              </w:rPr>
              <w:t> </w:t>
            </w:r>
            <w:r w:rsidRPr="006A3913">
              <w:rPr>
                <w:sz w:val="18"/>
                <w:lang w:val="fr-FR"/>
              </w:rPr>
              <w:t>décembre 2018</w:t>
            </w:r>
            <w:bookmarkEnd w:id="26"/>
          </w:p>
        </w:tc>
        <w:tc>
          <w:tcPr>
            <w:tcW w:w="1361" w:type="dxa"/>
          </w:tcPr>
          <w:p w:rsidR="00B27F7A" w:rsidRPr="006A3913" w:rsidRDefault="00B27F7A" w:rsidP="00A3439E">
            <w:pPr>
              <w:spacing w:before="60" w:after="60"/>
              <w:ind w:left="57" w:right="57"/>
              <w:rPr>
                <w:sz w:val="18"/>
              </w:rPr>
            </w:pPr>
          </w:p>
        </w:tc>
      </w:tr>
      <w:tr w:rsidR="00B27F7A" w:rsidRPr="006A3913" w:rsidTr="00A3439E">
        <w:tc>
          <w:tcPr>
            <w:tcW w:w="1418" w:type="dxa"/>
          </w:tcPr>
          <w:p w:rsidR="00B27F7A" w:rsidRPr="006A3913" w:rsidRDefault="00B27F7A" w:rsidP="00A3439E">
            <w:pPr>
              <w:spacing w:before="60" w:after="60"/>
              <w:ind w:left="57" w:right="57"/>
              <w:rPr>
                <w:sz w:val="18"/>
                <w:szCs w:val="18"/>
              </w:rPr>
            </w:pPr>
            <w:bookmarkStart w:id="27" w:name="bookmark_42"/>
            <w:r w:rsidRPr="006A3913">
              <w:rPr>
                <w:sz w:val="18"/>
                <w:lang w:val="fr-FR"/>
              </w:rPr>
              <w:t xml:space="preserve">EN 14025:2013 </w:t>
            </w:r>
            <w:r w:rsidR="00E76FCE">
              <w:rPr>
                <w:sz w:val="18"/>
                <w:lang w:val="fr-FR"/>
              </w:rPr>
              <w:br/>
            </w:r>
            <w:r w:rsidRPr="006A3913">
              <w:rPr>
                <w:sz w:val="18"/>
                <w:lang w:val="fr-FR"/>
              </w:rPr>
              <w:t xml:space="preserve">+ A1:2016 </w:t>
            </w:r>
            <w:r w:rsidR="00E76FCE">
              <w:rPr>
                <w:sz w:val="18"/>
                <w:lang w:val="fr-FR"/>
              </w:rPr>
              <w:br/>
            </w:r>
            <w:r w:rsidRPr="006A3913">
              <w:rPr>
                <w:sz w:val="18"/>
                <w:lang w:val="fr-FR"/>
              </w:rPr>
              <w:t>(sauf</w:t>
            </w:r>
            <w:r w:rsidR="00E9103F">
              <w:rPr>
                <w:sz w:val="18"/>
                <w:lang w:val="fr-FR"/>
              </w:rPr>
              <w:t xml:space="preserve"> </w:t>
            </w:r>
            <w:r w:rsidRPr="006A3913">
              <w:rPr>
                <w:sz w:val="18"/>
                <w:lang w:val="fr-FR"/>
              </w:rPr>
              <w:t xml:space="preserve">annexe B) </w:t>
            </w:r>
            <w:bookmarkEnd w:id="27"/>
          </w:p>
        </w:tc>
        <w:tc>
          <w:tcPr>
            <w:tcW w:w="2552" w:type="dxa"/>
          </w:tcPr>
          <w:p w:rsidR="00B27F7A" w:rsidRPr="006A3913" w:rsidRDefault="00B27F7A" w:rsidP="00A3439E">
            <w:pPr>
              <w:spacing w:before="60" w:after="60"/>
              <w:ind w:left="57" w:right="57"/>
              <w:rPr>
                <w:sz w:val="18"/>
                <w:szCs w:val="18"/>
              </w:rPr>
            </w:pPr>
            <w:bookmarkStart w:id="28" w:name="bookmark_43"/>
            <w:r w:rsidRPr="006A3913">
              <w:rPr>
                <w:sz w:val="18"/>
                <w:lang w:val="fr-FR"/>
              </w:rPr>
              <w:t xml:space="preserve">Citernes destinées au transport de matières dangereuses − citernes métalliques sous pression − conception et fabrication </w:t>
            </w:r>
            <w:bookmarkEnd w:id="28"/>
          </w:p>
        </w:tc>
        <w:tc>
          <w:tcPr>
            <w:tcW w:w="1418" w:type="dxa"/>
          </w:tcPr>
          <w:p w:rsidR="00B27F7A" w:rsidRPr="006A3913" w:rsidRDefault="00B27F7A" w:rsidP="00A3439E">
            <w:pPr>
              <w:spacing w:before="60" w:after="60"/>
              <w:ind w:left="57" w:right="57"/>
              <w:rPr>
                <w:sz w:val="18"/>
                <w:szCs w:val="18"/>
              </w:rPr>
            </w:pPr>
            <w:bookmarkStart w:id="29" w:name="bookmark_44"/>
            <w:r w:rsidRPr="006A3913">
              <w:rPr>
                <w:sz w:val="18"/>
                <w:lang w:val="fr-FR"/>
              </w:rPr>
              <w:t xml:space="preserve">6.8.2.1 et </w:t>
            </w:r>
            <w:r w:rsidR="00E76FCE">
              <w:rPr>
                <w:sz w:val="18"/>
                <w:lang w:val="fr-FR"/>
              </w:rPr>
              <w:br/>
            </w:r>
            <w:r w:rsidRPr="006A3913">
              <w:rPr>
                <w:sz w:val="18"/>
                <w:lang w:val="fr-FR"/>
              </w:rPr>
              <w:t xml:space="preserve">6.8.3.1 </w:t>
            </w:r>
            <w:bookmarkEnd w:id="29"/>
          </w:p>
        </w:tc>
        <w:tc>
          <w:tcPr>
            <w:tcW w:w="1758" w:type="dxa"/>
          </w:tcPr>
          <w:p w:rsidR="00B27F7A" w:rsidRPr="006A3913" w:rsidRDefault="00B27F7A" w:rsidP="00A3439E">
            <w:pPr>
              <w:spacing w:before="60" w:after="60"/>
              <w:ind w:left="57" w:right="57"/>
              <w:rPr>
                <w:sz w:val="18"/>
                <w:szCs w:val="18"/>
              </w:rPr>
            </w:pPr>
            <w:bookmarkStart w:id="30" w:name="bookmark_45"/>
            <w:r w:rsidRPr="006A3913">
              <w:rPr>
                <w:sz w:val="18"/>
                <w:lang w:val="fr-FR"/>
              </w:rPr>
              <w:t>Jusqu</w:t>
            </w:r>
            <w:r w:rsidR="004D06BE">
              <w:rPr>
                <w:sz w:val="18"/>
                <w:lang w:val="fr-FR"/>
              </w:rPr>
              <w:t>’</w:t>
            </w:r>
            <w:r w:rsidRPr="006A3913">
              <w:rPr>
                <w:sz w:val="18"/>
                <w:lang w:val="fr-FR"/>
              </w:rPr>
              <w:t>à nouvel ordre</w:t>
            </w:r>
            <w:bookmarkEnd w:id="30"/>
          </w:p>
        </w:tc>
        <w:tc>
          <w:tcPr>
            <w:tcW w:w="1361" w:type="dxa"/>
          </w:tcPr>
          <w:p w:rsidR="00B27F7A" w:rsidRPr="006A3913" w:rsidRDefault="00B27F7A" w:rsidP="00A3439E">
            <w:pPr>
              <w:spacing w:before="60" w:after="60"/>
              <w:ind w:left="57" w:right="57"/>
              <w:rPr>
                <w:sz w:val="18"/>
              </w:rPr>
            </w:pPr>
          </w:p>
        </w:tc>
      </w:tr>
    </w:tbl>
    <w:p w:rsidR="00B27F7A" w:rsidRPr="0062712B" w:rsidRDefault="00B27F7A" w:rsidP="00A3439E">
      <w:pPr>
        <w:pStyle w:val="SingleTxtG"/>
        <w:spacing w:before="240"/>
      </w:pPr>
      <w:bookmarkStart w:id="31" w:name="bookmark_46"/>
      <w:r>
        <w:rPr>
          <w:lang w:val="fr-FR"/>
        </w:rPr>
        <w:t>2.</w:t>
      </w:r>
      <w:r>
        <w:rPr>
          <w:lang w:val="fr-FR"/>
        </w:rPr>
        <w:tab/>
      </w:r>
      <w:r w:rsidRPr="00E76FCE">
        <w:rPr>
          <w:spacing w:val="-2"/>
          <w:lang w:val="fr-FR"/>
        </w:rPr>
        <w:t>Dans ces deux normes EN 14025 figurent des références à la norme EN ISO 15614-1</w:t>
      </w:r>
      <w:r>
        <w:rPr>
          <w:lang w:val="fr-FR"/>
        </w:rPr>
        <w:t xml:space="preserve"> «</w:t>
      </w:r>
      <w:r w:rsidR="00E9103F">
        <w:rPr>
          <w:lang w:val="fr-FR"/>
        </w:rPr>
        <w:t> </w:t>
      </w:r>
      <w:r>
        <w:rPr>
          <w:lang w:val="fr-FR"/>
        </w:rPr>
        <w:t>Descriptif et qualification d</w:t>
      </w:r>
      <w:r w:rsidR="004D06BE">
        <w:rPr>
          <w:lang w:val="fr-FR"/>
        </w:rPr>
        <w:t>’</w:t>
      </w:r>
      <w:r>
        <w:rPr>
          <w:lang w:val="fr-FR"/>
        </w:rPr>
        <w:t xml:space="preserve">un mode opératoire de soudage pour les matériaux métalliques </w:t>
      </w:r>
      <w:r w:rsidR="00E9103F">
        <w:rPr>
          <w:lang w:val="fr-FR"/>
        </w:rPr>
        <w:t>−</w:t>
      </w:r>
      <w:r>
        <w:rPr>
          <w:lang w:val="fr-FR"/>
        </w:rPr>
        <w:t xml:space="preserve"> Épreuve de qualification d</w:t>
      </w:r>
      <w:r w:rsidR="004D06BE">
        <w:rPr>
          <w:lang w:val="fr-FR"/>
        </w:rPr>
        <w:t>’</w:t>
      </w:r>
      <w:r>
        <w:rPr>
          <w:lang w:val="fr-FR"/>
        </w:rPr>
        <w:t xml:space="preserve">un mode opératoire de soudage </w:t>
      </w:r>
      <w:r w:rsidR="00E9103F">
        <w:rPr>
          <w:lang w:val="fr-FR"/>
        </w:rPr>
        <w:t>−</w:t>
      </w:r>
      <w:r>
        <w:rPr>
          <w:lang w:val="fr-FR"/>
        </w:rPr>
        <w:t xml:space="preserve"> Partie 1</w:t>
      </w:r>
      <w:r w:rsidR="00E9103F">
        <w:rPr>
          <w:lang w:val="fr-FR"/>
        </w:rPr>
        <w:t> :</w:t>
      </w:r>
      <w:r>
        <w:rPr>
          <w:lang w:val="fr-FR"/>
        </w:rPr>
        <w:t xml:space="preserve"> Soudage à l</w:t>
      </w:r>
      <w:r w:rsidR="004D06BE">
        <w:rPr>
          <w:lang w:val="fr-FR"/>
        </w:rPr>
        <w:t>’</w:t>
      </w:r>
      <w:r>
        <w:rPr>
          <w:lang w:val="fr-FR"/>
        </w:rPr>
        <w:t>arc et aux gaz des aciers et soudage à l</w:t>
      </w:r>
      <w:r w:rsidR="004D06BE">
        <w:rPr>
          <w:lang w:val="fr-FR"/>
        </w:rPr>
        <w:t>’</w:t>
      </w:r>
      <w:r>
        <w:rPr>
          <w:lang w:val="fr-FR"/>
        </w:rPr>
        <w:t>arc du nickel et des alliages de nickel</w:t>
      </w:r>
      <w:r w:rsidR="00E9103F">
        <w:rPr>
          <w:lang w:val="fr-FR"/>
        </w:rPr>
        <w:t> </w:t>
      </w:r>
      <w:r>
        <w:rPr>
          <w:lang w:val="fr-FR"/>
        </w:rPr>
        <w:t xml:space="preserve">». Le chapitre 7.4 de la norme EN 14025 prévoit que les </w:t>
      </w:r>
      <w:r w:rsidRPr="006A3913">
        <w:rPr>
          <w:lang w:val="fr-FR"/>
        </w:rPr>
        <w:t>mode</w:t>
      </w:r>
      <w:r>
        <w:rPr>
          <w:lang w:val="fr-FR"/>
        </w:rPr>
        <w:t>s</w:t>
      </w:r>
      <w:r w:rsidRPr="006A3913">
        <w:rPr>
          <w:lang w:val="fr-FR"/>
        </w:rPr>
        <w:t xml:space="preserve"> opératoire</w:t>
      </w:r>
      <w:r>
        <w:rPr>
          <w:lang w:val="fr-FR"/>
        </w:rPr>
        <w:t>s</w:t>
      </w:r>
      <w:r w:rsidRPr="006A3913">
        <w:rPr>
          <w:lang w:val="fr-FR"/>
        </w:rPr>
        <w:t xml:space="preserve"> </w:t>
      </w:r>
      <w:r>
        <w:rPr>
          <w:lang w:val="fr-FR"/>
        </w:rPr>
        <w:t>de soudage doivent être homologués conformément à la norme EN ISO 15614-1, entre autres. Le chapitre 8, relatif aux réparations, exige que les réparations, y compris le dépôt de métal d</w:t>
      </w:r>
      <w:r w:rsidR="004D06BE">
        <w:rPr>
          <w:lang w:val="fr-FR"/>
        </w:rPr>
        <w:t>’</w:t>
      </w:r>
      <w:r>
        <w:rPr>
          <w:lang w:val="fr-FR"/>
        </w:rPr>
        <w:t>apport, soient effectuées conformément à un mode opératoire qualifié conformément à la norme EN ISO 15614-1, entre autres.</w:t>
      </w:r>
      <w:bookmarkEnd w:id="31"/>
    </w:p>
    <w:p w:rsidR="00B27F7A" w:rsidRDefault="00B27F7A" w:rsidP="00D17313">
      <w:pPr>
        <w:pStyle w:val="SingleTxtG"/>
      </w:pPr>
      <w:bookmarkStart w:id="32" w:name="bookmark_47"/>
      <w:r>
        <w:rPr>
          <w:lang w:val="fr-FR"/>
        </w:rPr>
        <w:t>3.</w:t>
      </w:r>
      <w:r>
        <w:rPr>
          <w:lang w:val="fr-FR"/>
        </w:rPr>
        <w:tab/>
        <w:t>La référence à la norme EN ISO 15614-1 figurant dans les normes EN 14025 n</w:t>
      </w:r>
      <w:r w:rsidR="004D06BE">
        <w:rPr>
          <w:lang w:val="fr-FR"/>
        </w:rPr>
        <w:t>’</w:t>
      </w:r>
      <w:r>
        <w:rPr>
          <w:lang w:val="fr-FR"/>
        </w:rPr>
        <w:t>est pas datée. Conformément à la règle générale qui régit les références à des normes, on peut donc supposer que c</w:t>
      </w:r>
      <w:r w:rsidR="004D06BE">
        <w:rPr>
          <w:lang w:val="fr-FR"/>
        </w:rPr>
        <w:t>’</w:t>
      </w:r>
      <w:r>
        <w:rPr>
          <w:lang w:val="fr-FR"/>
        </w:rPr>
        <w:t>est la dernière édition du document de référence (y compris les amendements éventuels) qui doit être appliquée.</w:t>
      </w:r>
      <w:bookmarkEnd w:id="32"/>
    </w:p>
    <w:p w:rsidR="00B27F7A" w:rsidRDefault="00B27F7A" w:rsidP="00D17313">
      <w:pPr>
        <w:pStyle w:val="SingleTxtG"/>
      </w:pPr>
      <w:bookmarkStart w:id="33" w:name="bookmark_48"/>
      <w:r>
        <w:rPr>
          <w:lang w:val="fr-FR"/>
        </w:rPr>
        <w:t>4.</w:t>
      </w:r>
      <w:r>
        <w:rPr>
          <w:lang w:val="fr-FR"/>
        </w:rPr>
        <w:tab/>
        <w:t>La norme ISO 15614-1 a été récemment révisée par le Comité technique ISO/TC 44 «</w:t>
      </w:r>
      <w:r w:rsidR="00E9103F">
        <w:rPr>
          <w:lang w:val="fr-FR"/>
        </w:rPr>
        <w:t> </w:t>
      </w:r>
      <w:r>
        <w:rPr>
          <w:lang w:val="fr-FR"/>
        </w:rPr>
        <w:t>Soudage et techniques connexes</w:t>
      </w:r>
      <w:r w:rsidR="00E9103F">
        <w:rPr>
          <w:lang w:val="fr-FR"/>
        </w:rPr>
        <w:t> </w:t>
      </w:r>
      <w:r>
        <w:rPr>
          <w:lang w:val="fr-FR"/>
        </w:rPr>
        <w:t>» et par le Comité technique CEN/TC 121 «</w:t>
      </w:r>
      <w:r w:rsidR="00E9103F">
        <w:rPr>
          <w:lang w:val="fr-FR"/>
        </w:rPr>
        <w:t> </w:t>
      </w:r>
      <w:r>
        <w:rPr>
          <w:lang w:val="fr-FR"/>
        </w:rPr>
        <w:t>Soudage et techniques connexes</w:t>
      </w:r>
      <w:r w:rsidR="00E9103F">
        <w:rPr>
          <w:lang w:val="fr-FR"/>
        </w:rPr>
        <w:t> </w:t>
      </w:r>
      <w:r>
        <w:rPr>
          <w:lang w:val="fr-FR"/>
        </w:rPr>
        <w:t xml:space="preserve">». La nouvelle version a été publiée en juin 2017 en tant que norme EN ISO 15614-1:2017. Comme il est stipulé dans la norme, les pays membres du </w:t>
      </w:r>
      <w:r w:rsidRPr="005061E4">
        <w:rPr>
          <w:lang w:val="fr-FR"/>
        </w:rPr>
        <w:t xml:space="preserve">Comité européen de normalisation </w:t>
      </w:r>
      <w:r>
        <w:rPr>
          <w:lang w:val="fr-FR"/>
        </w:rPr>
        <w:t>(CEN) doivent l</w:t>
      </w:r>
      <w:r w:rsidR="004D06BE">
        <w:rPr>
          <w:lang w:val="fr-FR"/>
        </w:rPr>
        <w:t>’</w:t>
      </w:r>
      <w:r>
        <w:rPr>
          <w:lang w:val="fr-FR"/>
        </w:rPr>
        <w:t>ériger en norme nationale en décembre 2017 au plus tard.</w:t>
      </w:r>
      <w:bookmarkEnd w:id="33"/>
    </w:p>
    <w:p w:rsidR="00B27F7A" w:rsidRDefault="00B27F7A" w:rsidP="00D17313">
      <w:pPr>
        <w:pStyle w:val="SingleTxtG"/>
      </w:pPr>
      <w:bookmarkStart w:id="34" w:name="bookmark_49"/>
      <w:r>
        <w:rPr>
          <w:lang w:val="fr-FR"/>
        </w:rPr>
        <w:t>5.</w:t>
      </w:r>
      <w:r>
        <w:rPr>
          <w:lang w:val="fr-FR"/>
        </w:rPr>
        <w:tab/>
        <w:t>Le principal changement par rapport à la norme EN ISO 15614-1 est la mise en place de deux niveaux d</w:t>
      </w:r>
      <w:r w:rsidR="004D06BE">
        <w:rPr>
          <w:lang w:val="fr-FR"/>
        </w:rPr>
        <w:t>’</w:t>
      </w:r>
      <w:r>
        <w:rPr>
          <w:lang w:val="fr-FR"/>
        </w:rPr>
        <w:t>épreuves concernant le mode opératoire de soudage, respectivement dénommés niveau 1 et niveau 2. Le niveau 1 est fondé sur les prescriptions de la section IX du Boiler and Pressure Vessel Code (Code des chaudières et récipients à pression) de l</w:t>
      </w:r>
      <w:r w:rsidR="004D06BE">
        <w:rPr>
          <w:lang w:val="fr-FR"/>
        </w:rPr>
        <w:t>’</w:t>
      </w:r>
      <w:r>
        <w:rPr>
          <w:lang w:val="fr-FR"/>
        </w:rPr>
        <w:t>American Society of Mechanical Engineers (Société américaine des ingénieurs mécaniciens) (ASME IX) et le niveau 2 est fondé sur les éditions précédentes de la norme ISO 15614-1.</w:t>
      </w:r>
      <w:bookmarkEnd w:id="34"/>
    </w:p>
    <w:p w:rsidR="00B27F7A" w:rsidRDefault="00B27F7A" w:rsidP="00D17313">
      <w:pPr>
        <w:pStyle w:val="SingleTxtG"/>
      </w:pPr>
      <w:bookmarkStart w:id="35" w:name="bookmark_50"/>
      <w:r>
        <w:rPr>
          <w:lang w:val="fr-FR"/>
        </w:rPr>
        <w:lastRenderedPageBreak/>
        <w:t>6.</w:t>
      </w:r>
      <w:r>
        <w:rPr>
          <w:lang w:val="fr-FR"/>
        </w:rPr>
        <w:tab/>
        <w:t>La Pologne est d</w:t>
      </w:r>
      <w:r w:rsidR="004D06BE">
        <w:rPr>
          <w:lang w:val="fr-FR"/>
        </w:rPr>
        <w:t>’</w:t>
      </w:r>
      <w:r>
        <w:rPr>
          <w:lang w:val="fr-FR"/>
        </w:rPr>
        <w:t>avis que, pour éviter des pratiques divergentes dans l</w:t>
      </w:r>
      <w:r w:rsidR="004D06BE">
        <w:rPr>
          <w:lang w:val="fr-FR"/>
        </w:rPr>
        <w:t>’</w:t>
      </w:r>
      <w:r>
        <w:rPr>
          <w:lang w:val="fr-FR"/>
        </w:rPr>
        <w:t>application des prescriptions de la norme EN ISO 15614-1 relative aux modes opératoires de soudage, il serait souhaitable de préciser lequel des niveaux d</w:t>
      </w:r>
      <w:r w:rsidR="004D06BE">
        <w:rPr>
          <w:lang w:val="fr-FR"/>
        </w:rPr>
        <w:t>’</w:t>
      </w:r>
      <w:r>
        <w:rPr>
          <w:lang w:val="fr-FR"/>
        </w:rPr>
        <w:t xml:space="preserve">épreuves concernant les modes opératoires de soudage décrits dans la norme EN ISO 15614-1:2017 doit être utilisé. </w:t>
      </w:r>
      <w:bookmarkEnd w:id="35"/>
    </w:p>
    <w:p w:rsidR="00B27F7A" w:rsidRPr="00F8739D" w:rsidRDefault="00B27F7A" w:rsidP="00D17313">
      <w:pPr>
        <w:pStyle w:val="SingleTxtG"/>
      </w:pPr>
      <w:bookmarkStart w:id="36" w:name="bookmark_51"/>
      <w:r>
        <w:rPr>
          <w:lang w:val="fr-FR"/>
        </w:rPr>
        <w:t>7.</w:t>
      </w:r>
      <w:r>
        <w:rPr>
          <w:lang w:val="fr-FR"/>
        </w:rPr>
        <w:tab/>
        <w:t>De l</w:t>
      </w:r>
      <w:r w:rsidR="004D06BE">
        <w:rPr>
          <w:lang w:val="fr-FR"/>
        </w:rPr>
        <w:t>’</w:t>
      </w:r>
      <w:r>
        <w:rPr>
          <w:lang w:val="fr-FR"/>
        </w:rPr>
        <w:t>avis de la Pologne, le niveau 2 devrait être appliqué. Premièrement, parce qu</w:t>
      </w:r>
      <w:r w:rsidR="004D06BE">
        <w:rPr>
          <w:lang w:val="fr-FR"/>
        </w:rPr>
        <w:t>’</w:t>
      </w:r>
      <w:r>
        <w:rPr>
          <w:lang w:val="fr-FR"/>
        </w:rPr>
        <w:t>il est fondé sur l</w:t>
      </w:r>
      <w:r w:rsidR="004D06BE">
        <w:rPr>
          <w:lang w:val="fr-FR"/>
        </w:rPr>
        <w:t>’</w:t>
      </w:r>
      <w:r>
        <w:rPr>
          <w:lang w:val="fr-FR"/>
        </w:rPr>
        <w:t>édition précédente de la norme EN ISO 15614-1. Il découle de la norme que, si aucune prescription particulière n</w:t>
      </w:r>
      <w:r w:rsidR="004D06BE">
        <w:rPr>
          <w:lang w:val="fr-FR"/>
        </w:rPr>
        <w:t>’</w:t>
      </w:r>
      <w:r>
        <w:rPr>
          <w:lang w:val="fr-FR"/>
        </w:rPr>
        <w:t>est mentionnée, le niveau 2 devrait s</w:t>
      </w:r>
      <w:r w:rsidR="004D06BE">
        <w:rPr>
          <w:lang w:val="fr-FR"/>
        </w:rPr>
        <w:t>’</w:t>
      </w:r>
      <w:r>
        <w:rPr>
          <w:lang w:val="fr-FR"/>
        </w:rPr>
        <w:t>appliquer et, surtout, le niveau 2 garantit un niveau de sécurité plus élevé que le niveau 1. Deuxièmement, le niveau 2 est indiqué dans l</w:t>
      </w:r>
      <w:r w:rsidR="004D06BE">
        <w:rPr>
          <w:lang w:val="fr-FR"/>
        </w:rPr>
        <w:t>’</w:t>
      </w:r>
      <w:r>
        <w:rPr>
          <w:lang w:val="fr-FR"/>
        </w:rPr>
        <w:t>annexe informative ZA relative à la directive européenne 2014/68/UE (Équipements sous pression).</w:t>
      </w:r>
      <w:bookmarkEnd w:id="36"/>
    </w:p>
    <w:p w:rsidR="00B27F7A" w:rsidRDefault="00B27F7A" w:rsidP="00D17313">
      <w:pPr>
        <w:pStyle w:val="SingleTxtG"/>
      </w:pPr>
      <w:bookmarkStart w:id="37" w:name="bookmark_52"/>
      <w:r>
        <w:rPr>
          <w:lang w:val="fr-FR"/>
        </w:rPr>
        <w:t>8.</w:t>
      </w:r>
      <w:r>
        <w:rPr>
          <w:lang w:val="fr-FR"/>
        </w:rPr>
        <w:tab/>
        <w:t>La question avait déjà été soulevée lors de la huitième session du groupe de travail permanent de la Commission d</w:t>
      </w:r>
      <w:r w:rsidR="004D06BE">
        <w:rPr>
          <w:lang w:val="fr-FR"/>
        </w:rPr>
        <w:t>’</w:t>
      </w:r>
      <w:r>
        <w:rPr>
          <w:lang w:val="fr-FR"/>
        </w:rPr>
        <w:t>experts du RID (Utrecht, du 20 au 24</w:t>
      </w:r>
      <w:r w:rsidR="00E9103F">
        <w:rPr>
          <w:lang w:val="fr-FR"/>
        </w:rPr>
        <w:t> </w:t>
      </w:r>
      <w:r>
        <w:rPr>
          <w:lang w:val="fr-FR"/>
        </w:rPr>
        <w:t>novembre 2017). Étant donné que la question concernait à la fois le RID et l</w:t>
      </w:r>
      <w:r w:rsidR="004D06BE">
        <w:rPr>
          <w:lang w:val="fr-FR"/>
        </w:rPr>
        <w:t>’</w:t>
      </w:r>
      <w:r>
        <w:rPr>
          <w:lang w:val="fr-FR"/>
        </w:rPr>
        <w:t>ADR, le groupe de travail permanent a demandé au représentant de la Pologne de soumettre son document au groupe de travail des citernes de la Réunion commune. Le groupe de travail permanent a également suggéré que le groupe de travail des normes de la Réunion commune vérifie s</w:t>
      </w:r>
      <w:r w:rsidR="004D06BE">
        <w:rPr>
          <w:lang w:val="fr-FR"/>
        </w:rPr>
        <w:t>’</w:t>
      </w:r>
      <w:r>
        <w:rPr>
          <w:lang w:val="fr-FR"/>
        </w:rPr>
        <w:t>il serait opportun de faire directement référence à la norme EN ISO 15614-1:2017 indiquant le niveau d</w:t>
      </w:r>
      <w:r w:rsidR="004D06BE">
        <w:rPr>
          <w:lang w:val="fr-FR"/>
        </w:rPr>
        <w:t>’</w:t>
      </w:r>
      <w:r>
        <w:rPr>
          <w:lang w:val="fr-FR"/>
        </w:rPr>
        <w:t>épreuves.</w:t>
      </w:r>
      <w:bookmarkEnd w:id="37"/>
    </w:p>
    <w:p w:rsidR="00B27F7A" w:rsidRDefault="00B27F7A" w:rsidP="00D17313">
      <w:pPr>
        <w:pStyle w:val="SingleTxtG"/>
        <w:rPr>
          <w:lang w:val="fr-FR"/>
        </w:rPr>
      </w:pPr>
      <w:bookmarkStart w:id="38" w:name="bookmark_53"/>
      <w:r>
        <w:rPr>
          <w:lang w:val="fr-FR"/>
        </w:rPr>
        <w:t>9.</w:t>
      </w:r>
      <w:r>
        <w:rPr>
          <w:lang w:val="fr-FR"/>
        </w:rPr>
        <w:tab/>
        <w:t>Compte tenu de ce qui précède, la Pologne souhaiterait demander à la Réunion commune de soumettre le document au groupe de travail des citernes pour examen et, éventuellement, au groupe de travail des normes comme suggéré par le groupe de travail permanent de la Commission d</w:t>
      </w:r>
      <w:r w:rsidR="004D06BE">
        <w:rPr>
          <w:lang w:val="fr-FR"/>
        </w:rPr>
        <w:t>’</w:t>
      </w:r>
      <w:r>
        <w:rPr>
          <w:lang w:val="fr-FR"/>
        </w:rPr>
        <w:t>experts du RID.</w:t>
      </w:r>
      <w:bookmarkEnd w:id="38"/>
    </w:p>
    <w:p w:rsidR="00D17313" w:rsidRPr="00D17313" w:rsidRDefault="00D17313" w:rsidP="00D17313">
      <w:pPr>
        <w:pStyle w:val="SingleTxtG"/>
        <w:spacing w:before="240" w:after="0"/>
        <w:jc w:val="center"/>
        <w:rPr>
          <w:u w:val="single"/>
        </w:rPr>
      </w:pPr>
      <w:r>
        <w:rPr>
          <w:u w:val="single"/>
        </w:rPr>
        <w:tab/>
      </w:r>
      <w:r>
        <w:rPr>
          <w:u w:val="single"/>
        </w:rPr>
        <w:tab/>
      </w:r>
      <w:r>
        <w:rPr>
          <w:u w:val="single"/>
        </w:rPr>
        <w:tab/>
      </w:r>
    </w:p>
    <w:sectPr w:rsidR="00D17313" w:rsidRPr="00D17313" w:rsidSect="00B27F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8" w:rsidRDefault="00782238" w:rsidP="00F95C08">
      <w:pPr>
        <w:spacing w:line="240" w:lineRule="auto"/>
      </w:pPr>
    </w:p>
  </w:endnote>
  <w:endnote w:type="continuationSeparator" w:id="0">
    <w:p w:rsidR="00782238" w:rsidRPr="00AC3823" w:rsidRDefault="00782238" w:rsidP="00AC3823">
      <w:pPr>
        <w:pStyle w:val="Footer"/>
      </w:pPr>
    </w:p>
  </w:endnote>
  <w:endnote w:type="continuationNotice" w:id="1">
    <w:p w:rsidR="00782238" w:rsidRDefault="007822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A" w:rsidRPr="00B27F7A" w:rsidRDefault="00B27F7A" w:rsidP="00B27F7A">
    <w:pPr>
      <w:pStyle w:val="Footer"/>
      <w:tabs>
        <w:tab w:val="right" w:pos="9638"/>
      </w:tabs>
    </w:pPr>
    <w:r w:rsidRPr="00B27F7A">
      <w:rPr>
        <w:b/>
        <w:sz w:val="18"/>
      </w:rPr>
      <w:fldChar w:fldCharType="begin"/>
    </w:r>
    <w:r w:rsidRPr="00B27F7A">
      <w:rPr>
        <w:b/>
        <w:sz w:val="18"/>
      </w:rPr>
      <w:instrText xml:space="preserve"> PAGE  \* MERGEFORMAT </w:instrText>
    </w:r>
    <w:r w:rsidRPr="00B27F7A">
      <w:rPr>
        <w:b/>
        <w:sz w:val="18"/>
      </w:rPr>
      <w:fldChar w:fldCharType="separate"/>
    </w:r>
    <w:r w:rsidR="00FE2280">
      <w:rPr>
        <w:b/>
        <w:noProof/>
        <w:sz w:val="18"/>
      </w:rPr>
      <w:t>2</w:t>
    </w:r>
    <w:r w:rsidRPr="00B27F7A">
      <w:rPr>
        <w:b/>
        <w:sz w:val="18"/>
      </w:rPr>
      <w:fldChar w:fldCharType="end"/>
    </w:r>
    <w:r>
      <w:rPr>
        <w:b/>
        <w:sz w:val="18"/>
      </w:rPr>
      <w:tab/>
    </w:r>
    <w:r>
      <w:t>GE.17-23059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A" w:rsidRPr="00B27F7A" w:rsidRDefault="00B27F7A" w:rsidP="00B27F7A">
    <w:pPr>
      <w:pStyle w:val="Footer"/>
      <w:tabs>
        <w:tab w:val="right" w:pos="9638"/>
      </w:tabs>
      <w:rPr>
        <w:b/>
        <w:sz w:val="18"/>
      </w:rPr>
    </w:pPr>
    <w:r>
      <w:t>GE.17-23059</w:t>
    </w:r>
    <w:r>
      <w:tab/>
    </w:r>
    <w:r w:rsidRPr="00B27F7A">
      <w:rPr>
        <w:b/>
        <w:sz w:val="18"/>
      </w:rPr>
      <w:fldChar w:fldCharType="begin"/>
    </w:r>
    <w:r w:rsidRPr="00B27F7A">
      <w:rPr>
        <w:b/>
        <w:sz w:val="18"/>
      </w:rPr>
      <w:instrText xml:space="preserve"> PAGE  \* MERGEFORMAT </w:instrText>
    </w:r>
    <w:r w:rsidRPr="00B27F7A">
      <w:rPr>
        <w:b/>
        <w:sz w:val="18"/>
      </w:rPr>
      <w:fldChar w:fldCharType="separate"/>
    </w:r>
    <w:r w:rsidR="00FE2280">
      <w:rPr>
        <w:b/>
        <w:noProof/>
        <w:sz w:val="18"/>
      </w:rPr>
      <w:t>3</w:t>
    </w:r>
    <w:r w:rsidRPr="00B27F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B27F7A" w:rsidRDefault="00B27F7A" w:rsidP="00B27F7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17-23059  (F)</w:t>
    </w:r>
    <w:r w:rsidR="004D06BE">
      <w:rPr>
        <w:sz w:val="20"/>
      </w:rPr>
      <w:t xml:space="preserve">    080118    090118</w:t>
    </w:r>
    <w:r>
      <w:rPr>
        <w:sz w:val="20"/>
      </w:rPr>
      <w:br/>
    </w:r>
    <w:r w:rsidRPr="00B27F7A">
      <w:rPr>
        <w:rFonts w:ascii="C39T30Lfz" w:hAnsi="C39T30Lfz"/>
        <w:sz w:val="56"/>
      </w:rPr>
      <w:t></w:t>
    </w:r>
    <w:r w:rsidRPr="00B27F7A">
      <w:rPr>
        <w:rFonts w:ascii="C39T30Lfz" w:hAnsi="C39T30Lfz"/>
        <w:sz w:val="56"/>
      </w:rPr>
      <w:t></w:t>
    </w:r>
    <w:r w:rsidRPr="00B27F7A">
      <w:rPr>
        <w:rFonts w:ascii="C39T30Lfz" w:hAnsi="C39T30Lfz"/>
        <w:sz w:val="56"/>
      </w:rPr>
      <w:t></w:t>
    </w:r>
    <w:r w:rsidRPr="00B27F7A">
      <w:rPr>
        <w:rFonts w:ascii="C39T30Lfz" w:hAnsi="C39T30Lfz"/>
        <w:sz w:val="56"/>
      </w:rPr>
      <w:t></w:t>
    </w:r>
    <w:r w:rsidRPr="00B27F7A">
      <w:rPr>
        <w:rFonts w:ascii="C39T30Lfz" w:hAnsi="C39T30Lfz"/>
        <w:sz w:val="56"/>
      </w:rPr>
      <w:t></w:t>
    </w:r>
    <w:r w:rsidRPr="00B27F7A">
      <w:rPr>
        <w:rFonts w:ascii="C39T30Lfz" w:hAnsi="C39T30Lfz"/>
        <w:sz w:val="56"/>
      </w:rPr>
      <w:t></w:t>
    </w:r>
    <w:r w:rsidRPr="00B27F7A">
      <w:rPr>
        <w:rFonts w:ascii="C39T30Lfz" w:hAnsi="C39T30Lfz"/>
        <w:sz w:val="56"/>
      </w:rPr>
      <w:t></w:t>
    </w:r>
    <w:r w:rsidRPr="00B27F7A">
      <w:rPr>
        <w:rFonts w:ascii="C39T30Lfz" w:hAnsi="C39T30Lfz"/>
        <w:sz w:val="56"/>
      </w:rPr>
      <w:t></w:t>
    </w:r>
    <w:r w:rsidRPr="00B27F7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8/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8" w:rsidRPr="00AC3823" w:rsidRDefault="00782238" w:rsidP="00AC3823">
      <w:pPr>
        <w:pStyle w:val="Footer"/>
        <w:tabs>
          <w:tab w:val="right" w:pos="2155"/>
        </w:tabs>
        <w:spacing w:after="80" w:line="240" w:lineRule="atLeast"/>
        <w:ind w:left="680"/>
        <w:rPr>
          <w:u w:val="single"/>
        </w:rPr>
      </w:pPr>
      <w:r>
        <w:rPr>
          <w:u w:val="single"/>
        </w:rPr>
        <w:tab/>
      </w:r>
    </w:p>
  </w:footnote>
  <w:footnote w:type="continuationSeparator" w:id="0">
    <w:p w:rsidR="00782238" w:rsidRPr="00AC3823" w:rsidRDefault="00782238" w:rsidP="00AC3823">
      <w:pPr>
        <w:pStyle w:val="Footer"/>
        <w:tabs>
          <w:tab w:val="right" w:pos="2155"/>
        </w:tabs>
        <w:spacing w:after="80" w:line="240" w:lineRule="atLeast"/>
        <w:ind w:left="680"/>
        <w:rPr>
          <w:u w:val="single"/>
        </w:rPr>
      </w:pPr>
      <w:r>
        <w:rPr>
          <w:u w:val="single"/>
        </w:rPr>
        <w:tab/>
      </w:r>
    </w:p>
  </w:footnote>
  <w:footnote w:type="continuationNotice" w:id="1">
    <w:p w:rsidR="00782238" w:rsidRPr="00AC3823" w:rsidRDefault="00782238">
      <w:pPr>
        <w:spacing w:line="240" w:lineRule="auto"/>
        <w:rPr>
          <w:sz w:val="2"/>
          <w:szCs w:val="2"/>
        </w:rPr>
      </w:pPr>
    </w:p>
  </w:footnote>
  <w:footnote w:id="2">
    <w:p w:rsidR="00B27F7A" w:rsidRPr="001B28C2" w:rsidRDefault="00B27F7A" w:rsidP="00B27F7A">
      <w:pPr>
        <w:pStyle w:val="FootnoteText"/>
      </w:pPr>
      <w:bookmarkStart w:id="6" w:name="footnoteBookmark_19"/>
      <w:r>
        <w:rPr>
          <w:lang w:val="fr-FR"/>
        </w:rPr>
        <w:tab/>
      </w:r>
      <w:r w:rsidRPr="00FE1A7B">
        <w:rPr>
          <w:rStyle w:val="FootnoteReference"/>
        </w:rPr>
        <w:footnoteRef/>
      </w:r>
      <w:r>
        <w:rPr>
          <w:lang w:val="fr-FR"/>
        </w:rPr>
        <w:tab/>
        <w:t>Conformément au programme de travail du Comité des transports intérieurs pour 2018-2019 (ECE/TRANS/WP.15/237, annexe V (9.2)).</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A" w:rsidRPr="00B27F7A" w:rsidRDefault="00FE2280">
    <w:pPr>
      <w:pStyle w:val="Header"/>
    </w:pPr>
    <w:r>
      <w:fldChar w:fldCharType="begin"/>
    </w:r>
    <w:r>
      <w:instrText xml:space="preserve"> TITLE  \* MERGEFORMAT </w:instrText>
    </w:r>
    <w:r>
      <w:fldChar w:fldCharType="separate"/>
    </w:r>
    <w:r w:rsidR="00E76FCE">
      <w:t>ECE/TRANS/WP.15/AC.1/2018/6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A" w:rsidRPr="00B27F7A" w:rsidRDefault="00FE2280" w:rsidP="00B27F7A">
    <w:pPr>
      <w:pStyle w:val="Header"/>
      <w:jc w:val="right"/>
    </w:pPr>
    <w:r>
      <w:fldChar w:fldCharType="begin"/>
    </w:r>
    <w:r>
      <w:instrText xml:space="preserve"> TITLE  \* MERGEFORMAT </w:instrText>
    </w:r>
    <w:r>
      <w:fldChar w:fldCharType="separate"/>
    </w:r>
    <w:r w:rsidR="00E76FCE">
      <w:t>ECE/TRANS/WP.15/AC.1/2018/6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38"/>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D06BE"/>
    <w:rsid w:val="004E468C"/>
    <w:rsid w:val="00531C62"/>
    <w:rsid w:val="005505B7"/>
    <w:rsid w:val="00551DB5"/>
    <w:rsid w:val="00573BE5"/>
    <w:rsid w:val="00586ED3"/>
    <w:rsid w:val="00596AA9"/>
    <w:rsid w:val="006D4A26"/>
    <w:rsid w:val="0071601D"/>
    <w:rsid w:val="00782238"/>
    <w:rsid w:val="007A62E6"/>
    <w:rsid w:val="007F20FA"/>
    <w:rsid w:val="0080684C"/>
    <w:rsid w:val="00871C75"/>
    <w:rsid w:val="008776DC"/>
    <w:rsid w:val="009446C0"/>
    <w:rsid w:val="009705C8"/>
    <w:rsid w:val="009C1CF4"/>
    <w:rsid w:val="009C4C67"/>
    <w:rsid w:val="009F6B74"/>
    <w:rsid w:val="00A30353"/>
    <w:rsid w:val="00A3439E"/>
    <w:rsid w:val="00AC3823"/>
    <w:rsid w:val="00AE323C"/>
    <w:rsid w:val="00AF0CB5"/>
    <w:rsid w:val="00B00181"/>
    <w:rsid w:val="00B00B0D"/>
    <w:rsid w:val="00B27F7A"/>
    <w:rsid w:val="00B765F7"/>
    <w:rsid w:val="00BA0CA9"/>
    <w:rsid w:val="00C02897"/>
    <w:rsid w:val="00C067C6"/>
    <w:rsid w:val="00C97039"/>
    <w:rsid w:val="00D17313"/>
    <w:rsid w:val="00D3439C"/>
    <w:rsid w:val="00DB1831"/>
    <w:rsid w:val="00DD3BFD"/>
    <w:rsid w:val="00DF6678"/>
    <w:rsid w:val="00E0299A"/>
    <w:rsid w:val="00E76FCE"/>
    <w:rsid w:val="00E85C74"/>
    <w:rsid w:val="00E9103F"/>
    <w:rsid w:val="00EA6547"/>
    <w:rsid w:val="00EF2E22"/>
    <w:rsid w:val="00F35BAF"/>
    <w:rsid w:val="00F616B8"/>
    <w:rsid w:val="00F660DF"/>
    <w:rsid w:val="00F94664"/>
    <w:rsid w:val="00F9573C"/>
    <w:rsid w:val="00F95C08"/>
    <w:rsid w:val="00FE228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608249-DF9A-4FB3-85DB-9123CBFA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27F7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ECE/TRANS/WP.15/AC.1/2018/6</vt:lpstr>
      <vt:lpstr>ECE/TRANS/WP.15/AC.1/2018/6</vt:lpstr>
    </vt:vector>
  </TitlesOfParts>
  <Company>DCM</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ECE/TRANS/WP.15/AC.1/2018/6</dc:title>
  <dc:subject/>
  <dc:creator>Pascale BEYSARD</dc:creator>
  <cp:keywords/>
  <cp:lastModifiedBy>Christine Barrio-Champeau</cp:lastModifiedBy>
  <cp:revision>2</cp:revision>
  <cp:lastPrinted>2018-01-09T09:42:00Z</cp:lastPrinted>
  <dcterms:created xsi:type="dcterms:W3CDTF">2018-01-10T13:33:00Z</dcterms:created>
  <dcterms:modified xsi:type="dcterms:W3CDTF">2018-01-10T13:33:00Z</dcterms:modified>
</cp:coreProperties>
</file>