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FF3E90">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FF3E90" w:rsidP="00FF3E90">
            <w:pPr>
              <w:jc w:val="right"/>
            </w:pPr>
            <w:r w:rsidRPr="00FF3E90">
              <w:rPr>
                <w:sz w:val="40"/>
              </w:rPr>
              <w:t>ECE</w:t>
            </w:r>
            <w:r>
              <w:t>/TRANS/WP.15/AC.1/2018/4</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FF3E90" w:rsidP="00C97039">
            <w:pPr>
              <w:spacing w:before="240"/>
            </w:pPr>
            <w:proofErr w:type="spellStart"/>
            <w:r>
              <w:t>Distr</w:t>
            </w:r>
            <w:proofErr w:type="spellEnd"/>
            <w:r>
              <w:t>. générale</w:t>
            </w:r>
          </w:p>
          <w:p w:rsidR="00FF3E90" w:rsidRDefault="00FF3E90" w:rsidP="00FF3E90">
            <w:pPr>
              <w:spacing w:line="240" w:lineRule="exact"/>
            </w:pPr>
            <w:r>
              <w:t>21 décembre 2017</w:t>
            </w:r>
          </w:p>
          <w:p w:rsidR="00FF3E90" w:rsidRDefault="00FF3E90" w:rsidP="00FF3E90">
            <w:pPr>
              <w:spacing w:line="240" w:lineRule="exact"/>
            </w:pPr>
            <w:r>
              <w:t>Français</w:t>
            </w:r>
          </w:p>
          <w:p w:rsidR="00FF3E90" w:rsidRPr="00DB58B5" w:rsidRDefault="00FF3E90" w:rsidP="00FF3E90">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F0248B">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FF3E90" w:rsidRPr="009E01B8" w:rsidRDefault="00FF3E90" w:rsidP="00AF0CB5">
      <w:pPr>
        <w:spacing w:before="120"/>
        <w:rPr>
          <w:b/>
          <w:sz w:val="24"/>
          <w:szCs w:val="24"/>
        </w:rPr>
      </w:pPr>
      <w:r w:rsidRPr="009E01B8">
        <w:rPr>
          <w:b/>
          <w:sz w:val="24"/>
          <w:szCs w:val="24"/>
        </w:rPr>
        <w:t>Groupe de travail des transports de marchandises dangereuses</w:t>
      </w:r>
    </w:p>
    <w:p w:rsidR="00FF3E90" w:rsidRPr="00926E87" w:rsidRDefault="00FF3E90" w:rsidP="00F0248B">
      <w:pPr>
        <w:spacing w:before="120"/>
        <w:rPr>
          <w:b/>
        </w:rPr>
      </w:pPr>
      <w:r w:rsidRPr="00926E87">
        <w:rPr>
          <w:b/>
        </w:rPr>
        <w:t>Réunion commune de la Commission d</w:t>
      </w:r>
      <w:r w:rsidR="00F0248B">
        <w:rPr>
          <w:b/>
        </w:rPr>
        <w:t>’</w:t>
      </w:r>
      <w:r w:rsidRPr="00926E87">
        <w:rPr>
          <w:b/>
        </w:rPr>
        <w:t>experts du RID</w:t>
      </w:r>
      <w:r>
        <w:rPr>
          <w:b/>
        </w:rPr>
        <w:t xml:space="preserve"> </w:t>
      </w:r>
      <w:r w:rsidRPr="00926E87">
        <w:rPr>
          <w:b/>
        </w:rPr>
        <w:t>et</w:t>
      </w:r>
      <w:r>
        <w:rPr>
          <w:b/>
        </w:rPr>
        <w:br/>
      </w:r>
      <w:r w:rsidRPr="00926E87">
        <w:rPr>
          <w:b/>
        </w:rPr>
        <w:t>du Groupe de travail</w:t>
      </w:r>
      <w:r>
        <w:rPr>
          <w:b/>
        </w:rPr>
        <w:t xml:space="preserve"> </w:t>
      </w:r>
      <w:r w:rsidRPr="00926E87">
        <w:rPr>
          <w:b/>
        </w:rPr>
        <w:t>des transports de marchandises dangereuses</w:t>
      </w:r>
    </w:p>
    <w:p w:rsidR="00FF3E90" w:rsidRDefault="00FF3E90" w:rsidP="00F0248B">
      <w:bookmarkStart w:id="1" w:name="bookmark_14"/>
      <w:r>
        <w:t>Berne, 12-16 mars 2018</w:t>
      </w:r>
      <w:bookmarkEnd w:id="1"/>
    </w:p>
    <w:p w:rsidR="00FF3E90" w:rsidRDefault="00FF3E90" w:rsidP="00FF3E90">
      <w:bookmarkStart w:id="2" w:name="bookmark_15"/>
      <w:r w:rsidRPr="00B93E72">
        <w:t>Point</w:t>
      </w:r>
      <w:r>
        <w:t xml:space="preserve"> 9</w:t>
      </w:r>
      <w:r w:rsidRPr="00B93E72">
        <w:t xml:space="preserve"> de l</w:t>
      </w:r>
      <w:r w:rsidR="00F0248B">
        <w:t>’</w:t>
      </w:r>
      <w:r w:rsidRPr="00B93E72">
        <w:t>ordre du jour provisoire</w:t>
      </w:r>
      <w:bookmarkEnd w:id="2"/>
    </w:p>
    <w:p w:rsidR="00FF3E90" w:rsidRDefault="00FF3E90" w:rsidP="00FF3E90">
      <w:pPr>
        <w:rPr>
          <w:b/>
        </w:rPr>
      </w:pPr>
      <w:bookmarkStart w:id="3" w:name="bookmark_16"/>
      <w:r w:rsidRPr="007E03C7">
        <w:rPr>
          <w:b/>
          <w:bCs/>
        </w:rPr>
        <w:t>Questions diverses</w:t>
      </w:r>
      <w:bookmarkEnd w:id="3"/>
    </w:p>
    <w:p w:rsidR="00FF3E90" w:rsidRDefault="00FF3E90" w:rsidP="00F0248B">
      <w:pPr>
        <w:pStyle w:val="HChG"/>
      </w:pPr>
      <w:bookmarkStart w:id="4" w:name="bookmark_17"/>
      <w:r>
        <w:rPr>
          <w:lang w:val="fr-FR"/>
        </w:rPr>
        <w:tab/>
      </w:r>
      <w:r>
        <w:rPr>
          <w:lang w:val="fr-FR"/>
        </w:rPr>
        <w:tab/>
        <w:t xml:space="preserve">Remplissage des bouteilles à GPL par des particuliers </w:t>
      </w:r>
      <w:r>
        <w:rPr>
          <w:lang w:val="fr-FR"/>
        </w:rPr>
        <w:br/>
        <w:t>ou des entreprises pour leur propre approvisionnement</w:t>
      </w:r>
      <w:bookmarkEnd w:id="4"/>
    </w:p>
    <w:p w:rsidR="00FF3E90" w:rsidRDefault="00FF3E90" w:rsidP="00F0248B">
      <w:pPr>
        <w:pStyle w:val="H1G"/>
        <w:rPr>
          <w:szCs w:val="24"/>
        </w:rPr>
      </w:pPr>
      <w:bookmarkStart w:id="5" w:name="bookmark_18"/>
      <w:r>
        <w:rPr>
          <w:lang w:val="fr-FR"/>
        </w:rPr>
        <w:tab/>
      </w:r>
      <w:r>
        <w:rPr>
          <w:lang w:val="fr-FR"/>
        </w:rPr>
        <w:tab/>
        <w:t>Communication du Gouvernement suisse</w:t>
      </w:r>
      <w:r w:rsidRPr="00F0248B">
        <w:rPr>
          <w:rStyle w:val="FootnoteReference"/>
          <w:b w:val="0"/>
        </w:rPr>
        <w:footnoteReference w:id="2"/>
      </w:r>
      <w:bookmarkEnd w:id="5"/>
    </w:p>
    <w:p w:rsidR="00FF3E90" w:rsidRDefault="00FF3E90" w:rsidP="00FF3E90">
      <w:pPr>
        <w:pStyle w:val="HChG"/>
      </w:pPr>
      <w:bookmarkStart w:id="7" w:name="bookmark_20"/>
      <w:r>
        <w:rPr>
          <w:lang w:val="fr-FR"/>
        </w:rPr>
        <w:tab/>
      </w:r>
      <w:r>
        <w:rPr>
          <w:lang w:val="fr-FR"/>
        </w:rPr>
        <w:tab/>
        <w:t>Introduction</w:t>
      </w:r>
      <w:bookmarkEnd w:id="7"/>
    </w:p>
    <w:p w:rsidR="00FF3E90" w:rsidRDefault="00FF3E90" w:rsidP="00FF3E90">
      <w:pPr>
        <w:pStyle w:val="SingleTxtG"/>
        <w:rPr>
          <w:color w:val="000000" w:themeColor="text1"/>
        </w:rPr>
      </w:pPr>
      <w:bookmarkStart w:id="8" w:name="bookmark_21"/>
      <w:r>
        <w:rPr>
          <w:lang w:val="fr-FR"/>
        </w:rPr>
        <w:t>1.</w:t>
      </w:r>
      <w:r>
        <w:rPr>
          <w:lang w:val="fr-FR"/>
        </w:rPr>
        <w:tab/>
        <w:t xml:space="preserve">Dans le cadre de leurs activités de surveillance des marchés dans le domaine des équipements sous pression transportables, les autorités suisses ont </w:t>
      </w:r>
      <w:r w:rsidR="00F0248B">
        <w:rPr>
          <w:lang w:val="fr-FR"/>
        </w:rPr>
        <w:t>buté</w:t>
      </w:r>
      <w:r>
        <w:rPr>
          <w:lang w:val="fr-FR"/>
        </w:rPr>
        <w:t xml:space="preserve"> plusieurs fois sur la question du remplissage des bouteilles à gaz par des particuliers ou des entreprises pour leur propre approvisionnement. Récemment, la question s</w:t>
      </w:r>
      <w:r w:rsidR="00F0248B">
        <w:rPr>
          <w:lang w:val="fr-FR"/>
        </w:rPr>
        <w:t>’</w:t>
      </w:r>
      <w:r>
        <w:rPr>
          <w:lang w:val="fr-FR"/>
        </w:rPr>
        <w:t>est posée de savoir s</w:t>
      </w:r>
      <w:r w:rsidR="00F0248B">
        <w:rPr>
          <w:lang w:val="fr-FR"/>
        </w:rPr>
        <w:t>’</w:t>
      </w:r>
      <w:r>
        <w:rPr>
          <w:lang w:val="fr-FR"/>
        </w:rPr>
        <w:t>il était autorisé de remplir des bouteilles à gaz de pétrole liquéfié (GPL) à une station-service, que ce soit ou non sous la supervision du personnel de la station.</w:t>
      </w:r>
      <w:bookmarkEnd w:id="8"/>
    </w:p>
    <w:p w:rsidR="00F0248B" w:rsidRDefault="00FF3E90" w:rsidP="00FF3E90">
      <w:pPr>
        <w:pStyle w:val="SingleTxtG"/>
        <w:rPr>
          <w:lang w:val="fr-FR"/>
        </w:rPr>
      </w:pPr>
      <w:bookmarkStart w:id="9" w:name="bookmark_22"/>
      <w:r>
        <w:rPr>
          <w:lang w:val="fr-FR"/>
        </w:rPr>
        <w:t>2.</w:t>
      </w:r>
      <w:r>
        <w:rPr>
          <w:lang w:val="fr-FR"/>
        </w:rPr>
        <w:tab/>
        <w:t>Des particuliers peuvent acheter des bouteilles à GPL rechargeables depuis de nombreuses années. Dans le secteur du caravaning, les bouteilles possédées à titre privé sont économiquement intéressantes par rapport aux bouteilles en dépôt ou louées et constituent une bonne solution de rechange aux difficiles échanges de bouteilles lors de voyages à l</w:t>
      </w:r>
      <w:r w:rsidR="00F0248B">
        <w:rPr>
          <w:lang w:val="fr-FR"/>
        </w:rPr>
        <w:t>’</w:t>
      </w:r>
      <w:r>
        <w:rPr>
          <w:lang w:val="fr-FR"/>
        </w:rPr>
        <w:t>étranger. Les bouteilles installées de façon permanente dans une caravane ou une autocaravane et homologuées avec le reste du véhicule sont considérées comme un équipement du véhicule (fig</w:t>
      </w:r>
      <w:r w:rsidR="00F0248B">
        <w:rPr>
          <w:lang w:val="fr-FR"/>
        </w:rPr>
        <w:t>. </w:t>
      </w:r>
      <w:r>
        <w:rPr>
          <w:lang w:val="fr-FR"/>
        </w:rPr>
        <w:t xml:space="preserve">1, 2 et 3). </w:t>
      </w:r>
      <w:bookmarkEnd w:id="9"/>
    </w:p>
    <w:p w:rsidR="00FF3E90" w:rsidRPr="00F0248B" w:rsidRDefault="00F0248B" w:rsidP="00F0248B">
      <w:pPr>
        <w:pStyle w:val="Heading1"/>
        <w:spacing w:after="120"/>
        <w:rPr>
          <w:b/>
          <w:lang w:val="fr-FR"/>
        </w:rPr>
      </w:pPr>
      <w:r>
        <w:rPr>
          <w:lang w:val="fr-FR"/>
        </w:rPr>
        <w:br w:type="page"/>
      </w:r>
      <w:bookmarkStart w:id="10" w:name="bookmark_23"/>
      <w:r>
        <w:rPr>
          <w:lang w:val="fr-FR"/>
        </w:rPr>
        <w:lastRenderedPageBreak/>
        <w:t>Figure 1</w:t>
      </w:r>
      <w:r>
        <w:rPr>
          <w:lang w:val="fr-FR"/>
        </w:rPr>
        <w:br/>
      </w:r>
      <w:r w:rsidRPr="00F0248B">
        <w:rPr>
          <w:b/>
          <w:lang w:val="fr-FR"/>
        </w:rPr>
        <w:t>Bouteille en acier</w:t>
      </w:r>
      <w:bookmarkEnd w:id="10"/>
    </w:p>
    <w:p w:rsidR="00F0248B" w:rsidRDefault="00F0248B" w:rsidP="00FF3E90">
      <w:pPr>
        <w:pStyle w:val="SingleTxtG"/>
        <w:rPr>
          <w:lang w:val="fr-FR"/>
        </w:rPr>
      </w:pPr>
      <w:r>
        <w:rPr>
          <w:noProof/>
          <w:lang w:eastAsia="fr-CH"/>
        </w:rPr>
        <w:drawing>
          <wp:inline distT="0" distB="0" distL="0" distR="0" wp14:anchorId="2F69F324" wp14:editId="0EA17D75">
            <wp:extent cx="1587260" cy="2112138"/>
            <wp:effectExtent l="0" t="0" r="0" b="2540"/>
            <wp:docPr id="5" name="Image 5" descr="H:\data\Règlements UN RID ADR RSD SDR\cylinder fixed in veh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data\Règlements UN RID ADR RSD SDR\cylinder fixed in veh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719" cy="2114079"/>
                    </a:xfrm>
                    <a:prstGeom prst="rect">
                      <a:avLst/>
                    </a:prstGeom>
                    <a:noFill/>
                    <a:ln>
                      <a:noFill/>
                    </a:ln>
                  </pic:spPr>
                </pic:pic>
              </a:graphicData>
            </a:graphic>
          </wp:inline>
        </w:drawing>
      </w:r>
    </w:p>
    <w:p w:rsidR="00F0248B" w:rsidRPr="00FD4B1D" w:rsidRDefault="00FD4B1D" w:rsidP="00FD4B1D">
      <w:pPr>
        <w:pStyle w:val="Heading1"/>
        <w:spacing w:after="120"/>
        <w:rPr>
          <w:b/>
          <w:lang w:val="fr-FR"/>
        </w:rPr>
      </w:pPr>
      <w:r>
        <w:rPr>
          <w:lang w:val="fr-FR"/>
        </w:rPr>
        <w:t>Figure 2</w:t>
      </w:r>
      <w:r>
        <w:rPr>
          <w:lang w:val="fr-FR"/>
        </w:rPr>
        <w:br/>
      </w:r>
      <w:r w:rsidRPr="00FD4B1D">
        <w:rPr>
          <w:b/>
          <w:lang w:val="fr-FR"/>
        </w:rPr>
        <w:t>Bouteille en aluminium</w:t>
      </w:r>
    </w:p>
    <w:p w:rsidR="00F0248B" w:rsidRDefault="00FD4B1D" w:rsidP="00FF3E90">
      <w:pPr>
        <w:pStyle w:val="SingleTxtG"/>
      </w:pPr>
      <w:r>
        <w:object w:dxaOrig="916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66.5pt" o:ole="">
            <v:imagedata r:id="rId9" o:title=""/>
          </v:shape>
          <o:OLEObject Type="Embed" ProgID="PBrush" ShapeID="_x0000_i1025" DrawAspect="Content" ObjectID="_1577266832" r:id="rId10"/>
        </w:object>
      </w:r>
    </w:p>
    <w:p w:rsidR="00FD4B1D" w:rsidRPr="00FD4B1D" w:rsidRDefault="00FD4B1D" w:rsidP="00FD4B1D">
      <w:pPr>
        <w:pStyle w:val="Heading1"/>
        <w:spacing w:after="120"/>
        <w:rPr>
          <w:b/>
        </w:rPr>
      </w:pPr>
      <w:r>
        <w:rPr>
          <w:lang w:val="fr-FR"/>
        </w:rPr>
        <w:t>Figure 3</w:t>
      </w:r>
      <w:r>
        <w:rPr>
          <w:lang w:val="fr-FR"/>
        </w:rPr>
        <w:br/>
      </w:r>
      <w:r w:rsidRPr="00FD4B1D">
        <w:rPr>
          <w:b/>
          <w:lang w:val="fr-FR"/>
        </w:rPr>
        <w:t>Remplissage d’une bouteille fixe</w:t>
      </w:r>
    </w:p>
    <w:p w:rsidR="00FD4B1D" w:rsidRDefault="00FD4B1D" w:rsidP="00FF3E90">
      <w:pPr>
        <w:pStyle w:val="SingleTxtG"/>
      </w:pPr>
      <w:r>
        <w:object w:dxaOrig="6210" w:dyaOrig="4710">
          <v:shape id="_x0000_i1026" type="#_x0000_t75" style="width:177pt;height:134.25pt" o:ole="">
            <v:imagedata r:id="rId11" o:title=""/>
          </v:shape>
          <o:OLEObject Type="Embed" ProgID="PBrush" ShapeID="_x0000_i1026" DrawAspect="Content" ObjectID="_1577266833" r:id="rId12"/>
        </w:object>
      </w:r>
    </w:p>
    <w:p w:rsidR="00FD4B1D" w:rsidRDefault="00FF3E90" w:rsidP="00FD4B1D">
      <w:pPr>
        <w:pStyle w:val="SingleTxtG"/>
        <w:spacing w:before="120"/>
        <w:rPr>
          <w:lang w:val="fr-FR"/>
        </w:rPr>
      </w:pPr>
      <w:bookmarkStart w:id="11" w:name="bookmark_26"/>
      <w:r>
        <w:rPr>
          <w:lang w:val="fr-FR"/>
        </w:rPr>
        <w:t>3.</w:t>
      </w:r>
      <w:r>
        <w:rPr>
          <w:lang w:val="fr-FR"/>
        </w:rPr>
        <w:tab/>
      </w:r>
      <w:r w:rsidRPr="00F0248B">
        <w:t>Toutefois</w:t>
      </w:r>
      <w:r>
        <w:rPr>
          <w:lang w:val="fr-FR"/>
        </w:rPr>
        <w:t>, les bouteilles ne sont pas toujours installées à demeure sur un véhicule. En particulier, les bouteilles légères telles que les bouteilles en aluminium et les bouteilles composites ne sont pas utilisées uniquement dans le secteur du caravaning mais également pour les montgolfières, la navigation, ou pour le chauffage, le séchage ou à des fins de fusion sur des chantiers de construction, etc. (fig</w:t>
      </w:r>
      <w:r w:rsidR="00FD4B1D">
        <w:rPr>
          <w:lang w:val="fr-FR"/>
        </w:rPr>
        <w:t>. </w:t>
      </w:r>
      <w:r>
        <w:rPr>
          <w:lang w:val="fr-FR"/>
        </w:rPr>
        <w:t>4, 5 et 6). Certains messages publicitaires laissent entendre que leur remplissage direct, pour leur propre approvisionnement, par des particuliers ou des salariés d</w:t>
      </w:r>
      <w:r w:rsidR="00F0248B">
        <w:rPr>
          <w:lang w:val="fr-FR"/>
        </w:rPr>
        <w:t>’</w:t>
      </w:r>
      <w:r>
        <w:rPr>
          <w:lang w:val="fr-FR"/>
        </w:rPr>
        <w:t>entreprises utilisant le GPL serait autorisé sans condition.</w:t>
      </w:r>
      <w:bookmarkEnd w:id="11"/>
    </w:p>
    <w:p w:rsidR="00FF3E90" w:rsidRDefault="00FD4B1D" w:rsidP="00FD4B1D">
      <w:pPr>
        <w:pStyle w:val="Heading1"/>
        <w:spacing w:after="120"/>
        <w:rPr>
          <w:b/>
          <w:lang w:val="fr-FR"/>
        </w:rPr>
      </w:pPr>
      <w:r>
        <w:rPr>
          <w:lang w:val="fr-FR"/>
        </w:rPr>
        <w:br w:type="page"/>
      </w:r>
      <w:bookmarkStart w:id="12" w:name="bookmark_27"/>
      <w:r>
        <w:rPr>
          <w:lang w:val="fr-FR"/>
        </w:rPr>
        <w:lastRenderedPageBreak/>
        <w:t>Figure 4</w:t>
      </w:r>
      <w:r>
        <w:rPr>
          <w:lang w:val="fr-FR"/>
        </w:rPr>
        <w:br/>
      </w:r>
      <w:r w:rsidRPr="00FD4B1D">
        <w:rPr>
          <w:b/>
          <w:lang w:val="fr-FR"/>
        </w:rPr>
        <w:t>Petite bouteille en aluminium</w:t>
      </w:r>
      <w:bookmarkEnd w:id="12"/>
    </w:p>
    <w:p w:rsidR="00FD4B1D" w:rsidRDefault="00FD4B1D" w:rsidP="00FD4B1D">
      <w:pPr>
        <w:pStyle w:val="SingleTxtG"/>
        <w:rPr>
          <w:lang w:val="fr-FR"/>
        </w:rPr>
      </w:pPr>
      <w:r>
        <w:rPr>
          <w:noProof/>
          <w:lang w:eastAsia="fr-CH"/>
        </w:rPr>
        <w:drawing>
          <wp:inline distT="0" distB="0" distL="0" distR="0" wp14:anchorId="1251F254" wp14:editId="6CCA4E5D">
            <wp:extent cx="1656272" cy="2208362"/>
            <wp:effectExtent l="0" t="0" r="1270" b="1905"/>
            <wp:docPr id="7" name="Image 7" descr="H:\data\Règlements UN RID ADR RSD SDR\Filling of gas cylinders\4-Cylinder AluGas portable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Règlements UN RID ADR RSD SDR\Filling of gas cylinders\4-Cylinder AluGas portable pet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6482" cy="2208642"/>
                    </a:xfrm>
                    <a:prstGeom prst="rect">
                      <a:avLst/>
                    </a:prstGeom>
                    <a:noFill/>
                    <a:ln>
                      <a:noFill/>
                    </a:ln>
                  </pic:spPr>
                </pic:pic>
              </a:graphicData>
            </a:graphic>
          </wp:inline>
        </w:drawing>
      </w:r>
    </w:p>
    <w:p w:rsidR="00FD4B1D" w:rsidRDefault="00FD4B1D" w:rsidP="00C606A1">
      <w:pPr>
        <w:pStyle w:val="Heading1"/>
        <w:spacing w:after="120"/>
        <w:rPr>
          <w:b/>
          <w:lang w:val="fr-FR"/>
        </w:rPr>
      </w:pPr>
      <w:bookmarkStart w:id="13" w:name="bookmark_28"/>
      <w:r>
        <w:rPr>
          <w:lang w:val="fr-FR"/>
        </w:rPr>
        <w:t>Figure 5</w:t>
      </w:r>
      <w:r>
        <w:rPr>
          <w:lang w:val="fr-FR"/>
        </w:rPr>
        <w:br/>
      </w:r>
      <w:r w:rsidRPr="00FD4B1D">
        <w:rPr>
          <w:b/>
          <w:lang w:val="fr-FR"/>
        </w:rPr>
        <w:t>Bouteille composite</w:t>
      </w:r>
      <w:bookmarkEnd w:id="13"/>
    </w:p>
    <w:p w:rsidR="00FD4B1D" w:rsidRDefault="00FD4B1D" w:rsidP="00FD4B1D">
      <w:pPr>
        <w:pStyle w:val="SingleTxtG"/>
        <w:rPr>
          <w:lang w:val="fr-FR"/>
        </w:rPr>
      </w:pPr>
      <w:r>
        <w:rPr>
          <w:noProof/>
          <w:lang w:eastAsia="fr-CH"/>
        </w:rPr>
        <w:drawing>
          <wp:inline distT="0" distB="0" distL="0" distR="0" wp14:anchorId="04F4A5D4" wp14:editId="388A71BC">
            <wp:extent cx="1570813" cy="2173665"/>
            <wp:effectExtent l="0" t="0" r="0" b="0"/>
            <wp:docPr id="6" name="Image 6" descr="H:\data\Règlements UN RID ADR RSD SDR\Filling of gas cylinders\5-Cylinder Safefill po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data\Règlements UN RID ADR RSD SDR\Filling of gas cylinders\5-Cylinder Safefill portab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0813" cy="2173665"/>
                    </a:xfrm>
                    <a:prstGeom prst="rect">
                      <a:avLst/>
                    </a:prstGeom>
                    <a:noFill/>
                    <a:ln>
                      <a:noFill/>
                    </a:ln>
                  </pic:spPr>
                </pic:pic>
              </a:graphicData>
            </a:graphic>
          </wp:inline>
        </w:drawing>
      </w:r>
    </w:p>
    <w:p w:rsidR="00FD4B1D" w:rsidRDefault="00FD4B1D" w:rsidP="00FD4B1D">
      <w:pPr>
        <w:pStyle w:val="Heading1"/>
        <w:spacing w:after="120"/>
        <w:rPr>
          <w:b/>
          <w:lang w:val="fr-FR"/>
        </w:rPr>
      </w:pPr>
      <w:bookmarkStart w:id="14" w:name="bookmark_29"/>
      <w:r>
        <w:rPr>
          <w:lang w:val="fr-FR"/>
        </w:rPr>
        <w:t>Figure 6</w:t>
      </w:r>
      <w:r>
        <w:rPr>
          <w:lang w:val="fr-FR"/>
        </w:rPr>
        <w:br/>
      </w:r>
      <w:r w:rsidRPr="00FD4B1D">
        <w:rPr>
          <w:b/>
          <w:lang w:val="fr-FR"/>
        </w:rPr>
        <w:t>Remplissage direct</w:t>
      </w:r>
      <w:bookmarkEnd w:id="14"/>
    </w:p>
    <w:p w:rsidR="00FD4B1D" w:rsidRPr="00FD4B1D" w:rsidRDefault="00FD4B1D" w:rsidP="00FD4B1D">
      <w:pPr>
        <w:pStyle w:val="SingleTxtG"/>
        <w:rPr>
          <w:lang w:val="fr-FR"/>
        </w:rPr>
      </w:pPr>
      <w:r>
        <w:rPr>
          <w:noProof/>
          <w:lang w:eastAsia="fr-CH"/>
        </w:rPr>
        <w:drawing>
          <wp:inline distT="0" distB="0" distL="0" distR="0" wp14:anchorId="4CAAE098" wp14:editId="5276F358">
            <wp:extent cx="1518249" cy="2153485"/>
            <wp:effectExtent l="0" t="0" r="6350" b="0"/>
            <wp:docPr id="4" name="Image 4" descr="H:\data\Règlements UN RID ADR RSD SDR\Filling of gas cylinders\6-Cylinder Safefill portable Refi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Règlements UN RID ADR RSD SDR\Filling of gas cylinders\6-Cylinder Safefill portable Refill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49" cy="2153485"/>
                    </a:xfrm>
                    <a:prstGeom prst="rect">
                      <a:avLst/>
                    </a:prstGeom>
                    <a:noFill/>
                    <a:ln>
                      <a:noFill/>
                    </a:ln>
                  </pic:spPr>
                </pic:pic>
              </a:graphicData>
            </a:graphic>
          </wp:inline>
        </w:drawing>
      </w:r>
    </w:p>
    <w:p w:rsidR="00FF3E90" w:rsidRDefault="00FF3E90" w:rsidP="00FD4B1D">
      <w:pPr>
        <w:pStyle w:val="HChG"/>
      </w:pPr>
      <w:bookmarkStart w:id="15" w:name="bookmark_30"/>
      <w:r>
        <w:rPr>
          <w:lang w:val="fr-FR"/>
        </w:rPr>
        <w:tab/>
      </w:r>
      <w:r>
        <w:rPr>
          <w:lang w:val="fr-FR"/>
        </w:rPr>
        <w:tab/>
        <w:t>Examen de la question</w:t>
      </w:r>
      <w:bookmarkEnd w:id="15"/>
    </w:p>
    <w:p w:rsidR="00FF3E90" w:rsidRDefault="00FF3E90" w:rsidP="00FF3E90">
      <w:pPr>
        <w:pStyle w:val="SingleTxtG"/>
      </w:pPr>
      <w:bookmarkStart w:id="16" w:name="bookmark_31"/>
      <w:r>
        <w:rPr>
          <w:lang w:val="fr-FR"/>
        </w:rPr>
        <w:t>4.</w:t>
      </w:r>
      <w:r>
        <w:rPr>
          <w:lang w:val="fr-FR"/>
        </w:rPr>
        <w:tab/>
        <w:t>Le remplissage de bouteilles à GPL par des particuliers ou des entreprises pour leur propre approvisionnement, que ce soit à des stations-service, à d</w:t>
      </w:r>
      <w:r w:rsidR="00F0248B">
        <w:rPr>
          <w:lang w:val="fr-FR"/>
        </w:rPr>
        <w:t>’</w:t>
      </w:r>
      <w:r>
        <w:rPr>
          <w:lang w:val="fr-FR"/>
        </w:rPr>
        <w:t>autres centres de remplissage</w:t>
      </w:r>
      <w:r w:rsidR="00C405F2">
        <w:rPr>
          <w:lang w:val="fr-FR"/>
        </w:rPr>
        <w:t>,</w:t>
      </w:r>
      <w:r>
        <w:rPr>
          <w:lang w:val="fr-FR"/>
        </w:rPr>
        <w:t xml:space="preserve"> voire à une citerne privée, soulève certaines questions du point de vue juridique et du point de vue de la sécurité.</w:t>
      </w:r>
      <w:bookmarkEnd w:id="16"/>
    </w:p>
    <w:p w:rsidR="00FF3E90" w:rsidRDefault="00FF3E90" w:rsidP="00FD4B1D">
      <w:pPr>
        <w:pStyle w:val="H1G"/>
      </w:pPr>
      <w:bookmarkStart w:id="17" w:name="bookmark_32"/>
      <w:r>
        <w:rPr>
          <w:lang w:val="fr-FR"/>
        </w:rPr>
        <w:lastRenderedPageBreak/>
        <w:tab/>
      </w:r>
      <w:r>
        <w:rPr>
          <w:lang w:val="fr-FR"/>
        </w:rPr>
        <w:tab/>
        <w:t>Aspects juridiques</w:t>
      </w:r>
      <w:bookmarkEnd w:id="17"/>
    </w:p>
    <w:p w:rsidR="00FF3E90" w:rsidRDefault="00F0248B" w:rsidP="00FF3E90">
      <w:pPr>
        <w:pStyle w:val="SingleTxtG"/>
      </w:pPr>
      <w:bookmarkStart w:id="18" w:name="bookmark_33"/>
      <w:r>
        <w:rPr>
          <w:lang w:val="fr-FR"/>
        </w:rPr>
        <w:t>5.</w:t>
      </w:r>
      <w:r w:rsidR="00FF3E90">
        <w:rPr>
          <w:lang w:val="fr-FR"/>
        </w:rPr>
        <w:tab/>
        <w:t>Après quelques recherches, il semble que plusieurs pays européens autorisent le remplissage des bouteilles à GPL lorsque celles-ci sont installées à demeure sur le véhicule. Cette opération est alors considérée comme équivalant au remplissage du réservoir d</w:t>
      </w:r>
      <w:r>
        <w:rPr>
          <w:lang w:val="fr-FR"/>
        </w:rPr>
        <w:t>’</w:t>
      </w:r>
      <w:r w:rsidR="00FF3E90">
        <w:rPr>
          <w:lang w:val="fr-FR"/>
        </w:rPr>
        <w:t>un véhicule. En revanche, il semble que certains pays interdisent expressément le remplissage de bouteilles à GPL aux stations-service ou à d</w:t>
      </w:r>
      <w:r>
        <w:rPr>
          <w:lang w:val="fr-FR"/>
        </w:rPr>
        <w:t>’</w:t>
      </w:r>
      <w:r w:rsidR="00FF3E90">
        <w:rPr>
          <w:lang w:val="fr-FR"/>
        </w:rPr>
        <w:t>autres centres de remplissage lorsque les bouteilles ne sont pas installées à demeure sur un véhicule (bouteilles portables).</w:t>
      </w:r>
      <w:bookmarkEnd w:id="18"/>
    </w:p>
    <w:p w:rsidR="00FF3E90" w:rsidRDefault="00FF3E90" w:rsidP="00FF3E90">
      <w:pPr>
        <w:pStyle w:val="SingleTxtG"/>
      </w:pPr>
      <w:bookmarkStart w:id="19" w:name="bookmark_34"/>
      <w:r>
        <w:rPr>
          <w:lang w:val="fr-FR"/>
        </w:rPr>
        <w:t xml:space="preserve">6. </w:t>
      </w:r>
      <w:r>
        <w:rPr>
          <w:lang w:val="fr-FR"/>
        </w:rPr>
        <w:tab/>
        <w:t>Nous pensons que les seules prescriptions explicites harmonisées au niveau international sont celles de l</w:t>
      </w:r>
      <w:r w:rsidR="00F0248B">
        <w:rPr>
          <w:lang w:val="fr-FR"/>
        </w:rPr>
        <w:t>’</w:t>
      </w:r>
      <w:r>
        <w:rPr>
          <w:lang w:val="fr-FR"/>
        </w:rPr>
        <w:t>alinéa a) du paragraphe 7 de l</w:t>
      </w:r>
      <w:r w:rsidR="00F0248B">
        <w:rPr>
          <w:lang w:val="fr-FR"/>
        </w:rPr>
        <w:t>’</w:t>
      </w:r>
      <w:r>
        <w:rPr>
          <w:lang w:val="fr-FR"/>
        </w:rPr>
        <w:t>instruction d</w:t>
      </w:r>
      <w:r w:rsidR="00F0248B">
        <w:rPr>
          <w:lang w:val="fr-FR"/>
        </w:rPr>
        <w:t>’</w:t>
      </w:r>
      <w:r>
        <w:rPr>
          <w:lang w:val="fr-FR"/>
        </w:rPr>
        <w:t>emballage P</w:t>
      </w:r>
      <w:r w:rsidR="00F0248B">
        <w:rPr>
          <w:lang w:val="fr-FR"/>
        </w:rPr>
        <w:t> </w:t>
      </w:r>
      <w:r>
        <w:rPr>
          <w:lang w:val="fr-FR"/>
        </w:rPr>
        <w:t>200, au paragraphe 4.1.4.1 du RID et de l</w:t>
      </w:r>
      <w:r w:rsidR="00F0248B">
        <w:rPr>
          <w:lang w:val="fr-FR"/>
        </w:rPr>
        <w:t>’</w:t>
      </w:r>
      <w:r>
        <w:rPr>
          <w:lang w:val="fr-FR"/>
        </w:rPr>
        <w:t>ADR</w:t>
      </w:r>
      <w:r w:rsidR="00F0248B">
        <w:rPr>
          <w:lang w:val="fr-FR"/>
        </w:rPr>
        <w:t> </w:t>
      </w:r>
      <w:r>
        <w:rPr>
          <w:lang w:val="fr-FR"/>
        </w:rPr>
        <w:t>:</w:t>
      </w:r>
      <w:bookmarkEnd w:id="19"/>
    </w:p>
    <w:p w:rsidR="00FF3E90" w:rsidRDefault="00FF3E90" w:rsidP="00FD4B1D">
      <w:pPr>
        <w:pStyle w:val="SingleTxtG"/>
        <w:ind w:left="1701" w:firstLine="567"/>
      </w:pPr>
      <w:bookmarkStart w:id="20" w:name="bookmark_35"/>
      <w:r>
        <w:rPr>
          <w:lang w:val="fr-FR"/>
        </w:rPr>
        <w:t>«</w:t>
      </w:r>
      <w:r w:rsidR="00F0248B">
        <w:rPr>
          <w:lang w:val="fr-FR"/>
        </w:rPr>
        <w:t> </w:t>
      </w:r>
      <w:r>
        <w:rPr>
          <w:lang w:val="fr-FR"/>
        </w:rPr>
        <w:t>Le remplissage des récipients à pression ne peut être effectué que par des centres spécialement équipés, disposant de procédures appropriées, et par un personnel qualifié.</w:t>
      </w:r>
      <w:bookmarkEnd w:id="20"/>
    </w:p>
    <w:p w:rsidR="00FF3E90" w:rsidRDefault="00FF3E90" w:rsidP="00FD4B1D">
      <w:pPr>
        <w:pStyle w:val="SingleTxtG"/>
        <w:ind w:left="1701" w:firstLine="567"/>
      </w:pPr>
      <w:bookmarkStart w:id="21" w:name="bookmark_36"/>
      <w:r>
        <w:rPr>
          <w:lang w:val="fr-FR"/>
        </w:rPr>
        <w:t xml:space="preserve">Les procédures doivent inclure les </w:t>
      </w:r>
      <w:r w:rsidRPr="00F0248B">
        <w:t>contrôles</w:t>
      </w:r>
      <w:r>
        <w:rPr>
          <w:lang w:val="fr-FR"/>
        </w:rPr>
        <w:t> :</w:t>
      </w:r>
      <w:bookmarkEnd w:id="21"/>
    </w:p>
    <w:p w:rsidR="00FF3E90" w:rsidRDefault="00FF3E90" w:rsidP="00F0248B">
      <w:pPr>
        <w:pStyle w:val="Bullet1G"/>
      </w:pPr>
      <w:bookmarkStart w:id="22" w:name="bookmark_37"/>
      <w:r>
        <w:rPr>
          <w:lang w:val="fr-FR"/>
        </w:rPr>
        <w:t>de la conformité des récipients et des accessoires au RID/à l</w:t>
      </w:r>
      <w:r w:rsidR="00F0248B">
        <w:rPr>
          <w:lang w:val="fr-FR"/>
        </w:rPr>
        <w:t>’</w:t>
      </w:r>
      <w:r>
        <w:rPr>
          <w:lang w:val="fr-FR"/>
        </w:rPr>
        <w:t>ADR</w:t>
      </w:r>
      <w:r w:rsidR="00F0248B">
        <w:rPr>
          <w:lang w:val="fr-FR"/>
        </w:rPr>
        <w:t> </w:t>
      </w:r>
      <w:r>
        <w:rPr>
          <w:lang w:val="fr-FR"/>
        </w:rPr>
        <w:t>;</w:t>
      </w:r>
      <w:bookmarkEnd w:id="22"/>
    </w:p>
    <w:p w:rsidR="00FF3E90" w:rsidRDefault="00FF3E90" w:rsidP="00F0248B">
      <w:pPr>
        <w:pStyle w:val="Bullet1G"/>
      </w:pPr>
      <w:bookmarkStart w:id="23" w:name="bookmark_38"/>
      <w:r>
        <w:rPr>
          <w:lang w:val="fr-FR"/>
        </w:rPr>
        <w:t>de leur compatibilité avec le produit à transporter</w:t>
      </w:r>
      <w:r w:rsidR="00F0248B">
        <w:rPr>
          <w:lang w:val="fr-FR"/>
        </w:rPr>
        <w:t> </w:t>
      </w:r>
      <w:r>
        <w:rPr>
          <w:lang w:val="fr-FR"/>
        </w:rPr>
        <w:t>;</w:t>
      </w:r>
      <w:bookmarkEnd w:id="23"/>
    </w:p>
    <w:p w:rsidR="00FF3E90" w:rsidRDefault="00FF3E90" w:rsidP="00F0248B">
      <w:pPr>
        <w:pStyle w:val="Bullet1G"/>
      </w:pPr>
      <w:bookmarkStart w:id="24" w:name="bookmark_39"/>
      <w:r>
        <w:rPr>
          <w:lang w:val="fr-FR"/>
        </w:rPr>
        <w:t>de l</w:t>
      </w:r>
      <w:r w:rsidR="00F0248B">
        <w:rPr>
          <w:lang w:val="fr-FR"/>
        </w:rPr>
        <w:t>’</w:t>
      </w:r>
      <w:r>
        <w:rPr>
          <w:lang w:val="fr-FR"/>
        </w:rPr>
        <w:t>absence de dommages susceptibles d</w:t>
      </w:r>
      <w:r w:rsidR="00F0248B">
        <w:rPr>
          <w:lang w:val="fr-FR"/>
        </w:rPr>
        <w:t>’</w:t>
      </w:r>
      <w:r>
        <w:rPr>
          <w:lang w:val="fr-FR"/>
        </w:rPr>
        <w:t>altérer la sécurité</w:t>
      </w:r>
      <w:r w:rsidR="00F0248B">
        <w:rPr>
          <w:lang w:val="fr-FR"/>
        </w:rPr>
        <w:t> </w:t>
      </w:r>
      <w:r>
        <w:rPr>
          <w:lang w:val="fr-FR"/>
        </w:rPr>
        <w:t>;</w:t>
      </w:r>
      <w:bookmarkEnd w:id="24"/>
    </w:p>
    <w:p w:rsidR="00FF3E90" w:rsidRDefault="00FF3E90" w:rsidP="00F0248B">
      <w:pPr>
        <w:pStyle w:val="Bullet1G"/>
      </w:pPr>
      <w:bookmarkStart w:id="25" w:name="bookmark_40"/>
      <w:r>
        <w:rPr>
          <w:lang w:val="fr-FR"/>
        </w:rPr>
        <w:t>du respect du taux ou de la pression de remplissage, selon ce qui est applicable</w:t>
      </w:r>
      <w:bookmarkEnd w:id="25"/>
      <w:r>
        <w:rPr>
          <w:lang w:val="fr-FR"/>
        </w:rPr>
        <w:t> ;</w:t>
      </w:r>
    </w:p>
    <w:p w:rsidR="00FF3E90" w:rsidRDefault="00FF3E90" w:rsidP="00F0248B">
      <w:pPr>
        <w:pStyle w:val="Bullet1G"/>
        <w:rPr>
          <w:i/>
        </w:rPr>
      </w:pPr>
      <w:bookmarkStart w:id="26" w:name="bookmark_41"/>
      <w:r>
        <w:rPr>
          <w:lang w:val="fr-FR"/>
        </w:rPr>
        <w:t>des marques et moyens d</w:t>
      </w:r>
      <w:r w:rsidR="00F0248B">
        <w:rPr>
          <w:lang w:val="fr-FR"/>
        </w:rPr>
        <w:t>’</w:t>
      </w:r>
      <w:r>
        <w:rPr>
          <w:lang w:val="fr-FR"/>
        </w:rPr>
        <w:t>identification.</w:t>
      </w:r>
      <w:r w:rsidR="00F0248B">
        <w:rPr>
          <w:lang w:val="fr-FR"/>
        </w:rPr>
        <w:t> </w:t>
      </w:r>
      <w:r>
        <w:rPr>
          <w:lang w:val="fr-FR"/>
        </w:rPr>
        <w:t>»</w:t>
      </w:r>
      <w:bookmarkEnd w:id="26"/>
      <w:r w:rsidR="00F0248B">
        <w:rPr>
          <w:lang w:val="fr-FR"/>
        </w:rPr>
        <w:t>.</w:t>
      </w:r>
    </w:p>
    <w:p w:rsidR="00FF3E90" w:rsidRDefault="00FF3E90" w:rsidP="00FD4B1D">
      <w:pPr>
        <w:pStyle w:val="SingleTxtG"/>
        <w:ind w:firstLine="567"/>
      </w:pPr>
      <w:bookmarkStart w:id="27" w:name="bookmark_42"/>
      <w:r>
        <w:rPr>
          <w:lang w:val="fr-FR"/>
        </w:rPr>
        <w:t>Ces prescriptions sont considérées comme satisfaites si les normes énumérées au paragraphe 11 sont appliquées. Cependant, il ne semble pas évident que des personnes privées ou des entreprises remplissant des bouteilles à GPL pour leur propre approvisionnement soient en mesure de satisfaire à ces prescriptions.</w:t>
      </w:r>
      <w:bookmarkEnd w:id="27"/>
    </w:p>
    <w:p w:rsidR="00FF3E90" w:rsidRDefault="00FF3E90" w:rsidP="00FD4B1D">
      <w:pPr>
        <w:pStyle w:val="H1G"/>
      </w:pPr>
      <w:bookmarkStart w:id="28" w:name="bookmark_43"/>
      <w:r>
        <w:rPr>
          <w:lang w:val="fr-FR"/>
        </w:rPr>
        <w:tab/>
      </w:r>
      <w:r>
        <w:rPr>
          <w:lang w:val="fr-FR"/>
        </w:rPr>
        <w:tab/>
        <w:t>Aspects relatifs à la sécurité</w:t>
      </w:r>
      <w:bookmarkEnd w:id="28"/>
    </w:p>
    <w:p w:rsidR="00FF3E90" w:rsidRDefault="00FF3E90" w:rsidP="00FF3E90">
      <w:pPr>
        <w:pStyle w:val="SingleTxtG"/>
      </w:pPr>
      <w:bookmarkStart w:id="29" w:name="bookmark_44"/>
      <w:r>
        <w:rPr>
          <w:lang w:val="fr-FR"/>
        </w:rPr>
        <w:t>7.</w:t>
      </w:r>
      <w:r>
        <w:rPr>
          <w:lang w:val="fr-FR"/>
        </w:rPr>
        <w:tab/>
        <w:t>Pour prendre un exemple, la bouteille représentée sur la figure 5 a été récemment mise sur le marché suisse. Ce récipient à pression portant la marque Pi est conçu pour être rechargé dans les stations-service. Contrairement à la bouteille d</w:t>
      </w:r>
      <w:r w:rsidR="00F0248B">
        <w:rPr>
          <w:lang w:val="fr-FR"/>
        </w:rPr>
        <w:t>’</w:t>
      </w:r>
      <w:r>
        <w:rPr>
          <w:lang w:val="fr-FR"/>
        </w:rPr>
        <w:t>aluminium représentée sur la figure</w:t>
      </w:r>
      <w:r w:rsidR="00F0248B">
        <w:rPr>
          <w:lang w:val="fr-FR"/>
        </w:rPr>
        <w:t xml:space="preserve"> </w:t>
      </w:r>
      <w:r>
        <w:rPr>
          <w:lang w:val="fr-FR"/>
        </w:rPr>
        <w:t>4, il n</w:t>
      </w:r>
      <w:r w:rsidR="00F0248B">
        <w:rPr>
          <w:lang w:val="fr-FR"/>
        </w:rPr>
        <w:t>’</w:t>
      </w:r>
      <w:r>
        <w:rPr>
          <w:lang w:val="fr-FR"/>
        </w:rPr>
        <w:t>a qu</w:t>
      </w:r>
      <w:r w:rsidR="00F0248B">
        <w:rPr>
          <w:lang w:val="fr-FR"/>
        </w:rPr>
        <w:t>’</w:t>
      </w:r>
      <w:r>
        <w:rPr>
          <w:lang w:val="fr-FR"/>
        </w:rPr>
        <w:t>un seul robinet pour le remplissage et le vidage. Comme d</w:t>
      </w:r>
      <w:r w:rsidR="00F0248B">
        <w:rPr>
          <w:lang w:val="fr-FR"/>
        </w:rPr>
        <w:t>’</w:t>
      </w:r>
      <w:r>
        <w:rPr>
          <w:lang w:val="fr-FR"/>
        </w:rPr>
        <w:t>autres exemples de bouteilles représentées dans le présent document, il est équipé d</w:t>
      </w:r>
      <w:r w:rsidR="00F0248B">
        <w:rPr>
          <w:lang w:val="fr-FR"/>
        </w:rPr>
        <w:t>’</w:t>
      </w:r>
      <w:r>
        <w:rPr>
          <w:lang w:val="fr-FR"/>
        </w:rPr>
        <w:t>un dispositif de prévention automatique du débordement, qui désactive le processus de remplissage lorsque la bouteille est remplie à 80</w:t>
      </w:r>
      <w:r w:rsidR="00F0248B">
        <w:rPr>
          <w:lang w:val="fr-FR"/>
        </w:rPr>
        <w:t> </w:t>
      </w:r>
      <w:r>
        <w:rPr>
          <w:lang w:val="fr-FR"/>
        </w:rPr>
        <w:t>%, à condition que celle-ci soit en position verticale. Il est donc très important de veiller à ce que cette dernière condition soit remplie pendant le remplissage.</w:t>
      </w:r>
      <w:bookmarkEnd w:id="29"/>
    </w:p>
    <w:p w:rsidR="00FF3E90" w:rsidRDefault="00FF3E90" w:rsidP="00FF3E90">
      <w:pPr>
        <w:pStyle w:val="SingleTxtG"/>
        <w:rPr>
          <w:lang w:val="fr-FR"/>
        </w:rPr>
      </w:pPr>
      <w:bookmarkStart w:id="30" w:name="bookmark_45"/>
      <w:r>
        <w:rPr>
          <w:lang w:val="fr-FR"/>
        </w:rPr>
        <w:t xml:space="preserve">8. </w:t>
      </w:r>
      <w:r>
        <w:rPr>
          <w:lang w:val="fr-FR"/>
        </w:rPr>
        <w:tab/>
        <w:t>Nous constatons également que l</w:t>
      </w:r>
      <w:r w:rsidR="00F0248B">
        <w:rPr>
          <w:lang w:val="fr-FR"/>
        </w:rPr>
        <w:t>’</w:t>
      </w:r>
      <w:r>
        <w:rPr>
          <w:lang w:val="fr-FR"/>
        </w:rPr>
        <w:t>utilisation des adaptateurs nécessaires pour remplir les bouteilles dans différents pays pose un grave problème de sécurité. Par exemple, en Suisse, deux adaptateurs consécutifs sont nécessaires pour remplir la bouteille composite représentée sur la figure 7, et un autre adaptateur est nécessaire pour utiliser le GPL. À</w:t>
      </w:r>
      <w:r w:rsidR="00F0248B">
        <w:rPr>
          <w:lang w:val="fr-FR"/>
        </w:rPr>
        <w:t> </w:t>
      </w:r>
      <w:r>
        <w:rPr>
          <w:lang w:val="fr-FR"/>
        </w:rPr>
        <w:t>notre avis, ces manipulations successives d</w:t>
      </w:r>
      <w:r w:rsidR="00F0248B">
        <w:rPr>
          <w:lang w:val="fr-FR"/>
        </w:rPr>
        <w:t>’</w:t>
      </w:r>
      <w:r>
        <w:rPr>
          <w:lang w:val="fr-FR"/>
        </w:rPr>
        <w:t>adaptateurs réduisent la sécurité.</w:t>
      </w:r>
      <w:bookmarkEnd w:id="30"/>
    </w:p>
    <w:p w:rsidR="00FD4B1D" w:rsidRDefault="00FD4B1D" w:rsidP="00FD4B1D">
      <w:pPr>
        <w:pStyle w:val="SingleTxtG"/>
        <w:jc w:val="left"/>
        <w:rPr>
          <w:b/>
          <w:lang w:val="fr-FR"/>
        </w:rPr>
      </w:pPr>
      <w:r>
        <w:rPr>
          <w:lang w:val="fr-FR"/>
        </w:rPr>
        <w:br w:type="page"/>
      </w:r>
      <w:r>
        <w:rPr>
          <w:lang w:val="fr-FR"/>
        </w:rPr>
        <w:lastRenderedPageBreak/>
        <w:t>Figure 7.</w:t>
      </w:r>
      <w:r>
        <w:rPr>
          <w:lang w:val="fr-FR"/>
        </w:rPr>
        <w:br/>
      </w:r>
      <w:r w:rsidRPr="00FD4B1D">
        <w:rPr>
          <w:b/>
          <w:lang w:val="fr-FR"/>
        </w:rPr>
        <w:t>Succession de deux adaptateurs</w:t>
      </w:r>
    </w:p>
    <w:p w:rsidR="00FD4B1D" w:rsidRDefault="00FD4B1D" w:rsidP="00FD4B1D">
      <w:pPr>
        <w:pStyle w:val="SingleTxtG"/>
        <w:jc w:val="left"/>
        <w:rPr>
          <w:lang w:val="fr-FR"/>
        </w:rPr>
      </w:pPr>
      <w:r>
        <w:rPr>
          <w:noProof/>
          <w:lang w:eastAsia="fr-CH"/>
        </w:rPr>
        <w:drawing>
          <wp:inline distT="0" distB="0" distL="0" distR="0" wp14:anchorId="4BAAB66F" wp14:editId="6F25AA7F">
            <wp:extent cx="2648310" cy="1986943"/>
            <wp:effectExtent l="0" t="0" r="0" b="0"/>
            <wp:docPr id="8" name="Image 8" descr="H:\data\Règlements UN RID ADR RSD SDR\Filling of gas cylinders\7-Cylinder Safefill adaptor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Règlements UN RID ADR RSD SDR\Filling of gas cylinders\7-Cylinder Safefill adaptor pet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310" cy="1986943"/>
                    </a:xfrm>
                    <a:prstGeom prst="rect">
                      <a:avLst/>
                    </a:prstGeom>
                    <a:noFill/>
                    <a:ln>
                      <a:noFill/>
                    </a:ln>
                  </pic:spPr>
                </pic:pic>
              </a:graphicData>
            </a:graphic>
          </wp:inline>
        </w:drawing>
      </w:r>
    </w:p>
    <w:p w:rsidR="00FF3E90" w:rsidRDefault="00FF3E90" w:rsidP="00FD4B1D">
      <w:pPr>
        <w:pStyle w:val="SingleTxtG"/>
        <w:spacing w:before="120"/>
      </w:pPr>
      <w:bookmarkStart w:id="31" w:name="bookmark_47"/>
      <w:r>
        <w:rPr>
          <w:lang w:val="fr-FR"/>
        </w:rPr>
        <w:t>9.</w:t>
      </w:r>
      <w:r>
        <w:rPr>
          <w:lang w:val="fr-FR"/>
        </w:rPr>
        <w:tab/>
        <w:t>Enfin, nous nous interrogeons sur la manière dont les personnes privées respectent les dispositions énoncées dans le RID ou l</w:t>
      </w:r>
      <w:r w:rsidR="00F0248B">
        <w:rPr>
          <w:lang w:val="fr-FR"/>
        </w:rPr>
        <w:t>’</w:t>
      </w:r>
      <w:r>
        <w:rPr>
          <w:lang w:val="fr-FR"/>
        </w:rPr>
        <w:t>ADR concernant le contrôle périodique et le marquage, et comment elles vérifient l</w:t>
      </w:r>
      <w:r w:rsidR="00F0248B">
        <w:rPr>
          <w:lang w:val="fr-FR"/>
        </w:rPr>
        <w:t>’</w:t>
      </w:r>
      <w:r>
        <w:rPr>
          <w:lang w:val="fr-FR"/>
        </w:rPr>
        <w:t>absence de dommages susceptibles d</w:t>
      </w:r>
      <w:r w:rsidR="00F0248B">
        <w:rPr>
          <w:lang w:val="fr-FR"/>
        </w:rPr>
        <w:t>’</w:t>
      </w:r>
      <w:r>
        <w:rPr>
          <w:lang w:val="fr-FR"/>
        </w:rPr>
        <w:t>altérer la sécurité.</w:t>
      </w:r>
      <w:bookmarkEnd w:id="31"/>
    </w:p>
    <w:p w:rsidR="00FF3E90" w:rsidRDefault="00FF3E90" w:rsidP="00FF3E90">
      <w:pPr>
        <w:pStyle w:val="SingleTxtG"/>
      </w:pPr>
      <w:bookmarkStart w:id="32" w:name="bookmark_48"/>
      <w:r>
        <w:rPr>
          <w:lang w:val="fr-FR"/>
        </w:rPr>
        <w:t xml:space="preserve">10. </w:t>
      </w:r>
      <w:r>
        <w:rPr>
          <w:lang w:val="fr-FR"/>
        </w:rPr>
        <w:tab/>
        <w:t>Il nous paraît clair que les prescriptions en matière de sécurité s</w:t>
      </w:r>
      <w:r w:rsidR="00F0248B">
        <w:rPr>
          <w:lang w:val="fr-FR"/>
        </w:rPr>
        <w:t>’</w:t>
      </w:r>
      <w:r>
        <w:rPr>
          <w:lang w:val="fr-FR"/>
        </w:rPr>
        <w:t>appliquant aux stations-service et aux autres centres de remplissage sont fondées principalement sur les réglementations nationales. Toutefois, étant donné que les bouteilles sont destinées à être utilisées en transport international et peuvent être remplies par leur propriétaire dans différents pays, il est important de trouver une manière harmonisée de comprendre et d</w:t>
      </w:r>
      <w:r w:rsidR="00F0248B">
        <w:rPr>
          <w:lang w:val="fr-FR"/>
        </w:rPr>
        <w:t>’</w:t>
      </w:r>
      <w:r>
        <w:rPr>
          <w:lang w:val="fr-FR"/>
        </w:rPr>
        <w:t>appliquer les dispositions de l</w:t>
      </w:r>
      <w:r w:rsidR="00F0248B">
        <w:rPr>
          <w:lang w:val="fr-FR"/>
        </w:rPr>
        <w:t>’</w:t>
      </w:r>
      <w:r>
        <w:rPr>
          <w:lang w:val="fr-FR"/>
        </w:rPr>
        <w:t>instruction d</w:t>
      </w:r>
      <w:r w:rsidR="00F0248B">
        <w:rPr>
          <w:lang w:val="fr-FR"/>
        </w:rPr>
        <w:t>’</w:t>
      </w:r>
      <w:r>
        <w:rPr>
          <w:lang w:val="fr-FR"/>
        </w:rPr>
        <w:t>emballage P</w:t>
      </w:r>
      <w:r w:rsidR="00FD4B1D">
        <w:rPr>
          <w:lang w:val="fr-FR"/>
        </w:rPr>
        <w:t> </w:t>
      </w:r>
      <w:r>
        <w:rPr>
          <w:lang w:val="fr-FR"/>
        </w:rPr>
        <w:t>200 du RID et de l</w:t>
      </w:r>
      <w:r w:rsidR="00F0248B">
        <w:rPr>
          <w:lang w:val="fr-FR"/>
        </w:rPr>
        <w:t>’</w:t>
      </w:r>
      <w:r>
        <w:rPr>
          <w:lang w:val="fr-FR"/>
        </w:rPr>
        <w:t>ADR.</w:t>
      </w:r>
      <w:bookmarkEnd w:id="32"/>
    </w:p>
    <w:p w:rsidR="00FF3E90" w:rsidRDefault="00FF3E90" w:rsidP="00FD4B1D">
      <w:pPr>
        <w:pStyle w:val="H1G"/>
      </w:pPr>
      <w:bookmarkStart w:id="33" w:name="bookmark_49"/>
      <w:r>
        <w:rPr>
          <w:lang w:val="fr-FR"/>
        </w:rPr>
        <w:tab/>
      </w:r>
      <w:r>
        <w:rPr>
          <w:lang w:val="fr-FR"/>
        </w:rPr>
        <w:tab/>
        <w:t>Questions</w:t>
      </w:r>
      <w:bookmarkEnd w:id="33"/>
    </w:p>
    <w:p w:rsidR="00FF3E90" w:rsidRDefault="00FF3E90" w:rsidP="00FF3E90">
      <w:pPr>
        <w:pStyle w:val="SingleTxtG"/>
      </w:pPr>
      <w:bookmarkStart w:id="34" w:name="bookmark_50"/>
      <w:r>
        <w:rPr>
          <w:lang w:val="fr-FR"/>
        </w:rPr>
        <w:t>11.</w:t>
      </w:r>
      <w:r>
        <w:rPr>
          <w:lang w:val="fr-FR"/>
        </w:rPr>
        <w:tab/>
        <w:t>La Suisse aimerait connaître l</w:t>
      </w:r>
      <w:r w:rsidR="00F0248B">
        <w:rPr>
          <w:lang w:val="fr-FR"/>
        </w:rPr>
        <w:t>’</w:t>
      </w:r>
      <w:r>
        <w:rPr>
          <w:lang w:val="fr-FR"/>
        </w:rPr>
        <w:t>avis de la Réunion commune sur les aspects suivants  :</w:t>
      </w:r>
      <w:bookmarkEnd w:id="34"/>
    </w:p>
    <w:p w:rsidR="00FF3E90" w:rsidRDefault="00FF3E90" w:rsidP="00FF3E90">
      <w:pPr>
        <w:pStyle w:val="SingleTxtG"/>
        <w:kinsoku/>
        <w:overflowPunct/>
        <w:autoSpaceDE/>
        <w:autoSpaceDN/>
        <w:adjustRightInd/>
        <w:snapToGrid/>
        <w:ind w:left="2268" w:hanging="567"/>
      </w:pPr>
      <w:bookmarkStart w:id="35" w:name="bookmark_51"/>
      <w:r>
        <w:rPr>
          <w:lang w:val="fr-FR"/>
        </w:rPr>
        <w:t>a)</w:t>
      </w:r>
      <w:r>
        <w:rPr>
          <w:lang w:val="fr-FR"/>
        </w:rPr>
        <w:tab/>
        <w:t>Comment le remplissage des bouteilles à GPL portables à des stations-service et à d</w:t>
      </w:r>
      <w:r w:rsidR="00F0248B">
        <w:rPr>
          <w:lang w:val="fr-FR"/>
        </w:rPr>
        <w:t>’</w:t>
      </w:r>
      <w:r>
        <w:rPr>
          <w:lang w:val="fr-FR"/>
        </w:rPr>
        <w:t>autres centres de remplissage est-il réglementé dans les différents pays appliquant le RID et l</w:t>
      </w:r>
      <w:r w:rsidR="00F0248B">
        <w:rPr>
          <w:lang w:val="fr-FR"/>
        </w:rPr>
        <w:t>’</w:t>
      </w:r>
      <w:r>
        <w:rPr>
          <w:lang w:val="fr-FR"/>
        </w:rPr>
        <w:t>ADR ?</w:t>
      </w:r>
      <w:bookmarkEnd w:id="35"/>
    </w:p>
    <w:p w:rsidR="00FF3E90" w:rsidRDefault="00FF3E90" w:rsidP="00FF3E90">
      <w:pPr>
        <w:pStyle w:val="SingleTxtG"/>
        <w:kinsoku/>
        <w:overflowPunct/>
        <w:autoSpaceDE/>
        <w:autoSpaceDN/>
        <w:adjustRightInd/>
        <w:snapToGrid/>
        <w:ind w:left="2268" w:hanging="567"/>
      </w:pPr>
      <w:bookmarkStart w:id="36" w:name="bookmark_52"/>
      <w:r>
        <w:rPr>
          <w:lang w:val="fr-FR"/>
        </w:rPr>
        <w:t>b)</w:t>
      </w:r>
      <w:r>
        <w:rPr>
          <w:lang w:val="fr-FR"/>
        </w:rPr>
        <w:tab/>
        <w:t>Considérant que le RID et l</w:t>
      </w:r>
      <w:r w:rsidR="00F0248B">
        <w:rPr>
          <w:lang w:val="fr-FR"/>
        </w:rPr>
        <w:t>’</w:t>
      </w:r>
      <w:r>
        <w:rPr>
          <w:lang w:val="fr-FR"/>
        </w:rPr>
        <w:t>ADR prévoient des dérogations (1.1.3.1, 1.1.3.2), l</w:t>
      </w:r>
      <w:r w:rsidR="00F0248B">
        <w:rPr>
          <w:lang w:val="fr-FR"/>
        </w:rPr>
        <w:t>’</w:t>
      </w:r>
      <w:r>
        <w:rPr>
          <w:lang w:val="fr-FR"/>
        </w:rPr>
        <w:t>instruction d</w:t>
      </w:r>
      <w:r w:rsidR="00F0248B">
        <w:rPr>
          <w:lang w:val="fr-FR"/>
        </w:rPr>
        <w:t>’</w:t>
      </w:r>
      <w:r>
        <w:rPr>
          <w:lang w:val="fr-FR"/>
        </w:rPr>
        <w:t>emballage P</w:t>
      </w:r>
      <w:r w:rsidR="00FD4B1D">
        <w:rPr>
          <w:lang w:val="fr-FR"/>
        </w:rPr>
        <w:t> </w:t>
      </w:r>
      <w:r>
        <w:rPr>
          <w:lang w:val="fr-FR"/>
        </w:rPr>
        <w:t>200 est-elle applicable aux particuliers et aux entreprises qui remplissent des bouteilles portables pour leur propre approvisionnement ?</w:t>
      </w:r>
      <w:bookmarkEnd w:id="36"/>
    </w:p>
    <w:p w:rsidR="00FF3E90" w:rsidRDefault="00FF3E90" w:rsidP="00FF3E90">
      <w:pPr>
        <w:pStyle w:val="SingleTxtG"/>
        <w:kinsoku/>
        <w:overflowPunct/>
        <w:autoSpaceDE/>
        <w:autoSpaceDN/>
        <w:adjustRightInd/>
        <w:snapToGrid/>
        <w:ind w:left="2268" w:hanging="567"/>
      </w:pPr>
      <w:bookmarkStart w:id="37" w:name="bookmark_53"/>
      <w:r>
        <w:rPr>
          <w:lang w:val="fr-FR"/>
        </w:rPr>
        <w:t>c)</w:t>
      </w:r>
      <w:r>
        <w:rPr>
          <w:lang w:val="fr-FR"/>
        </w:rPr>
        <w:tab/>
        <w:t>Est-il possible, pour les particuliers et les entreprises qui remplissent des bouteilles portables pour leur propre approvisionnement, de remplir lesdites bouteilles conformément aux prescriptions de l</w:t>
      </w:r>
      <w:r w:rsidR="00F0248B">
        <w:rPr>
          <w:lang w:val="fr-FR"/>
        </w:rPr>
        <w:t>’</w:t>
      </w:r>
      <w:r>
        <w:rPr>
          <w:lang w:val="fr-FR"/>
        </w:rPr>
        <w:t>instruction d</w:t>
      </w:r>
      <w:r w:rsidR="00F0248B">
        <w:rPr>
          <w:lang w:val="fr-FR"/>
        </w:rPr>
        <w:t>’</w:t>
      </w:r>
      <w:r>
        <w:rPr>
          <w:lang w:val="fr-FR"/>
        </w:rPr>
        <w:t>emballage P 200 ?</w:t>
      </w:r>
      <w:bookmarkEnd w:id="37"/>
    </w:p>
    <w:p w:rsidR="00FF3E90" w:rsidRDefault="00FF3E90" w:rsidP="00FF3E90">
      <w:pPr>
        <w:pStyle w:val="SingleTxtG"/>
        <w:kinsoku/>
        <w:overflowPunct/>
        <w:autoSpaceDE/>
        <w:autoSpaceDN/>
        <w:adjustRightInd/>
        <w:snapToGrid/>
        <w:ind w:left="2268" w:hanging="567"/>
      </w:pPr>
      <w:bookmarkStart w:id="38" w:name="bookmark_54"/>
      <w:r>
        <w:rPr>
          <w:lang w:val="fr-FR"/>
        </w:rPr>
        <w:t>d)</w:t>
      </w:r>
      <w:r>
        <w:rPr>
          <w:lang w:val="fr-FR"/>
        </w:rPr>
        <w:tab/>
        <w:t>Considérant que les caravanes et autocaravanes voyagent dans toute l</w:t>
      </w:r>
      <w:r w:rsidR="00F0248B">
        <w:rPr>
          <w:lang w:val="fr-FR"/>
        </w:rPr>
        <w:t>’</w:t>
      </w:r>
      <w:r>
        <w:rPr>
          <w:lang w:val="fr-FR"/>
        </w:rPr>
        <w:t>Europe, le remplissage des bouteilles à GPL portables à des stations-service ou à d</w:t>
      </w:r>
      <w:r w:rsidR="00F0248B">
        <w:rPr>
          <w:lang w:val="fr-FR"/>
        </w:rPr>
        <w:t>’</w:t>
      </w:r>
      <w:r>
        <w:rPr>
          <w:lang w:val="fr-FR"/>
        </w:rPr>
        <w:t>autres installations de remplissage devrait-il faire l</w:t>
      </w:r>
      <w:r w:rsidR="00F0248B">
        <w:rPr>
          <w:lang w:val="fr-FR"/>
        </w:rPr>
        <w:t>’</w:t>
      </w:r>
      <w:r>
        <w:rPr>
          <w:lang w:val="fr-FR"/>
        </w:rPr>
        <w:t>objet d</w:t>
      </w:r>
      <w:r w:rsidR="00F0248B">
        <w:rPr>
          <w:lang w:val="fr-FR"/>
        </w:rPr>
        <w:t>’</w:t>
      </w:r>
      <w:r>
        <w:rPr>
          <w:lang w:val="fr-FR"/>
        </w:rPr>
        <w:t xml:space="preserve">une réglementation internationale ? </w:t>
      </w:r>
      <w:bookmarkEnd w:id="38"/>
    </w:p>
    <w:p w:rsidR="00FF3E90" w:rsidRDefault="00FF3E90" w:rsidP="00FF3E90">
      <w:pPr>
        <w:pStyle w:val="SingleTxtG"/>
        <w:kinsoku/>
        <w:overflowPunct/>
        <w:autoSpaceDE/>
        <w:autoSpaceDN/>
        <w:adjustRightInd/>
        <w:snapToGrid/>
        <w:ind w:left="2268" w:hanging="567"/>
      </w:pPr>
      <w:bookmarkStart w:id="39" w:name="bookmark_55"/>
      <w:r>
        <w:rPr>
          <w:lang w:val="fr-FR"/>
        </w:rPr>
        <w:t>e)</w:t>
      </w:r>
      <w:r>
        <w:rPr>
          <w:lang w:val="fr-FR"/>
        </w:rPr>
        <w:tab/>
        <w:t>Est-il nécessaire d</w:t>
      </w:r>
      <w:r w:rsidR="00F0248B">
        <w:rPr>
          <w:lang w:val="fr-FR"/>
        </w:rPr>
        <w:t>’</w:t>
      </w:r>
      <w:r>
        <w:rPr>
          <w:lang w:val="fr-FR"/>
        </w:rPr>
        <w:t>adapter la réglementation relative au transport des marchandises dangereuses ?</w:t>
      </w:r>
      <w:bookmarkEnd w:id="39"/>
    </w:p>
    <w:p w:rsidR="00F9573C" w:rsidRDefault="00FF3E90" w:rsidP="00FF3E90">
      <w:pPr>
        <w:pStyle w:val="SingleTxtG"/>
        <w:kinsoku/>
        <w:overflowPunct/>
        <w:autoSpaceDE/>
        <w:autoSpaceDN/>
        <w:adjustRightInd/>
        <w:snapToGrid/>
        <w:ind w:left="2268" w:hanging="567"/>
        <w:rPr>
          <w:lang w:val="fr-FR"/>
        </w:rPr>
      </w:pPr>
      <w:bookmarkStart w:id="40" w:name="bookmark_56"/>
      <w:r>
        <w:rPr>
          <w:lang w:val="fr-FR"/>
        </w:rPr>
        <w:t>f)</w:t>
      </w:r>
      <w:r>
        <w:rPr>
          <w:lang w:val="fr-FR"/>
        </w:rPr>
        <w:tab/>
        <w:t>D</w:t>
      </w:r>
      <w:r w:rsidR="00F0248B">
        <w:rPr>
          <w:lang w:val="fr-FR"/>
        </w:rPr>
        <w:t>’</w:t>
      </w:r>
      <w:r>
        <w:rPr>
          <w:lang w:val="fr-FR"/>
        </w:rPr>
        <w:t>autres mesures sont-elles nécessaires pour garantir la sécurité ?</w:t>
      </w:r>
      <w:bookmarkEnd w:id="40"/>
    </w:p>
    <w:p w:rsidR="00FD4B1D" w:rsidRPr="00FD4B1D" w:rsidRDefault="00FD4B1D" w:rsidP="00FD4B1D">
      <w:pPr>
        <w:pStyle w:val="SingleTxtG"/>
        <w:spacing w:before="240" w:after="0"/>
        <w:jc w:val="center"/>
        <w:rPr>
          <w:u w:val="single"/>
        </w:rPr>
      </w:pPr>
      <w:r>
        <w:rPr>
          <w:u w:val="single"/>
        </w:rPr>
        <w:tab/>
      </w:r>
      <w:r>
        <w:rPr>
          <w:u w:val="single"/>
        </w:rPr>
        <w:tab/>
      </w:r>
      <w:r>
        <w:rPr>
          <w:u w:val="single"/>
        </w:rPr>
        <w:tab/>
      </w:r>
    </w:p>
    <w:sectPr w:rsidR="00FD4B1D" w:rsidRPr="00FD4B1D" w:rsidSect="00FF3E90">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0FD" w:rsidRDefault="00C570FD" w:rsidP="00F95C08">
      <w:pPr>
        <w:spacing w:line="240" w:lineRule="auto"/>
      </w:pPr>
    </w:p>
  </w:endnote>
  <w:endnote w:type="continuationSeparator" w:id="0">
    <w:p w:rsidR="00C570FD" w:rsidRPr="00AC3823" w:rsidRDefault="00C570FD" w:rsidP="00AC3823">
      <w:pPr>
        <w:pStyle w:val="Footer"/>
      </w:pPr>
    </w:p>
  </w:endnote>
  <w:endnote w:type="continuationNotice" w:id="1">
    <w:p w:rsidR="00C570FD" w:rsidRDefault="00C570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90" w:rsidRPr="00FF3E90" w:rsidRDefault="00FF3E90" w:rsidP="00FF3E90">
    <w:pPr>
      <w:pStyle w:val="Footer"/>
      <w:tabs>
        <w:tab w:val="right" w:pos="9638"/>
      </w:tabs>
    </w:pPr>
    <w:r w:rsidRPr="00FF3E90">
      <w:rPr>
        <w:b/>
        <w:sz w:val="18"/>
      </w:rPr>
      <w:fldChar w:fldCharType="begin"/>
    </w:r>
    <w:r w:rsidRPr="00FF3E90">
      <w:rPr>
        <w:b/>
        <w:sz w:val="18"/>
      </w:rPr>
      <w:instrText xml:space="preserve"> PAGE  \* MERGEFORMAT </w:instrText>
    </w:r>
    <w:r w:rsidRPr="00FF3E90">
      <w:rPr>
        <w:b/>
        <w:sz w:val="18"/>
      </w:rPr>
      <w:fldChar w:fldCharType="separate"/>
    </w:r>
    <w:r w:rsidR="00761941">
      <w:rPr>
        <w:b/>
        <w:noProof/>
        <w:sz w:val="18"/>
      </w:rPr>
      <w:t>2</w:t>
    </w:r>
    <w:r w:rsidRPr="00FF3E90">
      <w:rPr>
        <w:b/>
        <w:sz w:val="18"/>
      </w:rPr>
      <w:fldChar w:fldCharType="end"/>
    </w:r>
    <w:r>
      <w:rPr>
        <w:b/>
        <w:sz w:val="18"/>
      </w:rPr>
      <w:tab/>
    </w:r>
    <w:r>
      <w:t>GE.17-23049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90" w:rsidRPr="00FF3E90" w:rsidRDefault="00FF3E90" w:rsidP="00FF3E90">
    <w:pPr>
      <w:pStyle w:val="Footer"/>
      <w:tabs>
        <w:tab w:val="right" w:pos="9638"/>
      </w:tabs>
      <w:rPr>
        <w:b/>
        <w:sz w:val="18"/>
      </w:rPr>
    </w:pPr>
    <w:r>
      <w:t>GE.17-23049</w:t>
    </w:r>
    <w:r>
      <w:tab/>
    </w:r>
    <w:r w:rsidRPr="00FF3E90">
      <w:rPr>
        <w:b/>
        <w:sz w:val="18"/>
      </w:rPr>
      <w:fldChar w:fldCharType="begin"/>
    </w:r>
    <w:r w:rsidRPr="00FF3E90">
      <w:rPr>
        <w:b/>
        <w:sz w:val="18"/>
      </w:rPr>
      <w:instrText xml:space="preserve"> PAGE  \* MERGEFORMAT </w:instrText>
    </w:r>
    <w:r w:rsidRPr="00FF3E90">
      <w:rPr>
        <w:b/>
        <w:sz w:val="18"/>
      </w:rPr>
      <w:fldChar w:fldCharType="separate"/>
    </w:r>
    <w:r w:rsidR="00761941">
      <w:rPr>
        <w:b/>
        <w:noProof/>
        <w:sz w:val="18"/>
      </w:rPr>
      <w:t>5</w:t>
    </w:r>
    <w:r w:rsidRPr="00FF3E9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0FA" w:rsidRPr="00FF3E90" w:rsidRDefault="00FF3E90" w:rsidP="00FF3E90">
    <w:pPr>
      <w:pStyle w:val="Footer"/>
      <w:spacing w:before="120"/>
      <w:rPr>
        <w:sz w:val="20"/>
      </w:rPr>
    </w:pPr>
    <w:r>
      <w:rPr>
        <w:sz w:val="20"/>
      </w:rPr>
      <w:t>GE.</w:t>
    </w:r>
    <w:r w:rsidR="007F20FA">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17-23049  (F)</w:t>
    </w:r>
    <w:r w:rsidR="00C405F2">
      <w:rPr>
        <w:sz w:val="20"/>
      </w:rPr>
      <w:t xml:space="preserve">    100118    100118</w:t>
    </w:r>
    <w:r>
      <w:rPr>
        <w:sz w:val="20"/>
      </w:rPr>
      <w:br/>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sidRPr="00FF3E90">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5/AC.1/2018/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5/AC.1/2018/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0FD" w:rsidRPr="00AC3823" w:rsidRDefault="00C570FD" w:rsidP="00AC3823">
      <w:pPr>
        <w:pStyle w:val="Footer"/>
        <w:tabs>
          <w:tab w:val="right" w:pos="2155"/>
        </w:tabs>
        <w:spacing w:after="80" w:line="240" w:lineRule="atLeast"/>
        <w:ind w:left="680"/>
        <w:rPr>
          <w:u w:val="single"/>
        </w:rPr>
      </w:pPr>
      <w:r>
        <w:rPr>
          <w:u w:val="single"/>
        </w:rPr>
        <w:tab/>
      </w:r>
    </w:p>
  </w:footnote>
  <w:footnote w:type="continuationSeparator" w:id="0">
    <w:p w:rsidR="00C570FD" w:rsidRPr="00AC3823" w:rsidRDefault="00C570FD" w:rsidP="00AC3823">
      <w:pPr>
        <w:pStyle w:val="Footer"/>
        <w:tabs>
          <w:tab w:val="right" w:pos="2155"/>
        </w:tabs>
        <w:spacing w:after="80" w:line="240" w:lineRule="atLeast"/>
        <w:ind w:left="680"/>
        <w:rPr>
          <w:u w:val="single"/>
        </w:rPr>
      </w:pPr>
      <w:r>
        <w:rPr>
          <w:u w:val="single"/>
        </w:rPr>
        <w:tab/>
      </w:r>
    </w:p>
  </w:footnote>
  <w:footnote w:type="continuationNotice" w:id="1">
    <w:p w:rsidR="00C570FD" w:rsidRPr="00AC3823" w:rsidRDefault="00C570FD">
      <w:pPr>
        <w:spacing w:line="240" w:lineRule="auto"/>
        <w:rPr>
          <w:sz w:val="2"/>
          <w:szCs w:val="2"/>
        </w:rPr>
      </w:pPr>
    </w:p>
  </w:footnote>
  <w:footnote w:id="2">
    <w:p w:rsidR="00FF3E90" w:rsidRPr="003C53EC" w:rsidRDefault="00FF3E90" w:rsidP="00FF3E90">
      <w:pPr>
        <w:pStyle w:val="FootnoteText"/>
        <w:tabs>
          <w:tab w:val="clear" w:pos="1021"/>
          <w:tab w:val="right" w:pos="1000"/>
        </w:tabs>
        <w:rPr>
          <w:rStyle w:val="FootnoteReference"/>
          <w:sz w:val="20"/>
        </w:rPr>
      </w:pPr>
      <w:bookmarkStart w:id="6" w:name="footnoteBookmark_19"/>
      <w:r>
        <w:rPr>
          <w:lang w:val="fr-FR"/>
        </w:rPr>
        <w:tab/>
      </w:r>
      <w:r w:rsidRPr="00EC3EE6">
        <w:rPr>
          <w:rStyle w:val="FootnoteReference"/>
          <w:sz w:val="20"/>
          <w:lang w:val="fr-FR"/>
        </w:rPr>
        <w:footnoteRef/>
      </w:r>
      <w:r>
        <w:rPr>
          <w:lang w:val="fr-FR"/>
        </w:rPr>
        <w:tab/>
        <w:t>Conformément au programme de travail du Comité des transports intérieurs pour 2018-2019 (ECE/TRANS/WP.15/237, annexe V (9.2)).</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90" w:rsidRPr="00FF3E90" w:rsidRDefault="00761941">
    <w:pPr>
      <w:pStyle w:val="Header"/>
    </w:pPr>
    <w:r>
      <w:fldChar w:fldCharType="begin"/>
    </w:r>
    <w:r>
      <w:instrText xml:space="preserve"> TITLE  \* MERGEFORMAT </w:instrText>
    </w:r>
    <w:r>
      <w:fldChar w:fldCharType="separate"/>
    </w:r>
    <w:r w:rsidR="00C606A1">
      <w:t>ECE/TRANS/WP.15/AC.1/2018/4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90" w:rsidRPr="00FF3E90" w:rsidRDefault="00761941" w:rsidP="00FF3E90">
    <w:pPr>
      <w:pStyle w:val="Header"/>
      <w:jc w:val="right"/>
    </w:pPr>
    <w:r>
      <w:fldChar w:fldCharType="begin"/>
    </w:r>
    <w:r>
      <w:instrText xml:space="preserve"> TITLE  \* MERGEFORMAT </w:instrText>
    </w:r>
    <w:r>
      <w:fldChar w:fldCharType="separate"/>
    </w:r>
    <w:r w:rsidR="00C606A1">
      <w:t>ECE/TRANS/WP.15/AC.1/2018/4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8E1AEC9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8B70F7B"/>
    <w:multiLevelType w:val="hybridMultilevel"/>
    <w:tmpl w:val="41780A32"/>
    <w:lvl w:ilvl="0" w:tplc="04090017">
      <w:start w:val="1"/>
      <w:numFmt w:val="lowerLetter"/>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2" w15:restartNumberingAfterBreak="0">
    <w:nsid w:val="3ACF4EB2"/>
    <w:multiLevelType w:val="hybridMultilevel"/>
    <w:tmpl w:val="979CD29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6700CE80"/>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2"/>
  </w:num>
  <w:num w:numId="16">
    <w:abstractNumId w:val="10"/>
  </w:num>
  <w:num w:numId="17">
    <w:abstractNumId w:val="11"/>
    <w:lvlOverride w:ilvl="0">
      <w:lvl w:ilvl="0" w:tplc="04090017">
        <w:start w:val="1"/>
        <w:numFmt w:val="lowerLetter"/>
        <w:lvlText w:val="%1)"/>
        <w:lvlJc w:val="left"/>
        <w:pPr>
          <w:ind w:left="1854" w:hanging="360"/>
        </w:pPr>
      </w:lvl>
    </w:lvlOverride>
  </w:num>
  <w:num w:numId="18">
    <w:abstractNumId w:val="13"/>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0FD"/>
    <w:rsid w:val="00017F94"/>
    <w:rsid w:val="00023842"/>
    <w:rsid w:val="000334F9"/>
    <w:rsid w:val="00045FEB"/>
    <w:rsid w:val="00070B25"/>
    <w:rsid w:val="0007796D"/>
    <w:rsid w:val="000B7790"/>
    <w:rsid w:val="00111F2F"/>
    <w:rsid w:val="0014365E"/>
    <w:rsid w:val="00143C66"/>
    <w:rsid w:val="00176178"/>
    <w:rsid w:val="001F525A"/>
    <w:rsid w:val="00223272"/>
    <w:rsid w:val="0024779E"/>
    <w:rsid w:val="00257168"/>
    <w:rsid w:val="002744B8"/>
    <w:rsid w:val="002832AC"/>
    <w:rsid w:val="002D7C93"/>
    <w:rsid w:val="00305801"/>
    <w:rsid w:val="003916DE"/>
    <w:rsid w:val="00441C3B"/>
    <w:rsid w:val="00446FE5"/>
    <w:rsid w:val="00452396"/>
    <w:rsid w:val="004837D8"/>
    <w:rsid w:val="004E468C"/>
    <w:rsid w:val="005505B7"/>
    <w:rsid w:val="00573BE5"/>
    <w:rsid w:val="00586ED3"/>
    <w:rsid w:val="00596AA9"/>
    <w:rsid w:val="0071601D"/>
    <w:rsid w:val="00761941"/>
    <w:rsid w:val="007A62E6"/>
    <w:rsid w:val="007F20FA"/>
    <w:rsid w:val="0080684C"/>
    <w:rsid w:val="00871C75"/>
    <w:rsid w:val="008776DC"/>
    <w:rsid w:val="009446C0"/>
    <w:rsid w:val="009705C8"/>
    <w:rsid w:val="009C1CF4"/>
    <w:rsid w:val="009F6B74"/>
    <w:rsid w:val="00A30353"/>
    <w:rsid w:val="00AC3823"/>
    <w:rsid w:val="00AE323C"/>
    <w:rsid w:val="00AF0CB5"/>
    <w:rsid w:val="00B00181"/>
    <w:rsid w:val="00B00B0D"/>
    <w:rsid w:val="00B765F7"/>
    <w:rsid w:val="00BA0CA9"/>
    <w:rsid w:val="00C02897"/>
    <w:rsid w:val="00C405F2"/>
    <w:rsid w:val="00C570FD"/>
    <w:rsid w:val="00C606A1"/>
    <w:rsid w:val="00C97039"/>
    <w:rsid w:val="00D3439C"/>
    <w:rsid w:val="00DB1831"/>
    <w:rsid w:val="00DD3BFD"/>
    <w:rsid w:val="00DF6678"/>
    <w:rsid w:val="00E0299A"/>
    <w:rsid w:val="00E85C74"/>
    <w:rsid w:val="00EA6547"/>
    <w:rsid w:val="00EF2E22"/>
    <w:rsid w:val="00F0248B"/>
    <w:rsid w:val="00F17C7B"/>
    <w:rsid w:val="00F35BAF"/>
    <w:rsid w:val="00F660DF"/>
    <w:rsid w:val="00F94664"/>
    <w:rsid w:val="00F9573C"/>
    <w:rsid w:val="00F95C08"/>
    <w:rsid w:val="00FD4B1D"/>
    <w:rsid w:val="00FF3E9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E65C54-0A2C-4509-987B-C62EB068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48B"/>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F0248B"/>
    <w:pPr>
      <w:keepNext/>
      <w:keepLines/>
      <w:spacing w:after="0" w:line="240" w:lineRule="auto"/>
      <w:ind w:right="0"/>
      <w:jc w:val="left"/>
      <w:outlineLvl w:val="0"/>
    </w:pPr>
  </w:style>
  <w:style w:type="paragraph" w:styleId="Heading2">
    <w:name w:val="heading 2"/>
    <w:basedOn w:val="Normal"/>
    <w:next w:val="Normal"/>
    <w:link w:val="Heading2Char"/>
    <w:semiHidden/>
    <w:qFormat/>
    <w:rsid w:val="00F0248B"/>
    <w:pPr>
      <w:outlineLvl w:val="1"/>
    </w:pPr>
  </w:style>
  <w:style w:type="paragraph" w:styleId="Heading3">
    <w:name w:val="heading 3"/>
    <w:basedOn w:val="Normal"/>
    <w:next w:val="Normal"/>
    <w:link w:val="Heading3Char"/>
    <w:semiHidden/>
    <w:qFormat/>
    <w:rsid w:val="00F0248B"/>
    <w:pPr>
      <w:outlineLvl w:val="2"/>
    </w:pPr>
  </w:style>
  <w:style w:type="paragraph" w:styleId="Heading4">
    <w:name w:val="heading 4"/>
    <w:basedOn w:val="Normal"/>
    <w:next w:val="Normal"/>
    <w:link w:val="Heading4Char"/>
    <w:semiHidden/>
    <w:qFormat/>
    <w:rsid w:val="00F0248B"/>
    <w:pPr>
      <w:outlineLvl w:val="3"/>
    </w:pPr>
  </w:style>
  <w:style w:type="paragraph" w:styleId="Heading5">
    <w:name w:val="heading 5"/>
    <w:basedOn w:val="Normal"/>
    <w:next w:val="Normal"/>
    <w:link w:val="Heading5Char"/>
    <w:semiHidden/>
    <w:qFormat/>
    <w:rsid w:val="00F0248B"/>
    <w:pPr>
      <w:outlineLvl w:val="4"/>
    </w:pPr>
  </w:style>
  <w:style w:type="paragraph" w:styleId="Heading6">
    <w:name w:val="heading 6"/>
    <w:basedOn w:val="Normal"/>
    <w:next w:val="Normal"/>
    <w:link w:val="Heading6Char"/>
    <w:semiHidden/>
    <w:qFormat/>
    <w:rsid w:val="00F0248B"/>
    <w:pPr>
      <w:outlineLvl w:val="5"/>
    </w:pPr>
  </w:style>
  <w:style w:type="paragraph" w:styleId="Heading7">
    <w:name w:val="heading 7"/>
    <w:basedOn w:val="Normal"/>
    <w:next w:val="Normal"/>
    <w:link w:val="Heading7Char"/>
    <w:semiHidden/>
    <w:qFormat/>
    <w:rsid w:val="00F0248B"/>
    <w:pPr>
      <w:outlineLvl w:val="6"/>
    </w:pPr>
  </w:style>
  <w:style w:type="paragraph" w:styleId="Heading8">
    <w:name w:val="heading 8"/>
    <w:basedOn w:val="Normal"/>
    <w:next w:val="Normal"/>
    <w:link w:val="Heading8Char"/>
    <w:semiHidden/>
    <w:qFormat/>
    <w:rsid w:val="00F0248B"/>
    <w:pPr>
      <w:outlineLvl w:val="7"/>
    </w:pPr>
  </w:style>
  <w:style w:type="paragraph" w:styleId="Heading9">
    <w:name w:val="heading 9"/>
    <w:basedOn w:val="Normal"/>
    <w:next w:val="Normal"/>
    <w:link w:val="Heading9Char"/>
    <w:semiHidden/>
    <w:qFormat/>
    <w:rsid w:val="00F0248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F0248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F0248B"/>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F0248B"/>
    <w:pPr>
      <w:spacing w:line="240" w:lineRule="auto"/>
    </w:pPr>
    <w:rPr>
      <w:sz w:val="16"/>
    </w:rPr>
  </w:style>
  <w:style w:type="character" w:customStyle="1" w:styleId="FooterChar">
    <w:name w:val="Footer Char"/>
    <w:aliases w:val="3_G Char"/>
    <w:basedOn w:val="DefaultParagraphFont"/>
    <w:link w:val="Footer"/>
    <w:rsid w:val="00F0248B"/>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F0248B"/>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F0248B"/>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F0248B"/>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F0248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F0248B"/>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F0248B"/>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F0248B"/>
    <w:pPr>
      <w:spacing w:after="120"/>
      <w:ind w:left="1134" w:right="1134"/>
      <w:jc w:val="both"/>
    </w:pPr>
  </w:style>
  <w:style w:type="paragraph" w:customStyle="1" w:styleId="SLG">
    <w:name w:val="__S_L_G"/>
    <w:basedOn w:val="Normal"/>
    <w:next w:val="Normal"/>
    <w:rsid w:val="00F0248B"/>
    <w:pPr>
      <w:keepNext/>
      <w:keepLines/>
      <w:spacing w:before="240" w:after="240" w:line="580" w:lineRule="exact"/>
      <w:ind w:left="1134" w:right="1134"/>
    </w:pPr>
    <w:rPr>
      <w:b/>
      <w:sz w:val="56"/>
    </w:rPr>
  </w:style>
  <w:style w:type="paragraph" w:customStyle="1" w:styleId="SMG">
    <w:name w:val="__S_M_G"/>
    <w:basedOn w:val="Normal"/>
    <w:next w:val="Normal"/>
    <w:rsid w:val="00F0248B"/>
    <w:pPr>
      <w:keepNext/>
      <w:keepLines/>
      <w:spacing w:before="240" w:after="240" w:line="420" w:lineRule="exact"/>
      <w:ind w:left="1134" w:right="1134"/>
    </w:pPr>
    <w:rPr>
      <w:b/>
      <w:sz w:val="40"/>
    </w:rPr>
  </w:style>
  <w:style w:type="paragraph" w:customStyle="1" w:styleId="SSG">
    <w:name w:val="__S_S_G"/>
    <w:basedOn w:val="Normal"/>
    <w:next w:val="Normal"/>
    <w:rsid w:val="00F0248B"/>
    <w:pPr>
      <w:keepNext/>
      <w:keepLines/>
      <w:spacing w:before="240" w:after="240" w:line="300" w:lineRule="exact"/>
      <w:ind w:left="1134" w:right="1134"/>
    </w:pPr>
    <w:rPr>
      <w:b/>
      <w:sz w:val="28"/>
    </w:rPr>
  </w:style>
  <w:style w:type="paragraph" w:customStyle="1" w:styleId="XLargeG">
    <w:name w:val="__XLarge_G"/>
    <w:basedOn w:val="Normal"/>
    <w:next w:val="Normal"/>
    <w:rsid w:val="00F0248B"/>
    <w:pPr>
      <w:keepNext/>
      <w:keepLines/>
      <w:spacing w:before="240" w:after="240" w:line="420" w:lineRule="exact"/>
      <w:ind w:left="1134" w:right="1134"/>
    </w:pPr>
    <w:rPr>
      <w:b/>
      <w:sz w:val="40"/>
    </w:rPr>
  </w:style>
  <w:style w:type="paragraph" w:customStyle="1" w:styleId="Bullet1G">
    <w:name w:val="_Bullet 1_G"/>
    <w:basedOn w:val="Normal"/>
    <w:qFormat/>
    <w:rsid w:val="00F0248B"/>
    <w:pPr>
      <w:numPr>
        <w:numId w:val="18"/>
      </w:numPr>
      <w:spacing w:after="120"/>
      <w:ind w:right="1134"/>
      <w:jc w:val="both"/>
    </w:pPr>
  </w:style>
  <w:style w:type="paragraph" w:customStyle="1" w:styleId="Bullet2G">
    <w:name w:val="_Bullet 2_G"/>
    <w:basedOn w:val="Normal"/>
    <w:qFormat/>
    <w:rsid w:val="00F0248B"/>
    <w:pPr>
      <w:numPr>
        <w:numId w:val="19"/>
      </w:numPr>
      <w:spacing w:after="120"/>
      <w:ind w:right="1134"/>
      <w:jc w:val="both"/>
    </w:pPr>
  </w:style>
  <w:style w:type="paragraph" w:customStyle="1" w:styleId="ParNoG">
    <w:name w:val="_ParNo_G"/>
    <w:basedOn w:val="Normal"/>
    <w:qFormat/>
    <w:rsid w:val="00F0248B"/>
    <w:pPr>
      <w:numPr>
        <w:numId w:val="20"/>
      </w:numPr>
      <w:tabs>
        <w:tab w:val="clear" w:pos="1701"/>
      </w:tabs>
      <w:spacing w:after="120"/>
      <w:ind w:right="1134"/>
      <w:jc w:val="both"/>
    </w:pPr>
  </w:style>
  <w:style w:type="character" w:styleId="FootnoteReference">
    <w:name w:val="footnote reference"/>
    <w:aliases w:val="4_G"/>
    <w:basedOn w:val="DefaultParagraphFont"/>
    <w:qFormat/>
    <w:rsid w:val="00F0248B"/>
    <w:rPr>
      <w:rFonts w:ascii="Times New Roman" w:hAnsi="Times New Roman"/>
      <w:sz w:val="18"/>
      <w:vertAlign w:val="superscript"/>
      <w:lang w:val="fr-CH"/>
    </w:rPr>
  </w:style>
  <w:style w:type="character" w:styleId="EndnoteReference">
    <w:name w:val="endnote reference"/>
    <w:aliases w:val="1_G"/>
    <w:basedOn w:val="FootnoteReference"/>
    <w:qFormat/>
    <w:rsid w:val="00F0248B"/>
    <w:rPr>
      <w:rFonts w:ascii="Times New Roman" w:hAnsi="Times New Roman"/>
      <w:sz w:val="18"/>
      <w:vertAlign w:val="superscript"/>
      <w:lang w:val="fr-CH"/>
    </w:rPr>
  </w:style>
  <w:style w:type="table" w:styleId="TableGrid">
    <w:name w:val="Table Grid"/>
    <w:basedOn w:val="TableNormal"/>
    <w:rsid w:val="00F0248B"/>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F0248B"/>
    <w:rPr>
      <w:color w:val="0000FF"/>
      <w:u w:val="none"/>
    </w:rPr>
  </w:style>
  <w:style w:type="character" w:styleId="FollowedHyperlink">
    <w:name w:val="FollowedHyperlink"/>
    <w:basedOn w:val="DefaultParagraphFont"/>
    <w:unhideWhenUsed/>
    <w:rsid w:val="00F0248B"/>
    <w:rPr>
      <w:color w:val="0000FF"/>
      <w:u w:val="none"/>
    </w:rPr>
  </w:style>
  <w:style w:type="paragraph" w:styleId="FootnoteText">
    <w:name w:val="footnote text"/>
    <w:aliases w:val="5_G"/>
    <w:basedOn w:val="Normal"/>
    <w:link w:val="FootnoteTextChar"/>
    <w:qFormat/>
    <w:rsid w:val="00F0248B"/>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F0248B"/>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F0248B"/>
  </w:style>
  <w:style w:type="character" w:customStyle="1" w:styleId="EndnoteTextChar">
    <w:name w:val="Endnote Text Char"/>
    <w:aliases w:val="2_G Char"/>
    <w:basedOn w:val="DefaultParagraphFont"/>
    <w:link w:val="EndnoteText"/>
    <w:rsid w:val="00F0248B"/>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F0248B"/>
    <w:rPr>
      <w:rFonts w:ascii="Times New Roman" w:hAnsi="Times New Roman"/>
      <w:b/>
      <w:sz w:val="18"/>
      <w:lang w:val="fr-CH"/>
    </w:rPr>
  </w:style>
  <w:style w:type="character" w:customStyle="1" w:styleId="Heading1Char">
    <w:name w:val="Heading 1 Char"/>
    <w:aliases w:val="Table_G Char"/>
    <w:basedOn w:val="DefaultParagraphFont"/>
    <w:link w:val="Heading1"/>
    <w:rsid w:val="00F0248B"/>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F0248B"/>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F0248B"/>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F0248B"/>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F0248B"/>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F0248B"/>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F0248B"/>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F0248B"/>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F0248B"/>
    <w:rPr>
      <w:rFonts w:ascii="Times New Roman" w:eastAsiaTheme="minorHAnsi"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1GChar">
    <w:name w:val="_ H_1_G Char"/>
    <w:link w:val="H1G"/>
    <w:rsid w:val="00FF3E90"/>
    <w:rPr>
      <w:rFonts w:ascii="Times New Roman" w:eastAsiaTheme="minorHAnsi" w:hAnsi="Times New Roman" w:cs="Times New Roman"/>
      <w:b/>
      <w:sz w:val="24"/>
      <w:szCs w:val="20"/>
      <w:lang w:eastAsia="en-US"/>
    </w:rPr>
  </w:style>
  <w:style w:type="character" w:customStyle="1" w:styleId="HChGChar">
    <w:name w:val="_ H _Ch_G Char"/>
    <w:link w:val="HChG"/>
    <w:rsid w:val="00FF3E90"/>
    <w:rPr>
      <w:rFonts w:ascii="Times New Roman" w:eastAsiaTheme="minorHAnsi" w:hAnsi="Times New Roman" w:cs="Times New Roman"/>
      <w:b/>
      <w:sz w:val="28"/>
      <w:szCs w:val="20"/>
      <w:lang w:eastAsia="en-US"/>
    </w:rPr>
  </w:style>
  <w:style w:type="character" w:customStyle="1" w:styleId="SingleTxtGChar">
    <w:name w:val="_ Single Txt_G Char"/>
    <w:link w:val="SingleTxtG"/>
    <w:rsid w:val="00FF3E90"/>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1160</Words>
  <Characters>6617</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ECE/TRANS/WP.15/AC.1/2018/4</vt:lpstr>
      <vt:lpstr>ECE/TRANS/WP.15/AC.1/2018/4</vt:lpstr>
    </vt:vector>
  </TitlesOfParts>
  <Company>DCM</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ECE/TRANS/WP.15/AC.1/2018/4</dc:title>
  <dc:subject/>
  <dc:creator>Fabienne CRELIER</dc:creator>
  <cp:keywords/>
  <cp:lastModifiedBy>Christine Barrio-Champeau</cp:lastModifiedBy>
  <cp:revision>2</cp:revision>
  <cp:lastPrinted>2018-01-10T16:02:00Z</cp:lastPrinted>
  <dcterms:created xsi:type="dcterms:W3CDTF">2018-01-12T11:54:00Z</dcterms:created>
  <dcterms:modified xsi:type="dcterms:W3CDTF">2018-01-12T11:54:00Z</dcterms:modified>
</cp:coreProperties>
</file>