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398"/>
        <w:gridCol w:w="2268"/>
        <w:gridCol w:w="2693"/>
      </w:tblGrid>
      <w:tr w:rsidR="002D5AAC" w:rsidTr="00387CD4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:rsidR="002D5AAC" w:rsidRDefault="002D5AAC" w:rsidP="00FC3C3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</w:pPr>
            <w:bookmarkStart w:id="0" w:name="_GoBack"/>
            <w:bookmarkEnd w:id="0"/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:rsidR="002D5AAC" w:rsidRPr="00BD33EE" w:rsidRDefault="00DF71B9" w:rsidP="00387CD4">
            <w:pPr>
              <w:spacing w:after="80" w:line="300" w:lineRule="exact"/>
              <w:rPr>
                <w:sz w:val="28"/>
              </w:rPr>
            </w:pPr>
            <w:r>
              <w:rPr>
                <w:sz w:val="28"/>
              </w:rPr>
              <w:t>Организация Объединенных Наций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bottom"/>
          </w:tcPr>
          <w:p w:rsidR="002D5AAC" w:rsidRDefault="00FC3C39" w:rsidP="00FC3C39">
            <w:pPr>
              <w:jc w:val="right"/>
            </w:pPr>
            <w:r w:rsidRPr="00FC3C39">
              <w:rPr>
                <w:sz w:val="40"/>
              </w:rPr>
              <w:t>ECE</w:t>
            </w:r>
            <w:r>
              <w:t>/TRANS/WP.15/AC.1/2018/21</w:t>
            </w:r>
          </w:p>
        </w:tc>
      </w:tr>
      <w:tr w:rsidR="002D5AAC" w:rsidRPr="00FC3C39" w:rsidTr="00387CD4">
        <w:trPr>
          <w:trHeight w:hRule="exact" w:val="2835"/>
        </w:trPr>
        <w:tc>
          <w:tcPr>
            <w:tcW w:w="12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2D5AAC" w:rsidRDefault="002E5067" w:rsidP="00387CD4">
            <w:pPr>
              <w:spacing w:before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16639B" wp14:editId="3BF82573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2D5AAC" w:rsidRPr="00033EE1" w:rsidRDefault="008A37C8" w:rsidP="00387CD4">
            <w:pPr>
              <w:spacing w:before="120" w:line="460" w:lineRule="exact"/>
              <w:rPr>
                <w:b/>
                <w:sz w:val="34"/>
                <w:szCs w:val="34"/>
              </w:rPr>
            </w:pP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t xml:space="preserve">Экономический </w:t>
            </w: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:rsidR="002D5AAC" w:rsidRDefault="00FC3C39" w:rsidP="00387CD4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>Distr.: General</w:t>
            </w:r>
          </w:p>
          <w:p w:rsidR="00FC3C39" w:rsidRDefault="00FC3C39" w:rsidP="00FC3C39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26 June 2018</w:t>
            </w:r>
          </w:p>
          <w:p w:rsidR="00FC3C39" w:rsidRDefault="00FC3C39" w:rsidP="00FC3C39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Russian</w:t>
            </w:r>
          </w:p>
          <w:p w:rsidR="00FC3C39" w:rsidRPr="008D53B6" w:rsidRDefault="00FC3C39" w:rsidP="00FC3C39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Original: English</w:t>
            </w:r>
          </w:p>
        </w:tc>
      </w:tr>
    </w:tbl>
    <w:p w:rsidR="008A37C8" w:rsidRDefault="008A37C8" w:rsidP="00255343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:rsidR="00FC3C39" w:rsidRPr="00FC3C39" w:rsidRDefault="00FC3C39" w:rsidP="00FC3C39">
      <w:pPr>
        <w:suppressAutoHyphens w:val="0"/>
        <w:spacing w:before="120" w:after="120" w:line="240" w:lineRule="auto"/>
        <w:rPr>
          <w:sz w:val="28"/>
          <w:szCs w:val="28"/>
        </w:rPr>
      </w:pPr>
      <w:r w:rsidRPr="00FC3C39">
        <w:rPr>
          <w:sz w:val="28"/>
          <w:szCs w:val="28"/>
        </w:rPr>
        <w:t>Комитет по внутреннему транспорту</w:t>
      </w:r>
    </w:p>
    <w:p w:rsidR="00FC3C39" w:rsidRPr="0044280F" w:rsidRDefault="00FC3C39" w:rsidP="003C36B9">
      <w:pPr>
        <w:suppressAutoHyphens w:val="0"/>
        <w:spacing w:after="120" w:line="240" w:lineRule="auto"/>
        <w:rPr>
          <w:b/>
          <w:sz w:val="24"/>
          <w:szCs w:val="24"/>
        </w:rPr>
      </w:pPr>
      <w:r w:rsidRPr="0044280F">
        <w:rPr>
          <w:b/>
          <w:bCs/>
          <w:sz w:val="24"/>
          <w:szCs w:val="24"/>
        </w:rPr>
        <w:t>Рабочая группа по перевозкам опасных грузов</w:t>
      </w:r>
    </w:p>
    <w:p w:rsidR="00FC3C39" w:rsidRPr="00FC3C39" w:rsidRDefault="00FC3C39" w:rsidP="00FC3C39">
      <w:pPr>
        <w:suppressAutoHyphens w:val="0"/>
        <w:spacing w:line="240" w:lineRule="auto"/>
        <w:rPr>
          <w:b/>
        </w:rPr>
      </w:pPr>
      <w:r w:rsidRPr="00FC3C39">
        <w:rPr>
          <w:b/>
          <w:bCs/>
        </w:rPr>
        <w:t xml:space="preserve">Совместное совещание Комиссии экспертов МПОГ </w:t>
      </w:r>
      <w:r>
        <w:rPr>
          <w:b/>
          <w:bCs/>
        </w:rPr>
        <w:br/>
      </w:r>
      <w:r w:rsidRPr="00FC3C39">
        <w:rPr>
          <w:b/>
          <w:bCs/>
        </w:rPr>
        <w:t>и</w:t>
      </w:r>
      <w:r>
        <w:rPr>
          <w:b/>
          <w:bCs/>
          <w:lang w:val="en-US"/>
        </w:rPr>
        <w:t> </w:t>
      </w:r>
      <w:r w:rsidRPr="00FC3C39">
        <w:rPr>
          <w:b/>
          <w:bCs/>
        </w:rPr>
        <w:t>Рабочей группы по перевозкам опасных грузов</w:t>
      </w:r>
    </w:p>
    <w:p w:rsidR="00FC3C39" w:rsidRPr="00FC3C39" w:rsidRDefault="00FC3C39" w:rsidP="00FC3C39">
      <w:pPr>
        <w:suppressAutoHyphens w:val="0"/>
        <w:spacing w:line="240" w:lineRule="auto"/>
      </w:pPr>
      <w:r w:rsidRPr="00FC3C39">
        <w:t>Женева, 17–21 сентября 2018 года</w:t>
      </w:r>
    </w:p>
    <w:p w:rsidR="00FC3C39" w:rsidRPr="00FC3C39" w:rsidRDefault="00FC3C39" w:rsidP="00FC3C39">
      <w:pPr>
        <w:suppressAutoHyphens w:val="0"/>
        <w:spacing w:line="240" w:lineRule="auto"/>
      </w:pPr>
      <w:r w:rsidRPr="00FC3C39">
        <w:t>Пункт 5 b) предварительной повестки дня</w:t>
      </w:r>
    </w:p>
    <w:p w:rsidR="00FC3C39" w:rsidRDefault="00FC3C39" w:rsidP="00FC3C39">
      <w:pPr>
        <w:suppressAutoHyphens w:val="0"/>
        <w:spacing w:line="240" w:lineRule="auto"/>
      </w:pPr>
      <w:r w:rsidRPr="00FC3C39">
        <w:rPr>
          <w:b/>
          <w:bCs/>
        </w:rPr>
        <w:t>Предложения о внесении поправок в МПОГ/ДОПОГ/ВОПОГ:</w:t>
      </w:r>
      <w:r>
        <w:rPr>
          <w:b/>
          <w:bCs/>
        </w:rPr>
        <w:br/>
      </w:r>
      <w:r w:rsidRPr="00FC3C39">
        <w:rPr>
          <w:b/>
          <w:bCs/>
        </w:rPr>
        <w:t>новые предложения</w:t>
      </w:r>
    </w:p>
    <w:p w:rsidR="00FC3C39" w:rsidRPr="00FC3C39" w:rsidRDefault="00FC3C39" w:rsidP="00FC3C39">
      <w:pPr>
        <w:pStyle w:val="HChGR"/>
      </w:pPr>
      <w:r>
        <w:tab/>
      </w:r>
      <w:r>
        <w:tab/>
      </w:r>
      <w:r w:rsidRPr="00FC3C39">
        <w:t>Демонстрационные упаковки с ограниченными количествами</w:t>
      </w:r>
    </w:p>
    <w:p w:rsidR="00FC3C39" w:rsidRPr="00FC3C39" w:rsidRDefault="00FC3C39" w:rsidP="00FC3C39">
      <w:pPr>
        <w:pStyle w:val="H1GR"/>
      </w:pPr>
      <w:r w:rsidRPr="00FC3C39">
        <w:tab/>
      </w:r>
      <w:r w:rsidRPr="00FC3C39">
        <w:tab/>
        <w:t>Передано Советом по безопасной транспортировке опасных изделий (COSTHA)</w:t>
      </w:r>
      <w:r w:rsidRPr="00FC3C39">
        <w:rPr>
          <w:rStyle w:val="FootnoteReference"/>
          <w:b w:val="0"/>
          <w:sz w:val="20"/>
          <w:vertAlign w:val="baseline"/>
        </w:rPr>
        <w:footnoteReference w:customMarkFollows="1" w:id="1"/>
        <w:t>*</w:t>
      </w:r>
      <w:r w:rsidRPr="00FC3C39">
        <w:rPr>
          <w:b w:val="0"/>
          <w:sz w:val="20"/>
        </w:rPr>
        <w:t xml:space="preserve"> </w:t>
      </w:r>
      <w:r w:rsidRPr="00FC3C39">
        <w:rPr>
          <w:rStyle w:val="FootnoteReference"/>
          <w:b w:val="0"/>
          <w:sz w:val="20"/>
          <w:vertAlign w:val="baseline"/>
        </w:rPr>
        <w:footnoteReference w:customMarkFollows="1" w:id="2"/>
        <w:t>**</w:t>
      </w:r>
    </w:p>
    <w:tbl>
      <w:tblPr>
        <w:tblStyle w:val="TableGrid"/>
        <w:tblW w:w="0" w:type="auto"/>
        <w:jc w:val="center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9628"/>
      </w:tblGrid>
      <w:tr w:rsidR="00FC3C39" w:rsidRPr="00FC3C39" w:rsidTr="00FC3C39">
        <w:trPr>
          <w:jc w:val="center"/>
        </w:trPr>
        <w:tc>
          <w:tcPr>
            <w:tcW w:w="9628" w:type="dxa"/>
            <w:tcBorders>
              <w:bottom w:val="nil"/>
            </w:tcBorders>
          </w:tcPr>
          <w:p w:rsidR="00FC3C39" w:rsidRPr="00FC3C39" w:rsidRDefault="00FC3C39" w:rsidP="00850215">
            <w:pPr>
              <w:tabs>
                <w:tab w:val="left" w:pos="255"/>
              </w:tabs>
              <w:spacing w:before="240" w:after="120"/>
              <w:rPr>
                <w:rFonts w:ascii="Times New Roman" w:hAnsi="Times New Roman" w:cs="Times New Roman"/>
                <w:sz w:val="24"/>
              </w:rPr>
            </w:pPr>
            <w:r w:rsidRPr="00FC3C39">
              <w:rPr>
                <w:rFonts w:ascii="Times New Roman" w:hAnsi="Times New Roman" w:cs="Times New Roman"/>
              </w:rPr>
              <w:tab/>
            </w:r>
            <w:r w:rsidRPr="00FC3C39">
              <w:rPr>
                <w:rFonts w:ascii="Times New Roman" w:hAnsi="Times New Roman" w:cs="Times New Roman"/>
                <w:i/>
                <w:sz w:val="24"/>
              </w:rPr>
              <w:t>Резюме</w:t>
            </w:r>
          </w:p>
        </w:tc>
      </w:tr>
      <w:tr w:rsidR="00FC3C39" w:rsidRPr="00FC3C39" w:rsidTr="00FC3C39">
        <w:trPr>
          <w:jc w:val="center"/>
        </w:trPr>
        <w:tc>
          <w:tcPr>
            <w:tcW w:w="9628" w:type="dxa"/>
            <w:tcBorders>
              <w:top w:val="nil"/>
              <w:bottom w:val="nil"/>
            </w:tcBorders>
            <w:shd w:val="clear" w:color="auto" w:fill="auto"/>
          </w:tcPr>
          <w:p w:rsidR="00FC3C39" w:rsidRPr="00FC3C39" w:rsidRDefault="00FC3C39" w:rsidP="00FC3C39">
            <w:pPr>
              <w:pStyle w:val="SingleTxtGR"/>
              <w:tabs>
                <w:tab w:val="clear" w:pos="3969"/>
                <w:tab w:val="left" w:pos="3680"/>
              </w:tabs>
              <w:ind w:left="3680" w:hanging="2546"/>
              <w:rPr>
                <w:rFonts w:ascii="Times New Roman" w:hAnsi="Times New Roman"/>
                <w:sz w:val="20"/>
              </w:rPr>
            </w:pPr>
            <w:r w:rsidRPr="00FC3C39">
              <w:rPr>
                <w:rFonts w:ascii="Times New Roman" w:hAnsi="Times New Roman"/>
                <w:b/>
                <w:sz w:val="20"/>
              </w:rPr>
              <w:t>Существо предложения:</w:t>
            </w:r>
            <w:r w:rsidRPr="00FC3C39">
              <w:rPr>
                <w:rFonts w:ascii="Times New Roman" w:hAnsi="Times New Roman"/>
                <w:sz w:val="20"/>
              </w:rPr>
              <w:t xml:space="preserve"> </w:t>
            </w:r>
            <w:r w:rsidRPr="00FC3C39"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</w:r>
            <w:r w:rsidRPr="00FC3C39">
              <w:rPr>
                <w:rFonts w:ascii="Times New Roman" w:hAnsi="Times New Roman"/>
                <w:sz w:val="20"/>
              </w:rPr>
              <w:t>Цель настоящего предложения состоит в том, чтобы разрешить в ДОПОГ использование демонстрационных упаковок, масса брутто которых не превышает 550 кг, в соответствии с Правилами обращения с опасными материалами Соединенных Штатов Америки (49 CFR). Одним из основных преимуществ является сокращение количества используемой тары.</w:t>
            </w:r>
          </w:p>
          <w:p w:rsidR="00FC3C39" w:rsidRPr="00FC3C39" w:rsidRDefault="00FC3C39" w:rsidP="00FC3C39">
            <w:pPr>
              <w:pStyle w:val="SingleTxtGR"/>
              <w:tabs>
                <w:tab w:val="clear" w:pos="3969"/>
                <w:tab w:val="left" w:pos="3680"/>
              </w:tabs>
              <w:ind w:left="3680" w:hanging="2546"/>
              <w:rPr>
                <w:rFonts w:ascii="Times New Roman" w:hAnsi="Times New Roman"/>
                <w:sz w:val="20"/>
              </w:rPr>
            </w:pPr>
            <w:r w:rsidRPr="00FC3C39">
              <w:rPr>
                <w:rFonts w:ascii="Times New Roman" w:hAnsi="Times New Roman"/>
                <w:b/>
                <w:sz w:val="20"/>
              </w:rPr>
              <w:t>Предлагаемое решение:</w:t>
            </w:r>
            <w:r>
              <w:rPr>
                <w:rFonts w:ascii="Times New Roman" w:hAnsi="Times New Roman"/>
                <w:b/>
                <w:sz w:val="20"/>
              </w:rPr>
              <w:tab/>
            </w:r>
            <w:r>
              <w:rPr>
                <w:rFonts w:ascii="Times New Roman" w:hAnsi="Times New Roman"/>
                <w:b/>
                <w:sz w:val="20"/>
              </w:rPr>
              <w:tab/>
            </w:r>
            <w:r w:rsidRPr="00FC3C39">
              <w:rPr>
                <w:rFonts w:ascii="Times New Roman" w:hAnsi="Times New Roman"/>
                <w:sz w:val="20"/>
              </w:rPr>
              <w:t>Изменить текст в главе 3.4 ДОПОГ, с тем чтобы разрешить использование демонстрационных упаковок с ограниченными количествами, предназначенных для розничной продажи, с максимальной массой брутто каждой демонстрационной упаковки не более 550 кг.</w:t>
            </w:r>
          </w:p>
          <w:p w:rsidR="00FC3C39" w:rsidRPr="00FC3C39" w:rsidRDefault="00FC3C39" w:rsidP="00FC3C39">
            <w:pPr>
              <w:pStyle w:val="SingleTxtGR"/>
              <w:tabs>
                <w:tab w:val="clear" w:pos="3969"/>
                <w:tab w:val="left" w:pos="3680"/>
              </w:tabs>
              <w:ind w:left="3680" w:hanging="2546"/>
              <w:rPr>
                <w:rFonts w:ascii="Times New Roman" w:hAnsi="Times New Roman"/>
                <w:sz w:val="20"/>
              </w:rPr>
            </w:pPr>
            <w:r w:rsidRPr="00FC3C39">
              <w:rPr>
                <w:rFonts w:ascii="Times New Roman" w:hAnsi="Times New Roman"/>
                <w:b/>
                <w:sz w:val="20"/>
              </w:rPr>
              <w:t>Справочные документы:</w:t>
            </w:r>
            <w:r>
              <w:rPr>
                <w:rFonts w:ascii="Times New Roman" w:hAnsi="Times New Roman"/>
                <w:sz w:val="20"/>
              </w:rPr>
              <w:tab/>
            </w:r>
            <w:r w:rsidR="003C36B9">
              <w:rPr>
                <w:rFonts w:ascii="Times New Roman" w:hAnsi="Times New Roman"/>
                <w:sz w:val="20"/>
              </w:rPr>
              <w:t>INF.</w:t>
            </w:r>
            <w:r w:rsidRPr="00FC3C39">
              <w:rPr>
                <w:rFonts w:ascii="Times New Roman" w:hAnsi="Times New Roman"/>
                <w:sz w:val="20"/>
              </w:rPr>
              <w:t xml:space="preserve">46 – </w:t>
            </w:r>
            <w:proofErr w:type="spellStart"/>
            <w:r w:rsidRPr="00FC3C39">
              <w:rPr>
                <w:rFonts w:ascii="Times New Roman" w:hAnsi="Times New Roman"/>
                <w:sz w:val="20"/>
              </w:rPr>
              <w:t>Display</w:t>
            </w:r>
            <w:proofErr w:type="spellEnd"/>
            <w:r w:rsidRPr="00FC3C39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FC3C39">
              <w:rPr>
                <w:rFonts w:ascii="Times New Roman" w:hAnsi="Times New Roman"/>
                <w:sz w:val="20"/>
              </w:rPr>
              <w:t>packs</w:t>
            </w:r>
            <w:proofErr w:type="spellEnd"/>
            <w:r w:rsidRPr="00FC3C39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FC3C39">
              <w:rPr>
                <w:rFonts w:ascii="Times New Roman" w:hAnsi="Times New Roman"/>
                <w:sz w:val="20"/>
              </w:rPr>
              <w:t>of</w:t>
            </w:r>
            <w:proofErr w:type="spellEnd"/>
            <w:r w:rsidRPr="00FC3C39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FC3C39">
              <w:rPr>
                <w:rFonts w:ascii="Times New Roman" w:hAnsi="Times New Roman"/>
                <w:sz w:val="20"/>
              </w:rPr>
              <w:t>limited</w:t>
            </w:r>
            <w:proofErr w:type="spellEnd"/>
            <w:r w:rsidRPr="00FC3C39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FC3C39">
              <w:rPr>
                <w:rFonts w:ascii="Times New Roman" w:hAnsi="Times New Roman"/>
                <w:sz w:val="20"/>
              </w:rPr>
              <w:t>quantities</w:t>
            </w:r>
            <w:proofErr w:type="spellEnd"/>
            <w:r w:rsidRPr="00FC3C39">
              <w:rPr>
                <w:rFonts w:ascii="Times New Roman" w:hAnsi="Times New Roman"/>
                <w:sz w:val="20"/>
              </w:rPr>
              <w:t xml:space="preserve"> (Демонстрационные упаковки с ограниченными количествами) (COSTHA) (весенняя сессия 2018 года – Совместное совещание МПОГ/ДОПОГ/ВОПОГ).</w:t>
            </w:r>
          </w:p>
        </w:tc>
      </w:tr>
      <w:tr w:rsidR="00FC3C39" w:rsidRPr="00FC3C39" w:rsidTr="00FC3C39">
        <w:trPr>
          <w:jc w:val="center"/>
        </w:trPr>
        <w:tc>
          <w:tcPr>
            <w:tcW w:w="9628" w:type="dxa"/>
            <w:tcBorders>
              <w:top w:val="nil"/>
            </w:tcBorders>
          </w:tcPr>
          <w:p w:rsidR="00FC3C39" w:rsidRPr="00FC3C39" w:rsidRDefault="00FC3C39" w:rsidP="00850215">
            <w:pPr>
              <w:rPr>
                <w:rFonts w:ascii="Times New Roman" w:hAnsi="Times New Roman" w:cs="Times New Roman"/>
              </w:rPr>
            </w:pPr>
          </w:p>
        </w:tc>
      </w:tr>
    </w:tbl>
    <w:p w:rsidR="00FC3C39" w:rsidRPr="00FC3C39" w:rsidRDefault="00FC3C39" w:rsidP="00FC3C39">
      <w:pPr>
        <w:pStyle w:val="HChGR"/>
      </w:pPr>
      <w:r>
        <w:lastRenderedPageBreak/>
        <w:tab/>
      </w:r>
      <w:r>
        <w:tab/>
      </w:r>
      <w:r w:rsidRPr="00FC3C39">
        <w:t>Введение</w:t>
      </w:r>
    </w:p>
    <w:p w:rsidR="00FC3C39" w:rsidRPr="00FC3C39" w:rsidRDefault="00FC3C39" w:rsidP="00FC3C39">
      <w:pPr>
        <w:pStyle w:val="SingleTxtGR"/>
      </w:pPr>
      <w:r w:rsidRPr="00FC3C39">
        <w:t>1.</w:t>
      </w:r>
      <w:r w:rsidRPr="00FC3C39">
        <w:tab/>
        <w:t xml:space="preserve">Многие потребительские товары отвечают критериям классификации для одного из девяти классов опасности. В силу ограниченности количества материалов, содержащихся в потребительской таре, их разрешается перевозить автотранспортом в качестве ограниченного количества, если они помещены в наружную тару, масса брутто которой не превышает 30 кг (пункт 3.4.2 ДОПОГ). </w:t>
      </w:r>
    </w:p>
    <w:p w:rsidR="00FC3C39" w:rsidRPr="00FC3C39" w:rsidRDefault="00FC3C39" w:rsidP="00FC3C39">
      <w:pPr>
        <w:pStyle w:val="SingleTxtGR"/>
      </w:pPr>
      <w:r w:rsidRPr="00FC3C39">
        <w:t>2.</w:t>
      </w:r>
      <w:r w:rsidRPr="00FC3C39">
        <w:tab/>
        <w:t xml:space="preserve">Требования к таре, изложенные в пункте 3.4.3 ДОПОГ, допускают использование внутренней тары, помещенной в прочную наружную тару. Исключения из требований к таре предусматриваются для поддонов, обернутых в </w:t>
      </w:r>
      <w:proofErr w:type="spellStart"/>
      <w:r w:rsidRPr="00FC3C39">
        <w:t>термоусадочный</w:t>
      </w:r>
      <w:proofErr w:type="spellEnd"/>
      <w:r w:rsidRPr="00FC3C39">
        <w:t xml:space="preserve"> материал, масса которых не превышает 20 кг.</w:t>
      </w:r>
    </w:p>
    <w:p w:rsidR="00FC3C39" w:rsidRPr="00FC3C39" w:rsidRDefault="00FC3C39" w:rsidP="00FC3C39">
      <w:pPr>
        <w:pStyle w:val="SingleTxtGR"/>
      </w:pPr>
      <w:r w:rsidRPr="00FC3C39">
        <w:t>3.</w:t>
      </w:r>
      <w:r w:rsidRPr="00FC3C39">
        <w:tab/>
        <w:t xml:space="preserve">Однако многие предприятия розничной торговли отказываются от традиционного размещения отдельных потребительских товаров на стеллажах и переходят к использованию «демонстрационных упаковок» товаров. Такие демонстрационные упаковки поступают в пункт реализации уже в готовом виде. Их «вскрывают» и размещают непосредственно на полу в торговом зале в качестве демонстрационного образца. </w:t>
      </w:r>
    </w:p>
    <w:p w:rsidR="00FC3C39" w:rsidRPr="00FC3C39" w:rsidRDefault="00FC3C39" w:rsidP="00FC3C39">
      <w:pPr>
        <w:pStyle w:val="SingleTxtGR"/>
      </w:pPr>
      <w:r w:rsidRPr="00FC3C39">
        <w:t>4.</w:t>
      </w:r>
      <w:r w:rsidRPr="00FC3C39">
        <w:tab/>
        <w:t>Преимущества демонстрационных упаковок состоят в сокращении количества тары, необходимой для реализации (меньше картонных отходов), требуемого пространства на стеллажах, рабочей силы, необходимой для пополнения стеллажей, и объема работы по разгрузке и размещению упаковок.</w:t>
      </w:r>
    </w:p>
    <w:p w:rsidR="00FC3C39" w:rsidRPr="00FC3C39" w:rsidRDefault="00FC3C39" w:rsidP="00FC3C39">
      <w:pPr>
        <w:pStyle w:val="SingleTxtGR"/>
      </w:pPr>
      <w:r w:rsidRPr="00FC3C39">
        <w:t>5.</w:t>
      </w:r>
      <w:r w:rsidRPr="00FC3C39">
        <w:tab/>
        <w:t>Нынешние положения пунктов 3.4.2 и 3.4.3 ДОПОГ не позволяют использовать демонстрационные упаковки для ограниченных количеств товаров из-за того, что масса брутто демонстрационной упаковки может превышать 500 кг.</w:t>
      </w:r>
    </w:p>
    <w:p w:rsidR="00FC3C39" w:rsidRPr="00FC3C39" w:rsidRDefault="00FC3C39" w:rsidP="00FC3C39">
      <w:pPr>
        <w:pStyle w:val="SingleTxtGR"/>
      </w:pPr>
      <w:r w:rsidRPr="00FC3C39">
        <w:t>6.</w:t>
      </w:r>
      <w:r w:rsidRPr="00FC3C39">
        <w:tab/>
        <w:t>В Соединенных Штатах Америки положения в отношении демонстрационных упаковок были включены в правила (49 CFR, пункт 173.156 c)) или их использование разрешено в рамках исключений. К таким демонстрационным упаковкам предъявляются следующие требования:</w:t>
      </w:r>
    </w:p>
    <w:p w:rsidR="00FC3C39" w:rsidRPr="00FC3C39" w:rsidRDefault="00FC3C39" w:rsidP="00FC3C39">
      <w:pPr>
        <w:pStyle w:val="SingleTxtGR"/>
        <w:ind w:left="1701" w:hanging="567"/>
        <w:rPr>
          <w:lang w:val="nl-NL"/>
        </w:rPr>
      </w:pPr>
      <w:r>
        <w:rPr>
          <w:i/>
          <w:iCs/>
        </w:rPr>
        <w:tab/>
      </w:r>
      <w:r w:rsidRPr="00FC3C39">
        <w:rPr>
          <w:i/>
          <w:iCs/>
        </w:rPr>
        <w:t>«</w:t>
      </w:r>
      <w:r w:rsidRPr="00FC3C39">
        <w:t>с)</w:t>
      </w:r>
      <w:r w:rsidR="00B51298">
        <w:rPr>
          <w:i/>
          <w:iCs/>
        </w:rPr>
        <w:tab/>
      </w:r>
      <w:r w:rsidRPr="00FC3C39">
        <w:rPr>
          <w:i/>
          <w:iCs/>
        </w:rPr>
        <w:t>Демонстрационные упаковки.</w:t>
      </w:r>
      <w:r w:rsidRPr="00FC3C39">
        <w:t xml:space="preserve"> Демонстрационные упаковки (…) потребительских товаров или упаковки с ограниченными количествами, превышающие ограничение в 30 кг по массе брутто, могут перевозиться в контейнере/прицепе, трейлере на железнодорожной платформе или контейнере на железнодорожной платформе, в </w:t>
      </w:r>
      <w:proofErr w:type="spellStart"/>
      <w:r w:rsidRPr="00FC3C39">
        <w:t>роудрейлере</w:t>
      </w:r>
      <w:proofErr w:type="spellEnd"/>
      <w:r w:rsidRPr="00FC3C39">
        <w:t xml:space="preserve"> и/или трейлере, приспособленном для передвижения по железной дороге, механическими транспортными средствами или грузовыми судами при соблюдении следующих условий:</w:t>
      </w:r>
    </w:p>
    <w:p w:rsidR="00FC3C39" w:rsidRPr="00FC3C39" w:rsidRDefault="003C36B9" w:rsidP="003C36B9">
      <w:pPr>
        <w:pStyle w:val="SingleTxtGR"/>
        <w:ind w:left="1701" w:hanging="567"/>
        <w:rPr>
          <w:lang w:val="nl-NL"/>
        </w:rPr>
      </w:pPr>
      <w:r>
        <w:rPr>
          <w:iCs/>
          <w:lang w:val="en-US"/>
        </w:rPr>
        <w:tab/>
        <w:t>1.</w:t>
      </w:r>
      <w:r>
        <w:rPr>
          <w:iCs/>
          <w:lang w:val="en-US"/>
        </w:rPr>
        <w:tab/>
      </w:r>
      <w:r w:rsidR="00FC3C39" w:rsidRPr="00FC3C39">
        <w:rPr>
          <w:i/>
          <w:iCs/>
        </w:rPr>
        <w:t>Тара</w:t>
      </w:r>
      <w:r w:rsidRPr="003C36B9">
        <w:rPr>
          <w:i/>
          <w:iCs/>
        </w:rPr>
        <w:t>.</w:t>
      </w:r>
      <w:r w:rsidR="00FC3C39" w:rsidRPr="00FC3C39">
        <w:t xml:space="preserve"> Комбинированные упаковки должны отвечать [общим] требованиям [к таре], установленным в разделе В настоящей части и удовлетворять следующим критериям:</w:t>
      </w:r>
    </w:p>
    <w:p w:rsidR="00FC3C39" w:rsidRPr="003C36B9" w:rsidRDefault="003C36B9" w:rsidP="003C36B9">
      <w:pPr>
        <w:pStyle w:val="SingleTxtGR"/>
        <w:ind w:left="1701" w:hanging="567"/>
        <w:rPr>
          <w:iCs/>
        </w:rPr>
      </w:pPr>
      <w:r>
        <w:rPr>
          <w:iCs/>
          <w:lang w:val="en-US"/>
        </w:rPr>
        <w:tab/>
      </w:r>
      <w:proofErr w:type="spellStart"/>
      <w:r>
        <w:rPr>
          <w:iCs/>
          <w:lang w:val="en-US"/>
        </w:rPr>
        <w:t>i</w:t>
      </w:r>
      <w:proofErr w:type="spellEnd"/>
      <w:r w:rsidRPr="003C36B9">
        <w:rPr>
          <w:iCs/>
        </w:rPr>
        <w:t>)</w:t>
      </w:r>
      <w:r w:rsidRPr="003C36B9">
        <w:rPr>
          <w:iCs/>
        </w:rPr>
        <w:tab/>
      </w:r>
      <w:r w:rsidR="00FC3C39" w:rsidRPr="003C36B9">
        <w:rPr>
          <w:iCs/>
        </w:rPr>
        <w:t>первичные емкости должны соответствовать предельным значениям количества для внутренней тары, установленным в [для характерного класса опасности];</w:t>
      </w:r>
    </w:p>
    <w:p w:rsidR="00FC3C39" w:rsidRPr="003C36B9" w:rsidRDefault="003C36B9" w:rsidP="003C36B9">
      <w:pPr>
        <w:pStyle w:val="SingleTxtGR"/>
        <w:ind w:left="1701" w:hanging="567"/>
        <w:rPr>
          <w:iCs/>
        </w:rPr>
      </w:pPr>
      <w:r>
        <w:rPr>
          <w:iCs/>
          <w:lang w:val="en-US"/>
        </w:rPr>
        <w:tab/>
        <w:t>ii</w:t>
      </w:r>
      <w:r w:rsidRPr="003C36B9">
        <w:rPr>
          <w:iCs/>
        </w:rPr>
        <w:t>)</w:t>
      </w:r>
      <w:r w:rsidRPr="003C36B9">
        <w:rPr>
          <w:iCs/>
        </w:rPr>
        <w:tab/>
      </w:r>
      <w:r w:rsidR="00FC3C39" w:rsidRPr="003C36B9">
        <w:rPr>
          <w:iCs/>
        </w:rPr>
        <w:t>первичные емкости должны быть помещены в отдельные лотки, которые защищают отдельные емкости от перемещения внутри готовой комбинированной упаковки во время транспортировки;</w:t>
      </w:r>
    </w:p>
    <w:p w:rsidR="00FC3C39" w:rsidRPr="003C36B9" w:rsidRDefault="003C36B9" w:rsidP="003C36B9">
      <w:pPr>
        <w:pStyle w:val="SingleTxtGR"/>
        <w:ind w:left="1701" w:hanging="567"/>
        <w:rPr>
          <w:iCs/>
        </w:rPr>
      </w:pPr>
      <w:r>
        <w:rPr>
          <w:iCs/>
          <w:lang w:val="en-US"/>
        </w:rPr>
        <w:tab/>
        <w:t>iii</w:t>
      </w:r>
      <w:r w:rsidRPr="003C36B9">
        <w:rPr>
          <w:iCs/>
        </w:rPr>
        <w:t>)</w:t>
      </w:r>
      <w:r w:rsidRPr="003C36B9">
        <w:rPr>
          <w:iCs/>
        </w:rPr>
        <w:tab/>
      </w:r>
      <w:r w:rsidR="00FC3C39" w:rsidRPr="003C36B9">
        <w:rPr>
          <w:iCs/>
        </w:rPr>
        <w:t xml:space="preserve">лоток (лотки) должен (должны) быть помещен(ы) в ящик из фибрового картона, а ящик – обвязан и надежно закреплен на поддоне при помощи металлических, тканевых или пластиковых строп, образуя единую </w:t>
      </w:r>
      <w:proofErr w:type="spellStart"/>
      <w:r w:rsidR="00FC3C39" w:rsidRPr="003C36B9">
        <w:rPr>
          <w:iCs/>
        </w:rPr>
        <w:t>паллетированную</w:t>
      </w:r>
      <w:proofErr w:type="spellEnd"/>
      <w:r w:rsidR="00FC3C39" w:rsidRPr="003C36B9">
        <w:rPr>
          <w:iCs/>
        </w:rPr>
        <w:t xml:space="preserve"> единицу; и</w:t>
      </w:r>
    </w:p>
    <w:p w:rsidR="00FC3C39" w:rsidRPr="003C36B9" w:rsidRDefault="003C36B9" w:rsidP="003C36B9">
      <w:pPr>
        <w:pStyle w:val="SingleTxtGR"/>
        <w:ind w:left="1701" w:hanging="567"/>
        <w:rPr>
          <w:iCs/>
        </w:rPr>
      </w:pPr>
      <w:r>
        <w:rPr>
          <w:iCs/>
          <w:lang w:val="en-US"/>
        </w:rPr>
        <w:tab/>
        <w:t>iv</w:t>
      </w:r>
      <w:r w:rsidRPr="003C36B9">
        <w:rPr>
          <w:iCs/>
        </w:rPr>
        <w:t>)</w:t>
      </w:r>
      <w:r w:rsidRPr="003C36B9">
        <w:rPr>
          <w:iCs/>
        </w:rPr>
        <w:tab/>
      </w:r>
      <w:r w:rsidR="00FC3C39" w:rsidRPr="003C36B9">
        <w:rPr>
          <w:iCs/>
        </w:rPr>
        <w:t xml:space="preserve">максимальное количество нетто опасных материалов, допустимое в одной </w:t>
      </w:r>
      <w:proofErr w:type="spellStart"/>
      <w:r w:rsidR="00FC3C39" w:rsidRPr="003C36B9">
        <w:rPr>
          <w:iCs/>
        </w:rPr>
        <w:t>паллетированной</w:t>
      </w:r>
      <w:proofErr w:type="spellEnd"/>
      <w:r w:rsidR="00FC3C39" w:rsidRPr="003C36B9">
        <w:rPr>
          <w:iCs/>
        </w:rPr>
        <w:t xml:space="preserve"> единице, составляет 550 кг (1 210 фунтов).</w:t>
      </w:r>
    </w:p>
    <w:p w:rsidR="00FC3C39" w:rsidRPr="00FC3C39" w:rsidRDefault="003C36B9" w:rsidP="003C36B9">
      <w:pPr>
        <w:pStyle w:val="SingleTxtGR"/>
        <w:ind w:left="1701" w:hanging="567"/>
        <w:rPr>
          <w:lang w:val="nl-NL"/>
        </w:rPr>
      </w:pPr>
      <w:r>
        <w:rPr>
          <w:i/>
          <w:iCs/>
        </w:rPr>
        <w:tab/>
      </w:r>
      <w:r>
        <w:rPr>
          <w:iCs/>
          <w:lang w:val="en-US"/>
        </w:rPr>
        <w:t>2)</w:t>
      </w:r>
      <w:r>
        <w:rPr>
          <w:iCs/>
          <w:lang w:val="en-US"/>
        </w:rPr>
        <w:tab/>
      </w:r>
      <w:r w:rsidR="00FC3C39" w:rsidRPr="00FC3C39">
        <w:rPr>
          <w:i/>
          <w:iCs/>
        </w:rPr>
        <w:t>Маркировка.</w:t>
      </w:r>
      <w:r w:rsidR="00FC3C39" w:rsidRPr="00FC3C39">
        <w:t xml:space="preserve"> Каждая упаковка должна иметь на внешней поверхности четкую и стойкую маркировку в соответствии с одним из следующих условий:</w:t>
      </w:r>
    </w:p>
    <w:p w:rsidR="00FC3C39" w:rsidRPr="00FC3C39" w:rsidRDefault="003C36B9" w:rsidP="003C36B9">
      <w:pPr>
        <w:pStyle w:val="SingleTxtGR"/>
        <w:rPr>
          <w:lang w:val="nl-NL"/>
        </w:rPr>
      </w:pPr>
      <w:r>
        <w:lastRenderedPageBreak/>
        <w:tab/>
      </w:r>
      <w:proofErr w:type="spellStart"/>
      <w:r>
        <w:rPr>
          <w:lang w:val="en-US"/>
        </w:rPr>
        <w:t>i</w:t>
      </w:r>
      <w:proofErr w:type="spellEnd"/>
      <w:r w:rsidRPr="003C36B9">
        <w:t>)</w:t>
      </w:r>
      <w:r w:rsidRPr="003C36B9">
        <w:tab/>
      </w:r>
      <w:r w:rsidR="00FC3C39" w:rsidRPr="00FC3C39">
        <w:t>(…)</w:t>
      </w:r>
    </w:p>
    <w:p w:rsidR="00FC3C39" w:rsidRPr="00FC3C39" w:rsidRDefault="003C36B9" w:rsidP="003C36B9">
      <w:pPr>
        <w:pStyle w:val="SingleTxtGR"/>
        <w:ind w:left="1701" w:hanging="567"/>
        <w:rPr>
          <w:lang w:val="nl-NL"/>
        </w:rPr>
      </w:pPr>
      <w:r>
        <w:tab/>
      </w:r>
      <w:r>
        <w:rPr>
          <w:lang w:val="en-US"/>
        </w:rPr>
        <w:t>ii</w:t>
      </w:r>
      <w:r w:rsidRPr="003C36B9">
        <w:t>)</w:t>
      </w:r>
      <w:r w:rsidRPr="003C36B9">
        <w:tab/>
      </w:r>
      <w:r w:rsidR="00FC3C39" w:rsidRPr="00FC3C39">
        <w:t>как ограниченное количество, как это предусмотрено в пункте 172.315 настоящего подраздела.».</w:t>
      </w:r>
    </w:p>
    <w:p w:rsidR="00FC3C39" w:rsidRPr="00FC3C39" w:rsidRDefault="00FC3C39" w:rsidP="00FC3C39">
      <w:pPr>
        <w:pStyle w:val="SingleTxtGR"/>
      </w:pPr>
      <w:r w:rsidRPr="00FC3C39">
        <w:t>7.</w:t>
      </w:r>
      <w:r w:rsidRPr="00FC3C39">
        <w:tab/>
        <w:t>Такие упаковки должны отвечать всем остальным требованиям, которые применяются к опасным грузам, перевозимым в ограниченных количествах.</w:t>
      </w:r>
    </w:p>
    <w:p w:rsidR="00FC3C39" w:rsidRPr="00FC3C39" w:rsidRDefault="00FC3C39" w:rsidP="00FC3C39">
      <w:pPr>
        <w:pStyle w:val="SingleTxtGR"/>
      </w:pPr>
      <w:r w:rsidRPr="00FC3C39">
        <w:t>8.</w:t>
      </w:r>
      <w:r w:rsidRPr="00FC3C39">
        <w:tab/>
        <w:t>В Соединенных Штатах Америки, где эти положения действуют уже</w:t>
      </w:r>
      <w:r w:rsidR="00B51298">
        <w:t xml:space="preserve"> более 20 </w:t>
      </w:r>
      <w:r w:rsidRPr="00FC3C39">
        <w:t>лет, наработана обширная практика безопасной перевозки демонстрационных упаковок, подготовленных согласно приведенному выше описанию, автомобильным, железнодорожным и водным транспортом.</w:t>
      </w:r>
    </w:p>
    <w:p w:rsidR="00FC3C39" w:rsidRPr="00FC3C39" w:rsidRDefault="00FC3C39" w:rsidP="00FC3C39">
      <w:pPr>
        <w:pStyle w:val="SingleTxtGR"/>
      </w:pPr>
      <w:r w:rsidRPr="00FC3C39">
        <w:t>9.</w:t>
      </w:r>
      <w:r w:rsidRPr="00FC3C39">
        <w:tab/>
        <w:t>COSTHA предоставил дополнительную информацию, в том числе примеры демонстрационных упаковок, в приложении к настоящему документу.</w:t>
      </w:r>
    </w:p>
    <w:p w:rsidR="00FC3C39" w:rsidRPr="00FC3C39" w:rsidRDefault="00FC3C39" w:rsidP="00FC3C39">
      <w:pPr>
        <w:pStyle w:val="HChGR"/>
      </w:pPr>
      <w:r w:rsidRPr="00FC3C39">
        <w:tab/>
      </w:r>
      <w:r w:rsidRPr="00FC3C39">
        <w:tab/>
        <w:t>Предложение</w:t>
      </w:r>
    </w:p>
    <w:p w:rsidR="00FC3C39" w:rsidRPr="00FC3C39" w:rsidRDefault="00FC3C39" w:rsidP="00FC3C39">
      <w:pPr>
        <w:pStyle w:val="SingleTxtGR"/>
      </w:pPr>
      <w:r w:rsidRPr="00FC3C39">
        <w:t>10.</w:t>
      </w:r>
      <w:r w:rsidRPr="00FC3C39">
        <w:tab/>
        <w:t>COSTHA просит Совместное совещание рассмотреть целесообразность включения аналогичного положения в главу 3.4 ДОПОГ:</w:t>
      </w:r>
    </w:p>
    <w:p w:rsidR="00FC3C39" w:rsidRPr="00FC3C39" w:rsidRDefault="00FC3C39" w:rsidP="00FC3C39">
      <w:pPr>
        <w:pStyle w:val="SingleTxtGR"/>
        <w:ind w:left="1701"/>
        <w:rPr>
          <w:u w:val="single"/>
        </w:rPr>
      </w:pPr>
      <w:r w:rsidRPr="00FC3C39">
        <w:rPr>
          <w:u w:val="single"/>
        </w:rPr>
        <w:t xml:space="preserve">«[3.4.5] </w:t>
      </w:r>
      <w:r w:rsidRPr="00FC3C39">
        <w:rPr>
          <w:u w:val="single"/>
        </w:rPr>
        <w:tab/>
        <w:t>Демонстрационные упаковки с ограниченными количествами, предназначенные для розничной продажи, не подпадают под ограничение по массе брутто, предусмотренное в пункте 3.4.1.2, в том случае, если они упакованы в соответствии со следующими положениями:</w:t>
      </w:r>
    </w:p>
    <w:p w:rsidR="00FC3C39" w:rsidRPr="00FC3C39" w:rsidRDefault="00FC3C39" w:rsidP="00FC3C39">
      <w:pPr>
        <w:pStyle w:val="SingleTxtGR"/>
        <w:ind w:left="1701"/>
        <w:rPr>
          <w:u w:val="single"/>
        </w:rPr>
      </w:pPr>
      <w:r w:rsidRPr="00FC3C39">
        <w:rPr>
          <w:u w:val="single"/>
        </w:rPr>
        <w:t>а)</w:t>
      </w:r>
      <w:r w:rsidRPr="00FC3C39">
        <w:rPr>
          <w:u w:val="single"/>
        </w:rPr>
        <w:tab/>
        <w:t>наружная тара должна отвечать общим требованиям, содержащимся в пунктах 4.1.1.1, 4.1.1.2 и 4.1.1.4–4.1.1.8;</w:t>
      </w:r>
    </w:p>
    <w:p w:rsidR="00FC3C39" w:rsidRPr="00FC3C39" w:rsidRDefault="00FC3C39" w:rsidP="00FC3C39">
      <w:pPr>
        <w:pStyle w:val="SingleTxtGR"/>
        <w:ind w:left="1701"/>
        <w:rPr>
          <w:u w:val="single"/>
        </w:rPr>
      </w:pPr>
      <w:r w:rsidRPr="00FC3C39">
        <w:rPr>
          <w:u w:val="single"/>
        </w:rPr>
        <w:t>b)</w:t>
      </w:r>
      <w:r w:rsidRPr="00FC3C39">
        <w:rPr>
          <w:u w:val="single"/>
        </w:rPr>
        <w:tab/>
        <w:t xml:space="preserve">внутренняя тара должна быть надежно закреплена в лотках таким образом, чтобы не допускать сдвига или перемещения внутренней тары; </w:t>
      </w:r>
    </w:p>
    <w:p w:rsidR="00FC3C39" w:rsidRPr="00FC3C39" w:rsidRDefault="00FC3C39" w:rsidP="00FC3C39">
      <w:pPr>
        <w:pStyle w:val="SingleTxtGR"/>
        <w:ind w:left="1701"/>
        <w:rPr>
          <w:u w:val="single"/>
        </w:rPr>
      </w:pPr>
      <w:r w:rsidRPr="00FC3C39">
        <w:rPr>
          <w:u w:val="single"/>
        </w:rPr>
        <w:t>с)</w:t>
      </w:r>
      <w:r w:rsidRPr="00FC3C39">
        <w:rPr>
          <w:u w:val="single"/>
        </w:rPr>
        <w:tab/>
        <w:t xml:space="preserve">лотки должны помещаться в прочную наружную тару, которая должна надежно закрепляться на поддоне при помощи металлических, пластиковых или тканевых строп, образуя </w:t>
      </w:r>
      <w:proofErr w:type="spellStart"/>
      <w:r w:rsidRPr="00FC3C39">
        <w:rPr>
          <w:u w:val="single"/>
        </w:rPr>
        <w:t>паллетированную</w:t>
      </w:r>
      <w:proofErr w:type="spellEnd"/>
      <w:r w:rsidRPr="00FC3C39">
        <w:rPr>
          <w:u w:val="single"/>
        </w:rPr>
        <w:t xml:space="preserve"> единицу;</w:t>
      </w:r>
    </w:p>
    <w:p w:rsidR="00E12C5F" w:rsidRDefault="00FC3C39" w:rsidP="00FC3C39">
      <w:pPr>
        <w:pStyle w:val="SingleTxtGR"/>
        <w:ind w:left="1701"/>
        <w:rPr>
          <w:u w:val="single"/>
        </w:rPr>
      </w:pPr>
      <w:r w:rsidRPr="00FC3C39">
        <w:rPr>
          <w:u w:val="single"/>
        </w:rPr>
        <w:t>d)</w:t>
      </w:r>
      <w:r w:rsidRPr="00FC3C39">
        <w:rPr>
          <w:u w:val="single"/>
        </w:rPr>
        <w:tab/>
        <w:t>масса брутто готовой упаковки не должна превышать 550 кг.».</w:t>
      </w:r>
    </w:p>
    <w:p w:rsidR="00FC3C39" w:rsidRPr="00FC3C39" w:rsidRDefault="00FC3C39" w:rsidP="00FC3C39">
      <w:pPr>
        <w:pStyle w:val="HChGR"/>
      </w:pPr>
      <w:r>
        <w:tab/>
      </w:r>
      <w:r>
        <w:tab/>
      </w:r>
      <w:r w:rsidRPr="00FC3C39">
        <w:t>Обоснование</w:t>
      </w:r>
    </w:p>
    <w:p w:rsidR="00FC3C39" w:rsidRPr="00FC3C39" w:rsidRDefault="00FC3C39" w:rsidP="00FC3C39">
      <w:pPr>
        <w:pStyle w:val="SingleTxtGR"/>
        <w:ind w:left="2835" w:hanging="1701"/>
      </w:pPr>
      <w:r w:rsidRPr="003C36B9">
        <w:t>Безопасность:</w:t>
      </w:r>
      <w:r w:rsidRPr="00FC3C39">
        <w:tab/>
        <w:t>Согласование требований с положениями раздела 49 CFR должно обеспечить уровень безопасности, эквивалентный тому, который обеспечивается при перевозке ограниченных количеств в соответствии с положениями, уже содержащимися в главе</w:t>
      </w:r>
      <w:r w:rsidR="003C36B9">
        <w:t xml:space="preserve"> 3.4, о </w:t>
      </w:r>
      <w:r w:rsidRPr="00FC3C39">
        <w:t>чем свидетельствует включение Администрацией по безопасности трубопроводов и опасных материалов (PHMSA) специального разрешения SP-11458 в Правила обращения с опасными материалами (HMR).</w:t>
      </w:r>
    </w:p>
    <w:p w:rsidR="00FC3C39" w:rsidRPr="00FC3C39" w:rsidRDefault="00FC3C39" w:rsidP="00FC3C39">
      <w:pPr>
        <w:pStyle w:val="SingleTxtGR"/>
        <w:ind w:left="2835" w:hanging="1701"/>
      </w:pPr>
      <w:r w:rsidRPr="003C36B9">
        <w:t>Осуществимость:</w:t>
      </w:r>
      <w:r w:rsidRPr="00FC3C39">
        <w:tab/>
        <w:t>Эти положения безопасно применяются в Соединенных Штатах Америки уже в течение более 20 лет и позволяют сократить отходы, расходы и объем работы по обработке упаковок.</w:t>
      </w:r>
    </w:p>
    <w:p w:rsidR="00FC3C39" w:rsidRDefault="00FC3C39">
      <w:pPr>
        <w:suppressAutoHyphens w:val="0"/>
        <w:spacing w:line="240" w:lineRule="auto"/>
        <w:rPr>
          <w:rFonts w:eastAsia="Times New Roman" w:cs="Times New Roman"/>
          <w:szCs w:val="20"/>
        </w:rPr>
      </w:pPr>
      <w:r>
        <w:br w:type="page"/>
      </w:r>
    </w:p>
    <w:p w:rsidR="00FC3C39" w:rsidRPr="001817B0" w:rsidRDefault="00FC3C39" w:rsidP="00817859">
      <w:pPr>
        <w:pStyle w:val="HChGR"/>
      </w:pPr>
      <w:r w:rsidRPr="001817B0">
        <w:lastRenderedPageBreak/>
        <w:t xml:space="preserve">Приложение </w:t>
      </w:r>
    </w:p>
    <w:p w:rsidR="00FC3C39" w:rsidRPr="00D46816" w:rsidRDefault="00FC3C39" w:rsidP="00817859">
      <w:pPr>
        <w:pStyle w:val="H1GR"/>
      </w:pPr>
      <w:r w:rsidRPr="00D46816">
        <w:tab/>
      </w:r>
      <w:r w:rsidRPr="00D46816">
        <w:tab/>
        <w:t>Примеры демонстрационных упаковок</w:t>
      </w:r>
    </w:p>
    <w:p w:rsidR="00FC3C39" w:rsidRPr="00DB4395" w:rsidRDefault="00817859" w:rsidP="00817859">
      <w:pPr>
        <w:pStyle w:val="SingleTxtGR"/>
      </w:pPr>
      <w:r>
        <w:tab/>
      </w:r>
      <w:r w:rsidR="00FC3C39" w:rsidRPr="00DB4395">
        <w:t>В целях удовлетворения растущего спроса со стороны потребителей, некоторые из наших членов предлагают предприятиям розничной торговли широкий спектр «готовых к выкладке» единиц складского хранения. Такие единицы позволяют сократить затраты розничных предприятий на рабочую силу, обработку и установку, помога</w:t>
      </w:r>
      <w:r w:rsidR="003C36B9">
        <w:t>ю</w:t>
      </w:r>
      <w:r w:rsidR="00FC3C39" w:rsidRPr="00DB4395">
        <w:t>т поддерживать запасы товаров на необходимом уровне и повысить вероятность спонтанных покупок. Ниже приводится ряд примеров.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8"/>
        <w:gridCol w:w="1605"/>
        <w:gridCol w:w="1605"/>
        <w:gridCol w:w="3210"/>
      </w:tblGrid>
      <w:tr w:rsidR="00FC3C39" w:rsidRPr="00817859" w:rsidTr="00203899">
        <w:tc>
          <w:tcPr>
            <w:tcW w:w="3209" w:type="dxa"/>
            <w:vMerge w:val="restart"/>
          </w:tcPr>
          <w:p w:rsidR="00FC3C39" w:rsidRPr="00817859" w:rsidRDefault="00FC3C39" w:rsidP="00203899">
            <w:pPr>
              <w:spacing w:before="1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817859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Демонстрационный стеллаж</w:t>
            </w:r>
            <w:r w:rsidRPr="00817859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</w:p>
          <w:p w:rsidR="00FC3C39" w:rsidRPr="00817859" w:rsidRDefault="00FC3C39" w:rsidP="00203899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859">
              <w:rPr>
                <w:rFonts w:cs="Times New Roman"/>
                <w:noProof/>
                <w:szCs w:val="20"/>
                <w:lang w:eastAsia="ru-RU"/>
              </w:rPr>
              <w:drawing>
                <wp:inline distT="0" distB="0" distL="0" distR="0" wp14:anchorId="49AEE445" wp14:editId="5577F88B">
                  <wp:extent cx="1104900" cy="2955383"/>
                  <wp:effectExtent l="0" t="0" r="0" b="0"/>
                  <wp:docPr id="1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621" cy="299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gridSpan w:val="2"/>
          </w:tcPr>
          <w:p w:rsidR="00FC3C39" w:rsidRPr="00817859" w:rsidRDefault="00FC3C39" w:rsidP="00203899">
            <w:pPr>
              <w:spacing w:before="12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17859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Продукция, готовая к</w:t>
            </w:r>
            <w:r w:rsidR="00817859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en-US"/>
              </w:rPr>
              <w:t> </w:t>
            </w:r>
            <w:r w:rsidRPr="00817859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реализации «PDQ» </w:t>
            </w:r>
            <w:r w:rsidRPr="0081785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  <w:p w:rsidR="00FC3C39" w:rsidRPr="00817859" w:rsidRDefault="00FC3C39" w:rsidP="00203899">
            <w:pPr>
              <w:spacing w:before="12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17859">
              <w:rPr>
                <w:rFonts w:ascii="Times New Roman" w:hAnsi="Times New Roman" w:cs="Times New Roman"/>
                <w:i/>
                <w:sz w:val="20"/>
                <w:szCs w:val="20"/>
              </w:rPr>
              <w:t>Во время транспортировки</w:t>
            </w:r>
          </w:p>
          <w:p w:rsidR="00FC3C39" w:rsidRPr="00817859" w:rsidRDefault="00FC3C39" w:rsidP="002038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859">
              <w:rPr>
                <w:rFonts w:cs="Times New Roman"/>
                <w:i/>
                <w:noProof/>
                <w:szCs w:val="20"/>
                <w:lang w:eastAsia="ru-RU"/>
              </w:rPr>
              <w:drawing>
                <wp:inline distT="0" distB="0" distL="0" distR="0" wp14:anchorId="7686BF4A" wp14:editId="2A656F13">
                  <wp:extent cx="1188720" cy="1019062"/>
                  <wp:effectExtent l="0" t="0" r="0" b="0"/>
                  <wp:docPr id="2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9935" b="100000" l="9995" r="8995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25" t="5658" r="18959" b="-5658"/>
                          <a:stretch/>
                        </pic:blipFill>
                        <pic:spPr bwMode="auto">
                          <a:xfrm>
                            <a:off x="0" y="0"/>
                            <a:ext cx="1188720" cy="1019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vMerge w:val="restart"/>
          </w:tcPr>
          <w:p w:rsidR="00FC3C39" w:rsidRPr="00817859" w:rsidRDefault="00FC3C39" w:rsidP="00203899">
            <w:pPr>
              <w:spacing w:before="12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17859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Готовая к демонстрации четверть-паллета</w:t>
            </w:r>
          </w:p>
          <w:p w:rsidR="00FC3C39" w:rsidRPr="00817859" w:rsidRDefault="00FC3C39" w:rsidP="00203899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859">
              <w:rPr>
                <w:rFonts w:ascii="Times New Roman" w:hAnsi="Times New Roman" w:cs="Times New Roman"/>
                <w:i/>
                <w:sz w:val="20"/>
                <w:szCs w:val="20"/>
              </w:rPr>
              <w:object w:dxaOrig="2808" w:dyaOrig="51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0.25pt;height:255.75pt" o:ole="">
                  <v:imagedata r:id="rId11" o:title=""/>
                </v:shape>
                <o:OLEObject Type="Embed" ProgID="Unknown" ShapeID="_x0000_i1025" DrawAspect="Content" ObjectID="_1595061070" r:id="rId12"/>
              </w:object>
            </w:r>
          </w:p>
        </w:tc>
      </w:tr>
      <w:tr w:rsidR="00FC3C39" w:rsidRPr="00817859" w:rsidTr="00203899">
        <w:tc>
          <w:tcPr>
            <w:tcW w:w="3209" w:type="dxa"/>
            <w:vMerge/>
          </w:tcPr>
          <w:p w:rsidR="00FC3C39" w:rsidRPr="00817859" w:rsidRDefault="00FC3C39" w:rsidP="00203899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0" w:type="dxa"/>
            <w:gridSpan w:val="2"/>
          </w:tcPr>
          <w:p w:rsidR="00FC3C39" w:rsidRPr="00817859" w:rsidRDefault="00FC3C39" w:rsidP="00203899">
            <w:pPr>
              <w:spacing w:before="12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17859">
              <w:rPr>
                <w:rFonts w:ascii="Times New Roman" w:hAnsi="Times New Roman" w:cs="Times New Roman"/>
                <w:i/>
                <w:sz w:val="20"/>
                <w:szCs w:val="20"/>
              </w:rPr>
              <w:t>В открытом виде</w:t>
            </w:r>
          </w:p>
          <w:p w:rsidR="00FC3C39" w:rsidRPr="00817859" w:rsidRDefault="00FC3C39" w:rsidP="002038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859">
              <w:rPr>
                <w:rFonts w:cs="Times New Roman"/>
                <w:i/>
                <w:noProof/>
                <w:szCs w:val="20"/>
                <w:lang w:eastAsia="ru-RU"/>
              </w:rPr>
              <w:drawing>
                <wp:inline distT="0" distB="0" distL="0" distR="0" wp14:anchorId="1062E2AE" wp14:editId="3C9ED838">
                  <wp:extent cx="1188720" cy="922474"/>
                  <wp:effectExtent l="0" t="0" r="0" b="0"/>
                  <wp:docPr id="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0" b="99354" l="9950" r="89914">
                                        <a14:foregroundMark x1="25988" y1="2262" x2="29850" y2="15590"/>
                                        <a14:foregroundMark x1="65607" y1="4847" x2="60700" y2="20759"/>
                                        <a14:foregroundMark x1="71468" y1="39984" x2="72194" y2="43861"/>
                                        <a14:foregroundMark x1="40073" y1="39984" x2="36574" y2="44507"/>
                                        <a14:foregroundMark x1="25988" y1="57189" x2="21808" y2="62682"/>
                                        <a14:foregroundMark x1="17219" y1="41922" x2="17219" y2="4903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64" t="948" r="18451" b="-948"/>
                          <a:stretch/>
                        </pic:blipFill>
                        <pic:spPr bwMode="auto">
                          <a:xfrm>
                            <a:off x="0" y="0"/>
                            <a:ext cx="1188720" cy="922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vMerge/>
          </w:tcPr>
          <w:p w:rsidR="00FC3C39" w:rsidRPr="00817859" w:rsidRDefault="00FC3C39" w:rsidP="00203899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C3C39" w:rsidRPr="00817859" w:rsidTr="00203899">
        <w:tc>
          <w:tcPr>
            <w:tcW w:w="3209" w:type="dxa"/>
            <w:vMerge/>
          </w:tcPr>
          <w:p w:rsidR="00FC3C39" w:rsidRPr="00817859" w:rsidRDefault="00FC3C39" w:rsidP="00203899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0" w:type="dxa"/>
            <w:gridSpan w:val="2"/>
          </w:tcPr>
          <w:p w:rsidR="00FC3C39" w:rsidRPr="00817859" w:rsidRDefault="00FC3C39" w:rsidP="00817859">
            <w:pPr>
              <w:spacing w:before="12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17859">
              <w:rPr>
                <w:rFonts w:ascii="Times New Roman" w:hAnsi="Times New Roman" w:cs="Times New Roman"/>
                <w:i/>
                <w:sz w:val="20"/>
                <w:szCs w:val="20"/>
              </w:rPr>
              <w:t>Выставленная на полке</w:t>
            </w:r>
          </w:p>
          <w:p w:rsidR="00FC3C39" w:rsidRPr="00817859" w:rsidRDefault="00FC3C39" w:rsidP="00203899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17859">
              <w:rPr>
                <w:rFonts w:cs="Times New Roman"/>
                <w:i/>
                <w:noProof/>
                <w:szCs w:val="20"/>
                <w:lang w:eastAsia="ru-RU"/>
              </w:rPr>
              <w:drawing>
                <wp:inline distT="0" distB="0" distL="0" distR="0" wp14:anchorId="34D9C039" wp14:editId="20B0296B">
                  <wp:extent cx="1188720" cy="1079558"/>
                  <wp:effectExtent l="0" t="0" r="0" b="0"/>
                  <wp:docPr id="2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212" b="97334" l="9950" r="89914">
                                        <a14:foregroundMark x1="21308" y1="8401" x2="27533" y2="18174"/>
                                        <a14:foregroundMark x1="36302" y1="39257" x2="38846" y2="34733"/>
                                        <a14:foregroundMark x1="52385" y1="42165" x2="52930" y2="36995"/>
                                        <a14:foregroundMark x1="51113" y1="31745" x2="51840" y2="29806"/>
                                        <a14:foregroundMark x1="64607" y1="42811" x2="67878" y2="36026"/>
                                        <a14:foregroundMark x1="69741" y1="9370" x2="69923" y2="18498"/>
                                        <a14:foregroundMark x1="17492" y1="69467" x2="18946" y2="56462"/>
                                        <a14:foregroundMark x1="17856" y1="59370" x2="17856" y2="46688"/>
                                        <a14:foregroundMark x1="23535" y1="8401" x2="25352" y2="11309"/>
                                        <a14:foregroundMark x1="23535" y1="7431" x2="25897" y2="10339"/>
                                        <a14:foregroundMark x1="72649" y1="46688" x2="73557" y2="73667"/>
                                        <a14:foregroundMark x1="18048" y1="21350" x2="16731" y2="31129"/>
                                        <a14:backgroundMark x1="25352" y1="6462" x2="63517" y2="10016"/>
                                        <a14:backgroundMark x1="66606" y1="6785" x2="67878" y2="517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89" t="1560" r="23674" b="-1560"/>
                          <a:stretch/>
                        </pic:blipFill>
                        <pic:spPr bwMode="auto">
                          <a:xfrm>
                            <a:off x="0" y="0"/>
                            <a:ext cx="1188720" cy="1079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vMerge/>
          </w:tcPr>
          <w:p w:rsidR="00FC3C39" w:rsidRPr="00817859" w:rsidRDefault="00FC3C39" w:rsidP="00203899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C3C39" w:rsidRPr="00817859" w:rsidTr="00203899">
        <w:tc>
          <w:tcPr>
            <w:tcW w:w="4814" w:type="dxa"/>
            <w:gridSpan w:val="2"/>
          </w:tcPr>
          <w:p w:rsidR="00FC3C39" w:rsidRPr="00817859" w:rsidRDefault="00FC3C39" w:rsidP="00203899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817859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Готовая к демонстрации </w:t>
            </w:r>
            <w:proofErr w:type="spellStart"/>
            <w:r w:rsidRPr="00817859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полупаллета</w:t>
            </w:r>
            <w:proofErr w:type="spellEnd"/>
          </w:p>
          <w:p w:rsidR="00FC3C39" w:rsidRPr="00817859" w:rsidRDefault="00FC3C39" w:rsidP="00203899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859">
              <w:rPr>
                <w:rFonts w:cs="Times New Roman"/>
                <w:noProof/>
                <w:szCs w:val="20"/>
                <w:lang w:eastAsia="ru-RU"/>
              </w:rPr>
              <w:drawing>
                <wp:inline distT="0" distB="0" distL="0" distR="0" wp14:anchorId="2131B821" wp14:editId="0B717DB1">
                  <wp:extent cx="2040467" cy="2574722"/>
                  <wp:effectExtent l="0" t="0" r="0" b="0"/>
                  <wp:docPr id="26" name="Picture 15" descr="FABL_HP42_TI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FABL_HP42_TIDE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11365" t="2368" r="13576" b="2919"/>
                          <a:stretch/>
                        </pic:blipFill>
                        <pic:spPr bwMode="auto">
                          <a:xfrm>
                            <a:off x="0" y="0"/>
                            <a:ext cx="2046289" cy="2582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gridSpan w:val="2"/>
          </w:tcPr>
          <w:p w:rsidR="00FC3C39" w:rsidRPr="00817859" w:rsidRDefault="00FC3C39" w:rsidP="00203899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en-US"/>
              </w:rPr>
            </w:pPr>
            <w:r w:rsidRPr="00817859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Готовая к демонстрации паллета</w:t>
            </w:r>
          </w:p>
          <w:p w:rsidR="00FC3C39" w:rsidRPr="00817859" w:rsidRDefault="00FC3C39" w:rsidP="00203899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817859">
              <w:rPr>
                <w:rFonts w:cs="Times New Roman"/>
                <w:noProof/>
                <w:szCs w:val="20"/>
                <w:lang w:eastAsia="ru-RU"/>
              </w:rPr>
              <w:drawing>
                <wp:inline distT="0" distB="0" distL="0" distR="0" wp14:anchorId="1BEFAF84" wp14:editId="552D27FA">
                  <wp:extent cx="2420234" cy="2430780"/>
                  <wp:effectExtent l="0" t="0" r="0" b="762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168" cy="2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3C39" w:rsidRPr="00DB4395" w:rsidRDefault="00FC3C39" w:rsidP="00FC3C39">
      <w:pPr>
        <w:pStyle w:val="SingleTxtG"/>
        <w:spacing w:line="360" w:lineRule="auto"/>
        <w:rPr>
          <w:lang w:val="ru-RU"/>
        </w:rPr>
      </w:pPr>
    </w:p>
    <w:p w:rsidR="00FC3C39" w:rsidRPr="00DB4395" w:rsidRDefault="00817859" w:rsidP="00817859">
      <w:pPr>
        <w:pStyle w:val="SingleTxtGR"/>
      </w:pPr>
      <w:r>
        <w:lastRenderedPageBreak/>
        <w:tab/>
      </w:r>
      <w:r w:rsidR="00FC3C39" w:rsidRPr="00DB4395">
        <w:t xml:space="preserve">В демонстрационные упаковки могут включаться любые потребительские товары, в том числе классифицируемые и регламентируемые в качестве опасных материалов/опасных грузов. Ниже приведены примеры отнесенной к опасным грузам продукции, производимой некоторыми из наших членов.  </w:t>
      </w:r>
    </w:p>
    <w:tbl>
      <w:tblPr>
        <w:tblStyle w:val="TabTxt"/>
        <w:tblW w:w="7370" w:type="dxa"/>
        <w:tblInd w:w="1134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E0" w:firstRow="1" w:lastRow="1" w:firstColumn="1" w:lastColumn="1" w:noHBand="0" w:noVBand="1"/>
      </w:tblPr>
      <w:tblGrid>
        <w:gridCol w:w="3048"/>
        <w:gridCol w:w="4322"/>
      </w:tblGrid>
      <w:tr w:rsidR="00FB2013" w:rsidRPr="003C36B9" w:rsidTr="003C36B9">
        <w:trPr>
          <w:tblHeader/>
        </w:trPr>
        <w:tc>
          <w:tcPr>
            <w:tcW w:w="3274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FC3C39" w:rsidRPr="003C36B9" w:rsidRDefault="00FC3C39" w:rsidP="003C36B9">
            <w:pPr>
              <w:suppressAutoHyphens w:val="0"/>
              <w:spacing w:before="80" w:after="80" w:line="200" w:lineRule="exact"/>
              <w:ind w:left="57"/>
              <w:rPr>
                <w:b/>
                <w:sz w:val="16"/>
              </w:rPr>
            </w:pPr>
            <w:r w:rsidRPr="003C36B9">
              <w:rPr>
                <w:b/>
                <w:sz w:val="16"/>
              </w:rPr>
              <w:t>Виды опасных грузов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46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C3C39" w:rsidRPr="003C36B9" w:rsidRDefault="00FC3C39" w:rsidP="003C36B9">
            <w:pPr>
              <w:suppressAutoHyphens w:val="0"/>
              <w:spacing w:before="80" w:after="80" w:line="200" w:lineRule="exact"/>
              <w:ind w:left="57"/>
              <w:rPr>
                <w:b/>
                <w:sz w:val="16"/>
              </w:rPr>
            </w:pPr>
            <w:r w:rsidRPr="003C36B9">
              <w:rPr>
                <w:b/>
                <w:sz w:val="16"/>
              </w:rPr>
              <w:t>Примеры</w:t>
            </w:r>
          </w:p>
        </w:tc>
      </w:tr>
      <w:tr w:rsidR="00FC3C39" w:rsidRPr="00817859" w:rsidTr="00FB2013">
        <w:tc>
          <w:tcPr>
            <w:tcW w:w="3274" w:type="dxa"/>
            <w:tcBorders>
              <w:top w:val="single" w:sz="12" w:space="0" w:color="auto"/>
            </w:tcBorders>
          </w:tcPr>
          <w:p w:rsidR="00FC3C39" w:rsidRPr="00817859" w:rsidRDefault="00FC3C39" w:rsidP="003C36B9">
            <w:pPr>
              <w:ind w:left="57"/>
            </w:pPr>
            <w:r w:rsidRPr="00817859">
              <w:t>Воспламеняющиеся и невоспламеняющиеся аэрозоли (в</w:t>
            </w:r>
            <w:r w:rsidR="00817859">
              <w:rPr>
                <w:lang w:val="en-US"/>
              </w:rPr>
              <w:t> </w:t>
            </w:r>
            <w:r w:rsidRPr="00817859">
              <w:t>металлических и пластиковых баллончиках)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46" w:type="dxa"/>
            <w:tcBorders>
              <w:top w:val="single" w:sz="12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FC3C39" w:rsidRPr="00817859" w:rsidRDefault="00FC3C39" w:rsidP="003C36B9">
            <w:pPr>
              <w:ind w:left="57"/>
            </w:pPr>
            <w:r w:rsidRPr="00817859">
              <w:t>Освежители воздуха, лаки для волос, пена для бритья, антиперспиранты</w:t>
            </w:r>
          </w:p>
        </w:tc>
      </w:tr>
      <w:tr w:rsidR="00FC3C39" w:rsidRPr="00817859" w:rsidTr="00FB2013">
        <w:tc>
          <w:tcPr>
            <w:tcW w:w="3274" w:type="dxa"/>
          </w:tcPr>
          <w:p w:rsidR="00FC3C39" w:rsidRPr="00817859" w:rsidRDefault="00FC3C39" w:rsidP="003C36B9">
            <w:pPr>
              <w:ind w:left="57"/>
            </w:pPr>
            <w:r w:rsidRPr="00817859">
              <w:t>Легковоспламеняющиеся жидкости (в стеклянной или пластиковой таре)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FC3C39" w:rsidRPr="00817859" w:rsidRDefault="00FC3C39" w:rsidP="006F0562">
            <w:pPr>
              <w:ind w:left="57"/>
            </w:pPr>
            <w:r w:rsidRPr="00817859">
              <w:t>Средства для укладки волос, лосьоны после бритья, лосьоны для кожи, косметические средства</w:t>
            </w:r>
          </w:p>
        </w:tc>
      </w:tr>
      <w:tr w:rsidR="00FC3C39" w:rsidRPr="00817859" w:rsidTr="00FB2013">
        <w:tc>
          <w:tcPr>
            <w:tcW w:w="3274" w:type="dxa"/>
          </w:tcPr>
          <w:p w:rsidR="00FC3C39" w:rsidRPr="00817859" w:rsidRDefault="00FC3C39" w:rsidP="003C36B9">
            <w:pPr>
              <w:ind w:left="57"/>
            </w:pPr>
            <w:r w:rsidRPr="00817859">
              <w:t xml:space="preserve">Легковоспламеняющиеся твердые вещества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FC3C39" w:rsidRPr="00817859" w:rsidRDefault="00FC3C39" w:rsidP="003C36B9">
            <w:pPr>
              <w:ind w:left="57"/>
            </w:pPr>
            <w:r w:rsidRPr="00817859">
              <w:t>Сухие дезодоранты</w:t>
            </w:r>
          </w:p>
        </w:tc>
      </w:tr>
      <w:tr w:rsidR="00FC3C39" w:rsidRPr="00817859" w:rsidTr="00FB2013">
        <w:tc>
          <w:tcPr>
            <w:tcW w:w="3274" w:type="dxa"/>
          </w:tcPr>
          <w:p w:rsidR="00FC3C39" w:rsidRPr="00817859" w:rsidRDefault="00FC3C39" w:rsidP="003C36B9">
            <w:pPr>
              <w:ind w:left="57"/>
            </w:pPr>
            <w:r w:rsidRPr="00817859">
              <w:t>Окисляющие вещества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FC3C39" w:rsidRPr="00817859" w:rsidRDefault="00FC3C39" w:rsidP="003C36B9">
            <w:pPr>
              <w:ind w:left="57"/>
            </w:pPr>
            <w:r w:rsidRPr="00817859">
              <w:t>Добавки для стирки</w:t>
            </w:r>
          </w:p>
        </w:tc>
      </w:tr>
      <w:tr w:rsidR="00FC3C39" w:rsidRPr="00817859" w:rsidTr="00FB2013">
        <w:tc>
          <w:tcPr>
            <w:tcW w:w="3274" w:type="dxa"/>
          </w:tcPr>
          <w:p w:rsidR="00FC3C39" w:rsidRPr="00817859" w:rsidRDefault="00FC3C39" w:rsidP="003C36B9">
            <w:pPr>
              <w:ind w:left="57"/>
            </w:pPr>
            <w:r w:rsidRPr="00817859">
              <w:t>Коррозионные вещества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FC3C39" w:rsidRPr="00817859" w:rsidRDefault="00FC3C39" w:rsidP="003C36B9">
            <w:pPr>
              <w:ind w:left="57"/>
            </w:pPr>
            <w:r w:rsidRPr="00817859">
              <w:t>Гели для посудомоечных машин, добавки для стирки</w:t>
            </w:r>
          </w:p>
        </w:tc>
      </w:tr>
      <w:tr w:rsidR="00FC3C39" w:rsidRPr="00817859" w:rsidTr="00FB2013">
        <w:tc>
          <w:tcPr>
            <w:tcW w:w="3274" w:type="dxa"/>
          </w:tcPr>
          <w:p w:rsidR="00FC3C39" w:rsidRPr="00817859" w:rsidRDefault="00FC3C39" w:rsidP="003C36B9">
            <w:pPr>
              <w:ind w:left="57"/>
            </w:pPr>
            <w:r w:rsidRPr="00817859">
              <w:t>Устройства, работающие на литиевых батареях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FC3C39" w:rsidRPr="00817859" w:rsidRDefault="00FC3C39" w:rsidP="003C36B9">
            <w:pPr>
              <w:ind w:left="57"/>
            </w:pPr>
            <w:r w:rsidRPr="00817859">
              <w:t>Заряжаемые бритвы и электрические зубные щетки</w:t>
            </w:r>
          </w:p>
        </w:tc>
      </w:tr>
      <w:tr w:rsidR="00FC3C39" w:rsidRPr="00817859" w:rsidTr="00FB2013">
        <w:tc>
          <w:tcPr>
            <w:tcW w:w="3274" w:type="dxa"/>
          </w:tcPr>
          <w:p w:rsidR="00FC3C39" w:rsidRPr="00817859" w:rsidRDefault="00FC3C39" w:rsidP="003C36B9">
            <w:pPr>
              <w:ind w:left="57"/>
            </w:pPr>
            <w:r w:rsidRPr="00817859">
              <w:t>Вещества, опасные для окружающей среды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FC3C39" w:rsidRPr="00817859" w:rsidRDefault="00FC3C39" w:rsidP="003C36B9">
            <w:pPr>
              <w:ind w:left="57"/>
            </w:pPr>
            <w:r w:rsidRPr="00817859">
              <w:t>Дезинфицирующие средства, шампуни против перхоти, освежители воздуха</w:t>
            </w:r>
          </w:p>
        </w:tc>
      </w:tr>
    </w:tbl>
    <w:p w:rsidR="00FC3C39" w:rsidRPr="00DB4395" w:rsidRDefault="00FB2013" w:rsidP="00FB2013">
      <w:pPr>
        <w:pStyle w:val="SingleTxtGR"/>
        <w:spacing w:before="120"/>
      </w:pPr>
      <w:r>
        <w:tab/>
      </w:r>
      <w:r w:rsidR="00FC3C39" w:rsidRPr="00DB4395">
        <w:t xml:space="preserve">Транспортировка опасных грузов в готовой к выкладке демонстрационной упаковке с массой брутто более 30 кг осуществляется в соответствии с условиями, предусмотренными в пункте 173.156 с) 49 CFR [Примечание: в феврале 2016 года PHMSA внесла в Правила обращения с опасными материалами (HMR) положения о многочисленных долгосрочных специальных разрешениях. Положения специального разрешения </w:t>
      </w:r>
      <w:r w:rsidR="00FC3C39" w:rsidRPr="00DB4395">
        <w:rPr>
          <w:lang w:val="en-US"/>
        </w:rPr>
        <w:t>SP</w:t>
      </w:r>
      <w:r w:rsidR="00FC3C39" w:rsidRPr="00DB4395">
        <w:t>-11458 были включены в качестве пункта 173.156 c)]. Конкретные требования в отношении транспортировки товаров в демонстрационной упаковке в соответствии с данным разделом предусматривают следующее:</w:t>
      </w:r>
    </w:p>
    <w:p w:rsidR="00FC3C39" w:rsidRPr="00DB4395" w:rsidRDefault="00FC3C39" w:rsidP="00FB2013">
      <w:pPr>
        <w:pStyle w:val="SingleTxtGR"/>
      </w:pPr>
      <w:r w:rsidRPr="00DB4395">
        <w:t>1.</w:t>
      </w:r>
      <w:r w:rsidRPr="00DB4395">
        <w:tab/>
        <w:t>Внутренняя тара должна отвечать требованиям для ограниченных количеств.</w:t>
      </w:r>
    </w:p>
    <w:p w:rsidR="00FC3C39" w:rsidRPr="00DB4395" w:rsidRDefault="00FC3C39" w:rsidP="00FB2013">
      <w:pPr>
        <w:pStyle w:val="SingleTxtGR"/>
      </w:pPr>
      <w:r w:rsidRPr="00DB4395">
        <w:t>2.</w:t>
      </w:r>
      <w:r w:rsidRPr="00DB4395">
        <w:tab/>
        <w:t>Товары помещаются в лотки таким образом, чтобы не допускать сдвига отдельных емкостей.</w:t>
      </w:r>
    </w:p>
    <w:p w:rsidR="00FC3C39" w:rsidRPr="00DB4395" w:rsidRDefault="00FC3C39" w:rsidP="00FB2013">
      <w:pPr>
        <w:pStyle w:val="SingleTxtGR"/>
      </w:pPr>
      <w:r w:rsidRPr="00DB4395">
        <w:t>3.</w:t>
      </w:r>
      <w:r w:rsidRPr="00DB4395">
        <w:tab/>
        <w:t xml:space="preserve">Лотки укладываются друг на друга и помещаются в ящик из фибрового картона, который надежно закрепляется на поддоне при помощи металлических, тканевых или пластиковых строп, образуя единую </w:t>
      </w:r>
      <w:proofErr w:type="spellStart"/>
      <w:r w:rsidRPr="00DB4395">
        <w:t>паллетированную</w:t>
      </w:r>
      <w:proofErr w:type="spellEnd"/>
      <w:r w:rsidRPr="00DB4395">
        <w:t xml:space="preserve"> единицу.</w:t>
      </w:r>
    </w:p>
    <w:p w:rsidR="00FC3C39" w:rsidRPr="00DB4395" w:rsidRDefault="00FC3C39" w:rsidP="00FB2013">
      <w:pPr>
        <w:pStyle w:val="SingleTxtGR"/>
      </w:pPr>
      <w:r w:rsidRPr="00DB4395">
        <w:t>4.</w:t>
      </w:r>
      <w:r w:rsidRPr="00DB4395">
        <w:tab/>
        <w:t xml:space="preserve">Максимальное количество нетто опасных материалов, допустимое в одной </w:t>
      </w:r>
      <w:proofErr w:type="spellStart"/>
      <w:r w:rsidRPr="00DB4395">
        <w:t>паллетированной</w:t>
      </w:r>
      <w:proofErr w:type="spellEnd"/>
      <w:r w:rsidRPr="00DB4395">
        <w:t xml:space="preserve"> единице, составляет 550 кг.</w:t>
      </w:r>
    </w:p>
    <w:p w:rsidR="00FC3C39" w:rsidRPr="00DB4395" w:rsidRDefault="00FC3C39" w:rsidP="00FB2013">
      <w:pPr>
        <w:pStyle w:val="SingleTxtGR"/>
      </w:pPr>
      <w:r w:rsidRPr="00DB4395">
        <w:t>5.</w:t>
      </w:r>
      <w:r w:rsidRPr="00DB4395">
        <w:tab/>
        <w:t>Снаружи на ящик наносится маркировочный знак ограниченных количеств.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0"/>
      </w:tblGrid>
      <w:tr w:rsidR="00FC3C39" w:rsidRPr="004C5BA5" w:rsidTr="00203899">
        <w:trPr>
          <w:jc w:val="center"/>
        </w:trPr>
        <w:tc>
          <w:tcPr>
            <w:tcW w:w="7200" w:type="dxa"/>
          </w:tcPr>
          <w:p w:rsidR="00FC3C39" w:rsidRPr="00D46816" w:rsidRDefault="00FC3C39" w:rsidP="00203899">
            <w:pPr>
              <w:spacing w:before="120" w:after="120" w:line="360" w:lineRule="auto"/>
              <w:jc w:val="center"/>
              <w:rPr>
                <w:sz w:val="24"/>
                <w:szCs w:val="24"/>
              </w:rPr>
            </w:pPr>
            <w:r w:rsidRPr="00E5711E">
              <w:rPr>
                <w:noProof/>
                <w:lang w:eastAsia="ru-RU"/>
              </w:rPr>
              <w:lastRenderedPageBreak/>
              <w:drawing>
                <wp:inline distT="0" distB="0" distL="0" distR="0" wp14:anchorId="40639788" wp14:editId="47B923F5">
                  <wp:extent cx="2369185" cy="2533015"/>
                  <wp:effectExtent l="0" t="0" r="0" b="635"/>
                  <wp:docPr id="29" name="Picture 29" descr="C:\Users\stokes.jh\AppData\Local\Microsoft\Windows\Temporary Internet Files\Content.Outlook\XTDTCX1J\Full pallet display short (0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stokes.jh\AppData\Local\Microsoft\Windows\Temporary Internet Files\Content.Outlook\XTDTCX1J\Full pallet display short (00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03" t="1709" r="16512" b="7501"/>
                          <a:stretch/>
                        </pic:blipFill>
                        <pic:spPr bwMode="auto">
                          <a:xfrm>
                            <a:off x="0" y="0"/>
                            <a:ext cx="2369185" cy="253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3C39" w:rsidRPr="00FB2013" w:rsidRDefault="00FC3C39" w:rsidP="00203899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201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Пример готовой демонстрационной упаковки, соответствующей требованиям пункта 173.156 c)</w:t>
            </w:r>
          </w:p>
        </w:tc>
      </w:tr>
    </w:tbl>
    <w:p w:rsidR="00FC3C39" w:rsidRDefault="00FB2013" w:rsidP="00FB2013">
      <w:pPr>
        <w:pStyle w:val="SingleTxtGR"/>
      </w:pPr>
      <w:r>
        <w:tab/>
      </w:r>
      <w:r w:rsidR="00FC3C39" w:rsidRPr="00DB4395">
        <w:t>При перевозке ограниченных количеств в описанных выше демонстрационных упаковках в Соединенных Штатах Америки обеспечивается уровень безопасности, эквивалентный тому, который гарантируется при транспортировке ограниченных количеств в соответствии с положениями пунктов 173.150-155 и 173.306, о чем свидетельствует включение PHMSA специального разрешения SP-11458 в Правила обращения с опасными материалами. Кроме того, у этого государства-члена не возникало никаких проблем с данными демонстрационными упаковками с 2002 года, когда ему впервые был предоставлен статус стороны SP-11458.</w:t>
      </w:r>
    </w:p>
    <w:p w:rsidR="00FC3C39" w:rsidRPr="00FC3C39" w:rsidRDefault="00FC3C39" w:rsidP="00FC3C39">
      <w:pPr>
        <w:pStyle w:val="SingleTxtGR"/>
        <w:spacing w:before="240" w:after="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FC3C39" w:rsidRPr="00FC3C39" w:rsidSect="00FC3C39">
      <w:headerReference w:type="even" r:id="rId20"/>
      <w:headerReference w:type="default" r:id="rId21"/>
      <w:footerReference w:type="even" r:id="rId22"/>
      <w:footerReference w:type="default" r:id="rId23"/>
      <w:footerReference w:type="first" r:id="rId24"/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7F48" w:rsidRPr="00A312BC" w:rsidRDefault="001C7F48" w:rsidP="00A312BC"/>
  </w:endnote>
  <w:endnote w:type="continuationSeparator" w:id="0">
    <w:p w:rsidR="001C7F48" w:rsidRPr="00A312BC" w:rsidRDefault="001C7F48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39T30Lfz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3C39" w:rsidRPr="00FC3C39" w:rsidRDefault="00FC3C39">
    <w:pPr>
      <w:pStyle w:val="Footer"/>
    </w:pPr>
    <w:r w:rsidRPr="00FC3C39">
      <w:rPr>
        <w:b/>
        <w:sz w:val="18"/>
      </w:rPr>
      <w:fldChar w:fldCharType="begin"/>
    </w:r>
    <w:r w:rsidRPr="00FC3C39">
      <w:rPr>
        <w:b/>
        <w:sz w:val="18"/>
      </w:rPr>
      <w:instrText xml:space="preserve"> PAGE  \* MERGEFORMAT </w:instrText>
    </w:r>
    <w:r w:rsidRPr="00FC3C39">
      <w:rPr>
        <w:b/>
        <w:sz w:val="18"/>
      </w:rPr>
      <w:fldChar w:fldCharType="separate"/>
    </w:r>
    <w:r w:rsidR="00910B53">
      <w:rPr>
        <w:b/>
        <w:noProof/>
        <w:sz w:val="18"/>
      </w:rPr>
      <w:t>6</w:t>
    </w:r>
    <w:r w:rsidRPr="00FC3C39">
      <w:rPr>
        <w:b/>
        <w:sz w:val="18"/>
      </w:rPr>
      <w:fldChar w:fldCharType="end"/>
    </w:r>
    <w:r>
      <w:rPr>
        <w:b/>
        <w:sz w:val="18"/>
      </w:rPr>
      <w:tab/>
    </w:r>
    <w:r>
      <w:t>GE.18-10446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3C39" w:rsidRPr="00FC3C39" w:rsidRDefault="00FC3C39" w:rsidP="00FC3C39">
    <w:pPr>
      <w:pStyle w:val="Footer"/>
      <w:tabs>
        <w:tab w:val="clear" w:pos="9639"/>
        <w:tab w:val="right" w:pos="9638"/>
      </w:tabs>
      <w:rPr>
        <w:b/>
        <w:sz w:val="18"/>
      </w:rPr>
    </w:pPr>
    <w:r>
      <w:t>GE.18-10446</w:t>
    </w:r>
    <w:r>
      <w:tab/>
    </w:r>
    <w:r w:rsidRPr="00FC3C39">
      <w:rPr>
        <w:b/>
        <w:sz w:val="18"/>
      </w:rPr>
      <w:fldChar w:fldCharType="begin"/>
    </w:r>
    <w:r w:rsidRPr="00FC3C39">
      <w:rPr>
        <w:b/>
        <w:sz w:val="18"/>
      </w:rPr>
      <w:instrText xml:space="preserve"> PAGE  \* MERGEFORMAT </w:instrText>
    </w:r>
    <w:r w:rsidRPr="00FC3C39">
      <w:rPr>
        <w:b/>
        <w:sz w:val="18"/>
      </w:rPr>
      <w:fldChar w:fldCharType="separate"/>
    </w:r>
    <w:r w:rsidR="00910B53">
      <w:rPr>
        <w:b/>
        <w:noProof/>
        <w:sz w:val="18"/>
      </w:rPr>
      <w:t>5</w:t>
    </w:r>
    <w:r w:rsidRPr="00FC3C39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2B72" w:rsidRPr="00FC3C39" w:rsidRDefault="00FC3C39" w:rsidP="00FC3C39">
    <w:pPr>
      <w:spacing w:before="120" w:line="240" w:lineRule="auto"/>
    </w:pPr>
    <w:r>
      <w:t>GE.</w:t>
    </w:r>
    <w:r w:rsidR="00DF71B9">
      <w:rPr>
        <w:b/>
        <w:noProof/>
        <w:lang w:eastAsia="ru-RU"/>
      </w:rPr>
      <w:drawing>
        <wp:anchor distT="0" distB="0" distL="114300" distR="114300" simplePos="0" relativeHeight="251658240" behindDoc="0" locked="0" layoutInCell="1" allowOverlap="1" wp14:anchorId="698A042D" wp14:editId="6ECF2596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18-</w:t>
    </w:r>
    <w:proofErr w:type="gramStart"/>
    <w:r>
      <w:t>10446  (</w:t>
    </w:r>
    <w:proofErr w:type="gramEnd"/>
    <w:r>
      <w:t>R)</w:t>
    </w:r>
    <w:r w:rsidR="00FB2013">
      <w:rPr>
        <w:lang w:val="en-US"/>
      </w:rPr>
      <w:t xml:space="preserve">  060718  090718</w:t>
    </w:r>
    <w:r>
      <w:br/>
    </w:r>
    <w:r w:rsidRPr="00FC3C39">
      <w:rPr>
        <w:rFonts w:ascii="C39T30Lfz" w:hAnsi="C39T30Lfz"/>
        <w:kern w:val="14"/>
        <w:sz w:val="56"/>
      </w:rPr>
      <w:t></w:t>
    </w:r>
    <w:r w:rsidRPr="00FC3C39">
      <w:rPr>
        <w:rFonts w:ascii="C39T30Lfz" w:hAnsi="C39T30Lfz"/>
        <w:kern w:val="14"/>
        <w:sz w:val="56"/>
      </w:rPr>
      <w:t></w:t>
    </w:r>
    <w:r w:rsidRPr="00FC3C39">
      <w:rPr>
        <w:rFonts w:ascii="C39T30Lfz" w:hAnsi="C39T30Lfz"/>
        <w:kern w:val="14"/>
        <w:sz w:val="56"/>
      </w:rPr>
      <w:t></w:t>
    </w:r>
    <w:r w:rsidRPr="00FC3C39">
      <w:rPr>
        <w:rFonts w:ascii="C39T30Lfz" w:hAnsi="C39T30Lfz"/>
        <w:kern w:val="14"/>
        <w:sz w:val="56"/>
      </w:rPr>
      <w:t></w:t>
    </w:r>
    <w:r w:rsidRPr="00FC3C39">
      <w:rPr>
        <w:rFonts w:ascii="C39T30Lfz" w:hAnsi="C39T30Lfz"/>
        <w:kern w:val="14"/>
        <w:sz w:val="56"/>
      </w:rPr>
      <w:t></w:t>
    </w:r>
    <w:r w:rsidRPr="00FC3C39">
      <w:rPr>
        <w:rFonts w:ascii="C39T30Lfz" w:hAnsi="C39T30Lfz"/>
        <w:kern w:val="14"/>
        <w:sz w:val="56"/>
      </w:rPr>
      <w:t></w:t>
    </w:r>
    <w:r w:rsidRPr="00FC3C39">
      <w:rPr>
        <w:rFonts w:ascii="C39T30Lfz" w:hAnsi="C39T30Lfz"/>
        <w:kern w:val="14"/>
        <w:sz w:val="56"/>
      </w:rPr>
      <w:t></w:t>
    </w:r>
    <w:r w:rsidRPr="00FC3C39">
      <w:rPr>
        <w:rFonts w:ascii="C39T30Lfz" w:hAnsi="C39T30Lfz"/>
        <w:kern w:val="14"/>
        <w:sz w:val="56"/>
      </w:rPr>
      <w:t></w:t>
    </w:r>
    <w:r w:rsidRPr="00FC3C39">
      <w:rPr>
        <w:rFonts w:ascii="C39T30Lfz" w:hAnsi="C39T30Lfz"/>
        <w:kern w:val="14"/>
        <w:sz w:val="56"/>
      </w:rPr>
      <w:t></w:t>
    </w: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38175" cy="638175"/>
          <wp:effectExtent l="0" t="0" r="9525" b="9525"/>
          <wp:wrapNone/>
          <wp:docPr id="1" name="Рисунок 1" descr="https://undocs.org/m2/QRCode.ashx?DS=ECE/TRANS/WP.15/AC.1/2018/21&amp;Size=2&amp;Lang=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ndocs.org/m2/QRCode.ashx?DS=ECE/TRANS/WP.15/AC.1/2018/21&amp;Size=2&amp;Lang=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7F48" w:rsidRPr="001075E9" w:rsidRDefault="001C7F48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:rsidR="001C7F48" w:rsidRDefault="001C7F48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:rsidR="00FC3C39" w:rsidRPr="00FC3C39" w:rsidRDefault="00FC3C39">
      <w:pPr>
        <w:pStyle w:val="FootnoteText"/>
        <w:rPr>
          <w:sz w:val="20"/>
        </w:rPr>
      </w:pPr>
      <w:r>
        <w:tab/>
      </w:r>
      <w:r w:rsidRPr="00FC3C39">
        <w:rPr>
          <w:rStyle w:val="FootnoteReference"/>
          <w:sz w:val="20"/>
          <w:vertAlign w:val="baseline"/>
        </w:rPr>
        <w:t>*</w:t>
      </w:r>
      <w:r w:rsidRPr="00FC3C39">
        <w:rPr>
          <w:rStyle w:val="FootnoteReference"/>
          <w:vertAlign w:val="baseline"/>
        </w:rPr>
        <w:tab/>
      </w:r>
      <w:r w:rsidRPr="00FC3C39">
        <w:t>В соответствии с программой работы Комитета по внутреннему транспорту на 2018–2019 годы (ECE/TRANS/2018/21/Add.1, направление деятельности 9 (9.2)).</w:t>
      </w:r>
    </w:p>
  </w:footnote>
  <w:footnote w:id="2">
    <w:p w:rsidR="00FC3C39" w:rsidRPr="00FC3C39" w:rsidRDefault="00FC3C39">
      <w:pPr>
        <w:pStyle w:val="FootnoteText"/>
        <w:rPr>
          <w:sz w:val="20"/>
        </w:rPr>
      </w:pPr>
      <w:r>
        <w:tab/>
      </w:r>
      <w:r w:rsidRPr="00FC3C39">
        <w:rPr>
          <w:rStyle w:val="FootnoteReference"/>
          <w:sz w:val="20"/>
          <w:vertAlign w:val="baseline"/>
        </w:rPr>
        <w:t>**</w:t>
      </w:r>
      <w:r w:rsidRPr="00FC3C39">
        <w:rPr>
          <w:rStyle w:val="FootnoteReference"/>
          <w:vertAlign w:val="baseline"/>
        </w:rPr>
        <w:tab/>
      </w:r>
      <w:r w:rsidRPr="00FC3C39">
        <w:t>Распространено Межправительственной организацией по международным железнодорожным перевозкам (ОТИФ) под условным обозначением OTIF/RID/RC/2018/21.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3C39" w:rsidRPr="00FC3C39" w:rsidRDefault="000D33E5">
    <w:pPr>
      <w:pStyle w:val="Header"/>
    </w:pPr>
    <w:r>
      <w:fldChar w:fldCharType="begin"/>
    </w:r>
    <w:r>
      <w:instrText xml:space="preserve"> TITLE  \* MERGEFORMAT </w:instrText>
    </w:r>
    <w:r>
      <w:fldChar w:fldCharType="separate"/>
    </w:r>
    <w:r w:rsidR="00910B53">
      <w:t>ECE/TRANS/WP.15/AC.1/2018/21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3C39" w:rsidRPr="00FC3C39" w:rsidRDefault="000D33E5" w:rsidP="00FC3C39">
    <w:pPr>
      <w:pStyle w:val="Header"/>
      <w:jc w:val="right"/>
    </w:pPr>
    <w:r>
      <w:fldChar w:fldCharType="begin"/>
    </w:r>
    <w:r>
      <w:instrText xml:space="preserve"> TITLE  \* MERGEFORMAT </w:instrText>
    </w:r>
    <w:r>
      <w:fldChar w:fldCharType="separate"/>
    </w:r>
    <w:r w:rsidR="00910B53">
      <w:t>ECE/TRANS/WP.15/AC.1/2018/21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1" w15:restartNumberingAfterBreak="0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5F7E8C"/>
    <w:multiLevelType w:val="hybridMultilevel"/>
    <w:tmpl w:val="B31A9316"/>
    <w:lvl w:ilvl="0" w:tplc="062E7E9C">
      <w:start w:val="1"/>
      <w:numFmt w:val="decimal"/>
      <w:lvlText w:val="%1)"/>
      <w:lvlJc w:val="left"/>
      <w:pPr>
        <w:ind w:left="2170" w:hanging="37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880" w:hanging="360"/>
      </w:pPr>
    </w:lvl>
    <w:lvl w:ilvl="2" w:tplc="1009001B" w:tentative="1">
      <w:start w:val="1"/>
      <w:numFmt w:val="lowerRoman"/>
      <w:lvlText w:val="%3."/>
      <w:lvlJc w:val="right"/>
      <w:pPr>
        <w:ind w:left="3600" w:hanging="180"/>
      </w:pPr>
    </w:lvl>
    <w:lvl w:ilvl="3" w:tplc="1009000F" w:tentative="1">
      <w:start w:val="1"/>
      <w:numFmt w:val="decimal"/>
      <w:lvlText w:val="%4."/>
      <w:lvlJc w:val="left"/>
      <w:pPr>
        <w:ind w:left="4320" w:hanging="360"/>
      </w:pPr>
    </w:lvl>
    <w:lvl w:ilvl="4" w:tplc="10090019" w:tentative="1">
      <w:start w:val="1"/>
      <w:numFmt w:val="lowerLetter"/>
      <w:lvlText w:val="%5."/>
      <w:lvlJc w:val="left"/>
      <w:pPr>
        <w:ind w:left="5040" w:hanging="360"/>
      </w:pPr>
    </w:lvl>
    <w:lvl w:ilvl="5" w:tplc="1009001B" w:tentative="1">
      <w:start w:val="1"/>
      <w:numFmt w:val="lowerRoman"/>
      <w:lvlText w:val="%6."/>
      <w:lvlJc w:val="right"/>
      <w:pPr>
        <w:ind w:left="5760" w:hanging="180"/>
      </w:pPr>
    </w:lvl>
    <w:lvl w:ilvl="6" w:tplc="1009000F" w:tentative="1">
      <w:start w:val="1"/>
      <w:numFmt w:val="decimal"/>
      <w:lvlText w:val="%7."/>
      <w:lvlJc w:val="left"/>
      <w:pPr>
        <w:ind w:left="6480" w:hanging="360"/>
      </w:pPr>
    </w:lvl>
    <w:lvl w:ilvl="7" w:tplc="10090019" w:tentative="1">
      <w:start w:val="1"/>
      <w:numFmt w:val="lowerLetter"/>
      <w:lvlText w:val="%8."/>
      <w:lvlJc w:val="left"/>
      <w:pPr>
        <w:ind w:left="7200" w:hanging="360"/>
      </w:pPr>
    </w:lvl>
    <w:lvl w:ilvl="8" w:tplc="1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R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R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5BF12F8"/>
    <w:multiLevelType w:val="hybridMultilevel"/>
    <w:tmpl w:val="43A6C61A"/>
    <w:lvl w:ilvl="0" w:tplc="A652453E">
      <w:start w:val="1"/>
      <w:numFmt w:val="bullet"/>
      <w:pStyle w:val="Bullet1GR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6C79256F"/>
    <w:multiLevelType w:val="hybridMultilevel"/>
    <w:tmpl w:val="629460B8"/>
    <w:lvl w:ilvl="0" w:tplc="E6BAF676">
      <w:start w:val="1"/>
      <w:numFmt w:val="lowerRoman"/>
      <w:lvlText w:val="%1)"/>
      <w:lvlJc w:val="left"/>
      <w:pPr>
        <w:ind w:left="2520" w:hanging="72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2880" w:hanging="360"/>
      </w:pPr>
    </w:lvl>
    <w:lvl w:ilvl="2" w:tplc="1009001B" w:tentative="1">
      <w:start w:val="1"/>
      <w:numFmt w:val="lowerRoman"/>
      <w:lvlText w:val="%3."/>
      <w:lvlJc w:val="right"/>
      <w:pPr>
        <w:ind w:left="3600" w:hanging="180"/>
      </w:pPr>
    </w:lvl>
    <w:lvl w:ilvl="3" w:tplc="1009000F" w:tentative="1">
      <w:start w:val="1"/>
      <w:numFmt w:val="decimal"/>
      <w:lvlText w:val="%4."/>
      <w:lvlJc w:val="left"/>
      <w:pPr>
        <w:ind w:left="4320" w:hanging="360"/>
      </w:pPr>
    </w:lvl>
    <w:lvl w:ilvl="4" w:tplc="10090019" w:tentative="1">
      <w:start w:val="1"/>
      <w:numFmt w:val="lowerLetter"/>
      <w:lvlText w:val="%5."/>
      <w:lvlJc w:val="left"/>
      <w:pPr>
        <w:ind w:left="5040" w:hanging="360"/>
      </w:pPr>
    </w:lvl>
    <w:lvl w:ilvl="5" w:tplc="1009001B" w:tentative="1">
      <w:start w:val="1"/>
      <w:numFmt w:val="lowerRoman"/>
      <w:lvlText w:val="%6."/>
      <w:lvlJc w:val="right"/>
      <w:pPr>
        <w:ind w:left="5760" w:hanging="180"/>
      </w:pPr>
    </w:lvl>
    <w:lvl w:ilvl="6" w:tplc="1009000F" w:tentative="1">
      <w:start w:val="1"/>
      <w:numFmt w:val="decimal"/>
      <w:lvlText w:val="%7."/>
      <w:lvlJc w:val="left"/>
      <w:pPr>
        <w:ind w:left="6480" w:hanging="360"/>
      </w:pPr>
    </w:lvl>
    <w:lvl w:ilvl="7" w:tplc="10090019" w:tentative="1">
      <w:start w:val="1"/>
      <w:numFmt w:val="lowerLetter"/>
      <w:lvlText w:val="%8."/>
      <w:lvlJc w:val="left"/>
      <w:pPr>
        <w:ind w:left="7200" w:hanging="360"/>
      </w:pPr>
    </w:lvl>
    <w:lvl w:ilvl="8" w:tplc="1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77C16B78"/>
    <w:multiLevelType w:val="hybridMultilevel"/>
    <w:tmpl w:val="44165E9E"/>
    <w:lvl w:ilvl="0" w:tplc="5E042380">
      <w:start w:val="1"/>
      <w:numFmt w:val="lowerRoman"/>
      <w:lvlText w:val="%1)"/>
      <w:lvlJc w:val="left"/>
      <w:pPr>
        <w:ind w:left="2520" w:hanging="72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2880" w:hanging="360"/>
      </w:pPr>
    </w:lvl>
    <w:lvl w:ilvl="2" w:tplc="1009001B" w:tentative="1">
      <w:start w:val="1"/>
      <w:numFmt w:val="lowerRoman"/>
      <w:lvlText w:val="%3."/>
      <w:lvlJc w:val="right"/>
      <w:pPr>
        <w:ind w:left="3600" w:hanging="180"/>
      </w:pPr>
    </w:lvl>
    <w:lvl w:ilvl="3" w:tplc="1009000F" w:tentative="1">
      <w:start w:val="1"/>
      <w:numFmt w:val="decimal"/>
      <w:lvlText w:val="%4."/>
      <w:lvlJc w:val="left"/>
      <w:pPr>
        <w:ind w:left="4320" w:hanging="360"/>
      </w:pPr>
    </w:lvl>
    <w:lvl w:ilvl="4" w:tplc="10090019" w:tentative="1">
      <w:start w:val="1"/>
      <w:numFmt w:val="lowerLetter"/>
      <w:lvlText w:val="%5."/>
      <w:lvlJc w:val="left"/>
      <w:pPr>
        <w:ind w:left="5040" w:hanging="360"/>
      </w:pPr>
    </w:lvl>
    <w:lvl w:ilvl="5" w:tplc="1009001B" w:tentative="1">
      <w:start w:val="1"/>
      <w:numFmt w:val="lowerRoman"/>
      <w:lvlText w:val="%6."/>
      <w:lvlJc w:val="right"/>
      <w:pPr>
        <w:ind w:left="5760" w:hanging="180"/>
      </w:pPr>
    </w:lvl>
    <w:lvl w:ilvl="6" w:tplc="1009000F" w:tentative="1">
      <w:start w:val="1"/>
      <w:numFmt w:val="decimal"/>
      <w:lvlText w:val="%7."/>
      <w:lvlJc w:val="left"/>
      <w:pPr>
        <w:ind w:left="6480" w:hanging="360"/>
      </w:pPr>
    </w:lvl>
    <w:lvl w:ilvl="7" w:tplc="10090019" w:tentative="1">
      <w:start w:val="1"/>
      <w:numFmt w:val="lowerLetter"/>
      <w:lvlText w:val="%8."/>
      <w:lvlJc w:val="left"/>
      <w:pPr>
        <w:ind w:left="7200" w:hanging="360"/>
      </w:pPr>
    </w:lvl>
    <w:lvl w:ilvl="8" w:tplc="10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7"/>
  </w:num>
  <w:num w:numId="2">
    <w:abstractNumId w:val="11"/>
  </w:num>
  <w:num w:numId="3">
    <w:abstractNumId w:val="10"/>
  </w:num>
  <w:num w:numId="4">
    <w:abstractNumId w:val="18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6"/>
  </w:num>
  <w:num w:numId="17">
    <w:abstractNumId w:val="13"/>
  </w:num>
  <w:num w:numId="18">
    <w:abstractNumId w:val="15"/>
  </w:num>
  <w:num w:numId="19">
    <w:abstractNumId w:val="16"/>
  </w:num>
  <w:num w:numId="20">
    <w:abstractNumId w:val="13"/>
  </w:num>
  <w:num w:numId="21">
    <w:abstractNumId w:val="15"/>
  </w:num>
  <w:num w:numId="22">
    <w:abstractNumId w:val="12"/>
    <w:lvlOverride w:ilvl="0">
      <w:lvl w:ilvl="0" w:tplc="062E7E9C">
        <w:start w:val="1"/>
        <w:numFmt w:val="decimal"/>
        <w:lvlText w:val="%1)"/>
        <w:lvlJc w:val="left"/>
        <w:pPr>
          <w:ind w:left="2170" w:hanging="370"/>
        </w:pPr>
        <w:rPr>
          <w:rFonts w:hint="default"/>
        </w:rPr>
      </w:lvl>
    </w:lvlOverride>
  </w:num>
  <w:num w:numId="23">
    <w:abstractNumId w:val="20"/>
    <w:lvlOverride w:ilvl="0">
      <w:lvl w:ilvl="0" w:tplc="5E042380">
        <w:start w:val="1"/>
        <w:numFmt w:val="lowerRoman"/>
        <w:lvlText w:val="%1)"/>
        <w:lvlJc w:val="left"/>
        <w:pPr>
          <w:ind w:left="2520" w:hanging="720"/>
        </w:pPr>
        <w:rPr>
          <w:rFonts w:hint="default"/>
          <w:i w:val="0"/>
        </w:rPr>
      </w:lvl>
    </w:lvlOverride>
  </w:num>
  <w:num w:numId="24">
    <w:abstractNumId w:val="19"/>
    <w:lvlOverride w:ilvl="0">
      <w:lvl w:ilvl="0" w:tplc="E6BAF676">
        <w:start w:val="1"/>
        <w:numFmt w:val="lowerRoman"/>
        <w:lvlText w:val="%1)"/>
        <w:lvlJc w:val="left"/>
        <w:pPr>
          <w:ind w:left="2520" w:hanging="720"/>
        </w:pPr>
        <w:rPr>
          <w:rFonts w:hint="default"/>
          <w:i w:val="0"/>
        </w:rPr>
      </w:lvl>
    </w:lvlOverride>
  </w:num>
  <w:num w:numId="25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revisionView w:inkAnnotations="0"/>
  <w:defaultTabStop w:val="567"/>
  <w:autoHyphenation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F48"/>
    <w:rsid w:val="00033EE1"/>
    <w:rsid w:val="00042B72"/>
    <w:rsid w:val="000558BD"/>
    <w:rsid w:val="000B57E7"/>
    <w:rsid w:val="000B6373"/>
    <w:rsid w:val="000D33E5"/>
    <w:rsid w:val="000E4E5B"/>
    <w:rsid w:val="000F09DF"/>
    <w:rsid w:val="000F61B2"/>
    <w:rsid w:val="001075E9"/>
    <w:rsid w:val="0014152F"/>
    <w:rsid w:val="00180183"/>
    <w:rsid w:val="0018024D"/>
    <w:rsid w:val="0018649F"/>
    <w:rsid w:val="00196389"/>
    <w:rsid w:val="001B3EF6"/>
    <w:rsid w:val="001C7A89"/>
    <w:rsid w:val="001C7F48"/>
    <w:rsid w:val="00255343"/>
    <w:rsid w:val="0027151D"/>
    <w:rsid w:val="00293A50"/>
    <w:rsid w:val="002A2EFC"/>
    <w:rsid w:val="002B0106"/>
    <w:rsid w:val="002B74B1"/>
    <w:rsid w:val="002C0E18"/>
    <w:rsid w:val="002D5AAC"/>
    <w:rsid w:val="002E5067"/>
    <w:rsid w:val="002F405F"/>
    <w:rsid w:val="002F7EEC"/>
    <w:rsid w:val="00301299"/>
    <w:rsid w:val="00305C08"/>
    <w:rsid w:val="00307FB6"/>
    <w:rsid w:val="00317339"/>
    <w:rsid w:val="00322004"/>
    <w:rsid w:val="003402C2"/>
    <w:rsid w:val="00381C24"/>
    <w:rsid w:val="00387CD4"/>
    <w:rsid w:val="003958D0"/>
    <w:rsid w:val="003A0D43"/>
    <w:rsid w:val="003A48CE"/>
    <w:rsid w:val="003A5C58"/>
    <w:rsid w:val="003B00E5"/>
    <w:rsid w:val="003C36B9"/>
    <w:rsid w:val="00407B78"/>
    <w:rsid w:val="00424203"/>
    <w:rsid w:val="0044280F"/>
    <w:rsid w:val="00452493"/>
    <w:rsid w:val="00453318"/>
    <w:rsid w:val="00454AF2"/>
    <w:rsid w:val="00454E07"/>
    <w:rsid w:val="00472C5C"/>
    <w:rsid w:val="004E05B7"/>
    <w:rsid w:val="0050108D"/>
    <w:rsid w:val="00513081"/>
    <w:rsid w:val="00517901"/>
    <w:rsid w:val="00526683"/>
    <w:rsid w:val="005639C1"/>
    <w:rsid w:val="005709E0"/>
    <w:rsid w:val="00572E19"/>
    <w:rsid w:val="005961C8"/>
    <w:rsid w:val="005966F1"/>
    <w:rsid w:val="005D7914"/>
    <w:rsid w:val="005E2B41"/>
    <w:rsid w:val="005F0B42"/>
    <w:rsid w:val="00617A43"/>
    <w:rsid w:val="006345DB"/>
    <w:rsid w:val="00640F49"/>
    <w:rsid w:val="00680930"/>
    <w:rsid w:val="00680D03"/>
    <w:rsid w:val="00681A10"/>
    <w:rsid w:val="006A1ED8"/>
    <w:rsid w:val="006C2031"/>
    <w:rsid w:val="006D461A"/>
    <w:rsid w:val="006F0562"/>
    <w:rsid w:val="006F35EE"/>
    <w:rsid w:val="007021FF"/>
    <w:rsid w:val="00712895"/>
    <w:rsid w:val="00734ACB"/>
    <w:rsid w:val="00757357"/>
    <w:rsid w:val="00792497"/>
    <w:rsid w:val="00806737"/>
    <w:rsid w:val="00817859"/>
    <w:rsid w:val="00825F8D"/>
    <w:rsid w:val="00834B71"/>
    <w:rsid w:val="0086445C"/>
    <w:rsid w:val="00894693"/>
    <w:rsid w:val="008A08D7"/>
    <w:rsid w:val="008A37C8"/>
    <w:rsid w:val="008B6909"/>
    <w:rsid w:val="008D53B6"/>
    <w:rsid w:val="008F7609"/>
    <w:rsid w:val="00906890"/>
    <w:rsid w:val="00910B53"/>
    <w:rsid w:val="00911BE4"/>
    <w:rsid w:val="00951972"/>
    <w:rsid w:val="009608F3"/>
    <w:rsid w:val="009A24AC"/>
    <w:rsid w:val="009C59D7"/>
    <w:rsid w:val="009C6FE6"/>
    <w:rsid w:val="009D7E7D"/>
    <w:rsid w:val="00A14DA8"/>
    <w:rsid w:val="00A312BC"/>
    <w:rsid w:val="00A84021"/>
    <w:rsid w:val="00A84D35"/>
    <w:rsid w:val="00A917B3"/>
    <w:rsid w:val="00AB4B51"/>
    <w:rsid w:val="00B10CC7"/>
    <w:rsid w:val="00B36DF7"/>
    <w:rsid w:val="00B51298"/>
    <w:rsid w:val="00B539E7"/>
    <w:rsid w:val="00B62458"/>
    <w:rsid w:val="00BC18B2"/>
    <w:rsid w:val="00BD33EE"/>
    <w:rsid w:val="00BE1CC7"/>
    <w:rsid w:val="00C106D6"/>
    <w:rsid w:val="00C119AE"/>
    <w:rsid w:val="00C60F0C"/>
    <w:rsid w:val="00C805C9"/>
    <w:rsid w:val="00C92939"/>
    <w:rsid w:val="00C92C1A"/>
    <w:rsid w:val="00CA1679"/>
    <w:rsid w:val="00CB151C"/>
    <w:rsid w:val="00CE5A1A"/>
    <w:rsid w:val="00CF55F6"/>
    <w:rsid w:val="00CF72B3"/>
    <w:rsid w:val="00D33D63"/>
    <w:rsid w:val="00D5253A"/>
    <w:rsid w:val="00D873A8"/>
    <w:rsid w:val="00D90028"/>
    <w:rsid w:val="00D90138"/>
    <w:rsid w:val="00DD78D1"/>
    <w:rsid w:val="00DE32CD"/>
    <w:rsid w:val="00DF5767"/>
    <w:rsid w:val="00DF71B9"/>
    <w:rsid w:val="00E12C5F"/>
    <w:rsid w:val="00E73F76"/>
    <w:rsid w:val="00EA2C9F"/>
    <w:rsid w:val="00EA420E"/>
    <w:rsid w:val="00ED0BDA"/>
    <w:rsid w:val="00EE142A"/>
    <w:rsid w:val="00EF1360"/>
    <w:rsid w:val="00EF3220"/>
    <w:rsid w:val="00F2523A"/>
    <w:rsid w:val="00F43903"/>
    <w:rsid w:val="00F94155"/>
    <w:rsid w:val="00F9783F"/>
    <w:rsid w:val="00FB2013"/>
    <w:rsid w:val="00FC3C39"/>
    <w:rsid w:val="00FD2EF7"/>
    <w:rsid w:val="00FE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9B7162C7-A252-40A7-A726-B34122AAF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C59D7"/>
    <w:pPr>
      <w:suppressAutoHyphens/>
      <w:spacing w:line="240" w:lineRule="atLeast"/>
    </w:pPr>
    <w:rPr>
      <w:rFonts w:eastAsiaTheme="minorHAnsi" w:cstheme="minorBidi"/>
      <w:szCs w:val="22"/>
      <w:lang w:val="ru-RU" w:eastAsia="en-US"/>
    </w:rPr>
  </w:style>
  <w:style w:type="paragraph" w:styleId="Heading1">
    <w:name w:val="heading 1"/>
    <w:aliases w:val="Table_GR"/>
    <w:basedOn w:val="Normal"/>
    <w:next w:val="Normal"/>
    <w:link w:val="Heading1Char"/>
    <w:qFormat/>
    <w:rsid w:val="00617A43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semiHidden/>
    <w:rsid w:val="009C6FE6"/>
    <w:pPr>
      <w:keepNext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Normal"/>
    <w:next w:val="Normal"/>
    <w:semiHidden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semiHidden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semiHidden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9C6FE6"/>
    <w:pPr>
      <w:spacing w:before="240" w:after="60"/>
      <w:outlineLvl w:val="5"/>
    </w:pPr>
    <w:rPr>
      <w:b/>
      <w:bCs/>
      <w:sz w:val="22"/>
    </w:rPr>
  </w:style>
  <w:style w:type="paragraph" w:styleId="Heading7">
    <w:name w:val="heading 7"/>
    <w:basedOn w:val="Normal"/>
    <w:next w:val="Normal"/>
    <w:semiHidden/>
    <w:rsid w:val="009C6FE6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C6FE6"/>
    <w:rPr>
      <w:rFonts w:ascii="Tahoma" w:eastAsiaTheme="minorEastAsia" w:hAnsi="Tahoma" w:cs="Tahoma"/>
      <w:spacing w:val="4"/>
      <w:w w:val="103"/>
      <w:kern w:val="14"/>
      <w:sz w:val="16"/>
      <w:szCs w:val="16"/>
      <w:lang w:val="ru-RU" w:eastAsia="zh-CN"/>
    </w:rPr>
  </w:style>
  <w:style w:type="paragraph" w:customStyle="1" w:styleId="HMGR">
    <w:name w:val="_ H __M_GR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R">
    <w:name w:val="_ H _Ch_GR"/>
    <w:basedOn w:val="Normal"/>
    <w:next w:val="Normal"/>
    <w:qFormat/>
    <w:rsid w:val="00617A43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R">
    <w:name w:val="_ H_1_GR"/>
    <w:basedOn w:val="Normal"/>
    <w:next w:val="Normal"/>
    <w:qFormat/>
    <w:rsid w:val="00617A43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R">
    <w:name w:val="_ H_2/3_GR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b/>
      <w:szCs w:val="20"/>
      <w:lang w:eastAsia="ru-RU"/>
    </w:rPr>
  </w:style>
  <w:style w:type="paragraph" w:customStyle="1" w:styleId="H4GR">
    <w:name w:val="_ H_4_GR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rFonts w:eastAsia="Times New Roman" w:cs="Times New Roman"/>
      <w:i/>
      <w:szCs w:val="20"/>
      <w:lang w:eastAsia="ru-RU"/>
    </w:rPr>
  </w:style>
  <w:style w:type="paragraph" w:customStyle="1" w:styleId="H56GR">
    <w:name w:val="_ H_5/6_GR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szCs w:val="20"/>
      <w:lang w:eastAsia="ru-RU"/>
    </w:rPr>
  </w:style>
  <w:style w:type="paragraph" w:customStyle="1" w:styleId="SingleTxtGR">
    <w:name w:val="_ Single Txt_GR"/>
    <w:basedOn w:val="Normal"/>
    <w:qFormat/>
    <w:rsid w:val="00617A43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R">
    <w:name w:val="__S_L_GR"/>
    <w:basedOn w:val="Normal"/>
    <w:next w:val="Normal"/>
    <w:qFormat/>
    <w:rsid w:val="00617A43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R">
    <w:name w:val="__S_M_GR"/>
    <w:basedOn w:val="Normal"/>
    <w:next w:val="Normal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R">
    <w:name w:val="__S_S_GR"/>
    <w:basedOn w:val="Normal"/>
    <w:next w:val="Normal"/>
    <w:qFormat/>
    <w:rsid w:val="00617A43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R">
    <w:name w:val="__XLarge_GR"/>
    <w:basedOn w:val="Normal"/>
    <w:next w:val="Normal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R">
    <w:name w:val="_Bullet 1_GR"/>
    <w:basedOn w:val="Normal"/>
    <w:qFormat/>
    <w:rsid w:val="00617A43"/>
    <w:pPr>
      <w:numPr>
        <w:numId w:val="19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R">
    <w:name w:val="_Bullet 2_GR"/>
    <w:basedOn w:val="Normal"/>
    <w:qFormat/>
    <w:rsid w:val="00617A43"/>
    <w:pPr>
      <w:numPr>
        <w:numId w:val="20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R">
    <w:name w:val="_ParaNo._GR"/>
    <w:basedOn w:val="Normal"/>
    <w:next w:val="Normal"/>
    <w:qFormat/>
    <w:rsid w:val="00617A43"/>
    <w:pPr>
      <w:numPr>
        <w:numId w:val="21"/>
      </w:numPr>
      <w:tabs>
        <w:tab w:val="left" w:pos="567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TableNormal"/>
    <w:rsid w:val="00617A43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617A43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R"/>
    <w:basedOn w:val="Normal"/>
    <w:next w:val="Normal"/>
    <w:link w:val="HeaderChar"/>
    <w:qFormat/>
    <w:rsid w:val="00617A43"/>
    <w:pPr>
      <w:pBdr>
        <w:bottom w:val="single" w:sz="4" w:space="4" w:color="auto"/>
      </w:pBdr>
      <w:tabs>
        <w:tab w:val="right" w:pos="9639"/>
      </w:tabs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HeaderChar">
    <w:name w:val="Header Char"/>
    <w:aliases w:val="6_GR Char"/>
    <w:basedOn w:val="DefaultParagraphFont"/>
    <w:link w:val="Header"/>
    <w:rsid w:val="00617A43"/>
    <w:rPr>
      <w:b/>
      <w:sz w:val="18"/>
      <w:lang w:val="en-GB" w:eastAsia="ru-RU"/>
    </w:rPr>
  </w:style>
  <w:style w:type="character" w:styleId="PageNumber">
    <w:name w:val="page number"/>
    <w:aliases w:val="7_GR"/>
    <w:basedOn w:val="DefaultParagraphFont"/>
    <w:qFormat/>
    <w:rsid w:val="00617A43"/>
    <w:rPr>
      <w:rFonts w:ascii="Times New Roman" w:hAnsi="Times New Roman"/>
      <w:b/>
      <w:sz w:val="18"/>
    </w:rPr>
  </w:style>
  <w:style w:type="paragraph" w:styleId="Footer">
    <w:name w:val="footer"/>
    <w:aliases w:val="3_GR"/>
    <w:basedOn w:val="Normal"/>
    <w:link w:val="FooterChar"/>
    <w:qFormat/>
    <w:rsid w:val="00617A43"/>
    <w:pPr>
      <w:tabs>
        <w:tab w:val="right" w:pos="9639"/>
      </w:tabs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FooterChar">
    <w:name w:val="Footer Char"/>
    <w:aliases w:val="3_GR Char"/>
    <w:basedOn w:val="DefaultParagraphFont"/>
    <w:link w:val="Footer"/>
    <w:rsid w:val="00617A43"/>
    <w:rPr>
      <w:sz w:val="16"/>
      <w:lang w:val="en-GB" w:eastAsia="ru-RU"/>
    </w:rPr>
  </w:style>
  <w:style w:type="character" w:styleId="FootnoteReference">
    <w:name w:val="footnote reference"/>
    <w:aliases w:val="4_GR"/>
    <w:basedOn w:val="DefaultParagraphFont"/>
    <w:qFormat/>
    <w:rsid w:val="00617A43"/>
    <w:rPr>
      <w:rFonts w:ascii="Times New Roman" w:hAnsi="Times New Roman"/>
      <w:dstrike w:val="0"/>
      <w:sz w:val="18"/>
      <w:vertAlign w:val="superscript"/>
    </w:rPr>
  </w:style>
  <w:style w:type="character" w:styleId="EndnoteReference">
    <w:name w:val="endnote reference"/>
    <w:aliases w:val="1_GR"/>
    <w:basedOn w:val="FootnoteReference"/>
    <w:qFormat/>
    <w:rsid w:val="00617A43"/>
    <w:rPr>
      <w:rFonts w:ascii="Times New Roman" w:hAnsi="Times New Roman"/>
      <w:dstrike w:val="0"/>
      <w:sz w:val="18"/>
      <w:vertAlign w:val="superscript"/>
    </w:rPr>
  </w:style>
  <w:style w:type="table" w:styleId="TableGrid">
    <w:name w:val="Table Grid"/>
    <w:basedOn w:val="TableNormal"/>
    <w:uiPriority w:val="39"/>
    <w:rsid w:val="00617A43"/>
    <w:rPr>
      <w:rFonts w:asciiTheme="minorHAnsi" w:eastAsiaTheme="minorHAnsi" w:hAnsiTheme="minorHAnsi" w:cstheme="minorBidi"/>
      <w:sz w:val="22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aliases w:val="5_GR"/>
    <w:basedOn w:val="Normal"/>
    <w:link w:val="FootnoteTextChar"/>
    <w:qFormat/>
    <w:rsid w:val="00617A43"/>
    <w:pPr>
      <w:tabs>
        <w:tab w:val="right" w:pos="1021"/>
      </w:tabs>
      <w:spacing w:line="220" w:lineRule="exact"/>
      <w:ind w:left="1134" w:right="1134" w:hanging="1134"/>
    </w:pPr>
    <w:rPr>
      <w:rFonts w:eastAsia="Times New Roman" w:cs="Times New Roman"/>
      <w:sz w:val="18"/>
      <w:szCs w:val="20"/>
      <w:lang w:eastAsia="ru-RU"/>
    </w:rPr>
  </w:style>
  <w:style w:type="character" w:customStyle="1" w:styleId="FootnoteTextChar">
    <w:name w:val="Footnote Text Char"/>
    <w:aliases w:val="5_GR Char"/>
    <w:basedOn w:val="DefaultParagraphFont"/>
    <w:link w:val="FootnoteText"/>
    <w:rsid w:val="00617A43"/>
    <w:rPr>
      <w:sz w:val="18"/>
      <w:lang w:val="ru-RU" w:eastAsia="ru-RU"/>
    </w:rPr>
  </w:style>
  <w:style w:type="paragraph" w:styleId="EndnoteText">
    <w:name w:val="endnote text"/>
    <w:aliases w:val="2_GR"/>
    <w:basedOn w:val="FootnoteText"/>
    <w:link w:val="EndnoteTextChar"/>
    <w:qFormat/>
    <w:rsid w:val="00617A43"/>
  </w:style>
  <w:style w:type="character" w:customStyle="1" w:styleId="EndnoteTextChar">
    <w:name w:val="Endnote Text Char"/>
    <w:aliases w:val="2_GR Char"/>
    <w:basedOn w:val="DefaultParagraphFont"/>
    <w:link w:val="EndnoteText"/>
    <w:rsid w:val="00617A43"/>
    <w:rPr>
      <w:sz w:val="18"/>
      <w:lang w:val="ru-RU" w:eastAsia="ru-RU"/>
    </w:rPr>
  </w:style>
  <w:style w:type="character" w:customStyle="1" w:styleId="Heading1Char">
    <w:name w:val="Heading 1 Char"/>
    <w:aliases w:val="Table_GR Char"/>
    <w:basedOn w:val="DefaultParagraphFont"/>
    <w:link w:val="Heading1"/>
    <w:rsid w:val="00617A43"/>
    <w:rPr>
      <w:rFonts w:cs="Arial"/>
      <w:b/>
      <w:bCs/>
      <w:szCs w:val="32"/>
      <w:lang w:val="ru-RU" w:eastAsia="ru-RU"/>
    </w:rPr>
  </w:style>
  <w:style w:type="character" w:styleId="Hyperlink">
    <w:name w:val="Hyperlink"/>
    <w:basedOn w:val="DefaultParagraphFont"/>
    <w:uiPriority w:val="99"/>
    <w:unhideWhenUsed/>
    <w:rsid w:val="00617A43"/>
    <w:rPr>
      <w:color w:val="0000FF" w:themeColor="hyperlink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617A43"/>
    <w:rPr>
      <w:color w:val="800080" w:themeColor="followedHyperlink"/>
      <w:u w:val="none"/>
    </w:rPr>
  </w:style>
  <w:style w:type="paragraph" w:styleId="BlockText">
    <w:name w:val="Block Text"/>
    <w:basedOn w:val="Normal"/>
    <w:semiHidden/>
    <w:unhideWhenUsed/>
    <w:rsid w:val="00FC3C39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/>
      <w:i/>
      <w:iCs/>
      <w:color w:val="4F81BD" w:themeColor="accent1"/>
    </w:rPr>
  </w:style>
  <w:style w:type="paragraph" w:customStyle="1" w:styleId="HChG">
    <w:name w:val="_ H _Ch_G"/>
    <w:basedOn w:val="Normal"/>
    <w:next w:val="Normal"/>
    <w:link w:val="HChGChar"/>
    <w:rsid w:val="00FC3C39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rFonts w:eastAsia="Times New Roman" w:cs="Times New Roman"/>
      <w:b/>
      <w:sz w:val="28"/>
      <w:szCs w:val="20"/>
      <w:lang w:val="en-GB"/>
    </w:rPr>
  </w:style>
  <w:style w:type="paragraph" w:customStyle="1" w:styleId="SingleTxtG">
    <w:name w:val="_ Single Txt_G"/>
    <w:basedOn w:val="Normal"/>
    <w:link w:val="SingleTxtGChar"/>
    <w:qFormat/>
    <w:rsid w:val="00FC3C39"/>
    <w:pPr>
      <w:spacing w:after="120"/>
      <w:ind w:left="1134" w:right="1134"/>
      <w:jc w:val="both"/>
    </w:pPr>
    <w:rPr>
      <w:rFonts w:eastAsia="Times New Roman" w:cs="Times New Roman"/>
      <w:szCs w:val="20"/>
      <w:lang w:val="en-GB"/>
    </w:rPr>
  </w:style>
  <w:style w:type="paragraph" w:customStyle="1" w:styleId="H1G">
    <w:name w:val="_ H_1_G"/>
    <w:basedOn w:val="Normal"/>
    <w:next w:val="Normal"/>
    <w:link w:val="H1GChar"/>
    <w:rsid w:val="00FC3C39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rFonts w:eastAsia="Times New Roman" w:cs="Times New Roman"/>
      <w:b/>
      <w:sz w:val="24"/>
      <w:szCs w:val="20"/>
      <w:lang w:val="en-GB"/>
    </w:rPr>
  </w:style>
  <w:style w:type="character" w:customStyle="1" w:styleId="H1GChar">
    <w:name w:val="_ H_1_G Char"/>
    <w:link w:val="H1G"/>
    <w:rsid w:val="00FC3C39"/>
    <w:rPr>
      <w:b/>
      <w:sz w:val="24"/>
      <w:lang w:val="en-GB" w:eastAsia="en-US"/>
    </w:rPr>
  </w:style>
  <w:style w:type="character" w:customStyle="1" w:styleId="HChGChar">
    <w:name w:val="_ H _Ch_G Char"/>
    <w:link w:val="HChG"/>
    <w:rsid w:val="00FC3C39"/>
    <w:rPr>
      <w:b/>
      <w:sz w:val="28"/>
      <w:lang w:val="en-GB" w:eastAsia="en-US"/>
    </w:rPr>
  </w:style>
  <w:style w:type="character" w:customStyle="1" w:styleId="SingleTxtGChar">
    <w:name w:val="_ Single Txt_G Char"/>
    <w:link w:val="SingleTxtG"/>
    <w:rsid w:val="00FC3C39"/>
    <w:rPr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wmf"/><Relationship Id="rId12" Type="http://schemas.openxmlformats.org/officeDocument/2006/relationships/oleObject" Target="embeddings/oleObject1.bin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Relationship Id="rId22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gif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1564</Words>
  <Characters>8917</Characters>
  <Application>Microsoft Office Word</Application>
  <DocSecurity>4</DocSecurity>
  <Lines>74</Lines>
  <Paragraphs>20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ECE/TRANS/WP.15/AC.1/2018/21</vt:lpstr>
      <vt:lpstr>ECE/TRANS/WP.15/AC.1/2018/21</vt:lpstr>
      <vt:lpstr>A/</vt:lpstr>
    </vt:vector>
  </TitlesOfParts>
  <Company>DCM</Company>
  <LinksUpToDate>false</LinksUpToDate>
  <CharactersWithSpaces>10461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ECE/TRANS/WP.15/AC.1/2018/21</dc:title>
  <dc:subject/>
  <dc:creator>Marina KOROTKOVA</dc:creator>
  <cp:keywords/>
  <cp:lastModifiedBy>Christine Barrio-Champeau</cp:lastModifiedBy>
  <cp:revision>2</cp:revision>
  <cp:lastPrinted>2018-07-09T07:15:00Z</cp:lastPrinted>
  <dcterms:created xsi:type="dcterms:W3CDTF">2018-08-06T09:45:00Z</dcterms:created>
  <dcterms:modified xsi:type="dcterms:W3CDTF">2018-08-06T09:45:00Z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