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C97039">
        <w:trPr>
          <w:trHeight w:hRule="exact" w:val="851"/>
        </w:trPr>
        <w:tc>
          <w:tcPr>
            <w:tcW w:w="1276" w:type="dxa"/>
            <w:tcBorders>
              <w:bottom w:val="single" w:sz="4" w:space="0" w:color="auto"/>
            </w:tcBorders>
          </w:tcPr>
          <w:p w:rsidR="00F35BAF" w:rsidRPr="00DB58B5" w:rsidRDefault="00F35BAF" w:rsidP="00D760C2">
            <w:bookmarkStart w:id="0" w:name="_GoBack"/>
            <w:bookmarkEnd w:id="0"/>
          </w:p>
        </w:tc>
        <w:tc>
          <w:tcPr>
            <w:tcW w:w="2268" w:type="dxa"/>
            <w:tcBorders>
              <w:bottom w:val="single" w:sz="4" w:space="0" w:color="auto"/>
            </w:tcBorders>
            <w:vAlign w:val="bottom"/>
          </w:tcPr>
          <w:p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D760C2" w:rsidP="00D760C2">
            <w:pPr>
              <w:jc w:val="right"/>
            </w:pPr>
            <w:r w:rsidRPr="00D760C2">
              <w:rPr>
                <w:sz w:val="40"/>
              </w:rPr>
              <w:t>ECE</w:t>
            </w:r>
            <w:r>
              <w:t>/TRANS/WP.15/AC.1/2018/21</w:t>
            </w:r>
          </w:p>
        </w:tc>
      </w:tr>
      <w:tr w:rsidR="00F35BAF" w:rsidRPr="00DB58B5" w:rsidTr="00C97039">
        <w:trPr>
          <w:trHeight w:hRule="exact" w:val="2835"/>
        </w:trPr>
        <w:tc>
          <w:tcPr>
            <w:tcW w:w="1276" w:type="dxa"/>
            <w:tcBorders>
              <w:top w:val="single" w:sz="4" w:space="0" w:color="auto"/>
              <w:bottom w:val="single" w:sz="12" w:space="0" w:color="auto"/>
            </w:tcBorders>
          </w:tcPr>
          <w:p w:rsidR="00F35BAF" w:rsidRPr="00DB58B5" w:rsidRDefault="00F35BAF" w:rsidP="00C97039">
            <w:pPr>
              <w:spacing w:before="120"/>
              <w:jc w:val="center"/>
            </w:pPr>
            <w:r>
              <w:rPr>
                <w:noProof/>
                <w:lang w:eastAsia="fr-CH"/>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D760C2" w:rsidP="00C97039">
            <w:pPr>
              <w:spacing w:before="240"/>
            </w:pPr>
            <w:r>
              <w:t>Distr. générale</w:t>
            </w:r>
          </w:p>
          <w:p w:rsidR="00D760C2" w:rsidRDefault="00D760C2" w:rsidP="00D760C2">
            <w:pPr>
              <w:spacing w:line="240" w:lineRule="exact"/>
            </w:pPr>
            <w:r>
              <w:t>26 juin 2018</w:t>
            </w:r>
          </w:p>
          <w:p w:rsidR="00D760C2" w:rsidRDefault="00D760C2" w:rsidP="00D760C2">
            <w:pPr>
              <w:spacing w:line="240" w:lineRule="exact"/>
            </w:pPr>
            <w:r>
              <w:t>Français</w:t>
            </w:r>
          </w:p>
          <w:p w:rsidR="00D760C2" w:rsidRPr="00DB58B5" w:rsidRDefault="00D760C2" w:rsidP="00D760C2">
            <w:pPr>
              <w:spacing w:line="240" w:lineRule="exact"/>
            </w:pPr>
            <w:r>
              <w:t>Original : anglais</w:t>
            </w:r>
          </w:p>
        </w:tc>
      </w:tr>
    </w:tbl>
    <w:p w:rsidR="007F20FA" w:rsidRPr="000312C0" w:rsidRDefault="007F20FA" w:rsidP="007F20FA">
      <w:pPr>
        <w:spacing w:before="120"/>
        <w:rPr>
          <w:b/>
          <w:sz w:val="28"/>
          <w:szCs w:val="28"/>
        </w:rPr>
      </w:pPr>
      <w:r w:rsidRPr="000312C0">
        <w:rPr>
          <w:b/>
          <w:sz w:val="28"/>
          <w:szCs w:val="28"/>
        </w:rPr>
        <w:t>Commission économique pour l’Europe</w:t>
      </w:r>
    </w:p>
    <w:p w:rsidR="007F20FA" w:rsidRDefault="007F20FA" w:rsidP="007F20FA">
      <w:pPr>
        <w:spacing w:before="120"/>
        <w:rPr>
          <w:sz w:val="28"/>
          <w:szCs w:val="28"/>
        </w:rPr>
      </w:pPr>
      <w:r w:rsidRPr="00685843">
        <w:rPr>
          <w:sz w:val="28"/>
          <w:szCs w:val="28"/>
        </w:rPr>
        <w:t>Comité des transports intérieurs</w:t>
      </w:r>
    </w:p>
    <w:p w:rsidR="00EE4B02" w:rsidRPr="009E01B8" w:rsidRDefault="00EE4B02" w:rsidP="00AF0CB5">
      <w:pPr>
        <w:spacing w:before="120"/>
        <w:rPr>
          <w:b/>
          <w:sz w:val="24"/>
          <w:szCs w:val="24"/>
        </w:rPr>
      </w:pPr>
      <w:r w:rsidRPr="009E01B8">
        <w:rPr>
          <w:b/>
          <w:sz w:val="24"/>
          <w:szCs w:val="24"/>
        </w:rPr>
        <w:t>Groupe de travail des transports de marchandises dangereuses</w:t>
      </w:r>
    </w:p>
    <w:p w:rsidR="00EE4B02" w:rsidRPr="00926E87" w:rsidRDefault="00EE4B02" w:rsidP="00EE4B02">
      <w:pPr>
        <w:spacing w:before="120"/>
        <w:rPr>
          <w:b/>
        </w:rPr>
      </w:pPr>
      <w:r w:rsidRPr="00926E87">
        <w:rPr>
          <w:b/>
        </w:rPr>
        <w:t>Réunion commune de la Commission d’experts du RID</w:t>
      </w:r>
      <w:r>
        <w:rPr>
          <w:b/>
        </w:rPr>
        <w:t xml:space="preserve"> </w:t>
      </w:r>
      <w:r w:rsidRPr="00926E87">
        <w:rPr>
          <w:b/>
        </w:rPr>
        <w:t>et</w:t>
      </w:r>
      <w:r>
        <w:rPr>
          <w:b/>
        </w:rPr>
        <w:br/>
      </w:r>
      <w:r w:rsidRPr="00926E87">
        <w:rPr>
          <w:b/>
        </w:rPr>
        <w:t>du Groupe de travail</w:t>
      </w:r>
      <w:r>
        <w:rPr>
          <w:b/>
        </w:rPr>
        <w:t xml:space="preserve"> </w:t>
      </w:r>
      <w:r w:rsidRPr="00926E87">
        <w:rPr>
          <w:b/>
        </w:rPr>
        <w:t>des transports de marchandises dangereuses</w:t>
      </w:r>
    </w:p>
    <w:p w:rsidR="00EE4B02" w:rsidRPr="00EE4B02" w:rsidRDefault="00EE4B02" w:rsidP="00EE4B02">
      <w:pPr>
        <w:rPr>
          <w:lang w:val="fr-FR"/>
        </w:rPr>
      </w:pPr>
      <w:r>
        <w:t xml:space="preserve">Genève, </w:t>
      </w:r>
      <w:r w:rsidRPr="00EE4B02">
        <w:rPr>
          <w:lang w:val="fr-FR"/>
        </w:rPr>
        <w:t>17</w:t>
      </w:r>
      <w:r>
        <w:rPr>
          <w:lang w:val="fr-FR"/>
        </w:rPr>
        <w:t>-</w:t>
      </w:r>
      <w:r w:rsidRPr="00EE4B02">
        <w:rPr>
          <w:lang w:val="fr-FR"/>
        </w:rPr>
        <w:t>21</w:t>
      </w:r>
      <w:r>
        <w:rPr>
          <w:lang w:val="fr-FR"/>
        </w:rPr>
        <w:t> </w:t>
      </w:r>
      <w:r w:rsidRPr="00EE4B02">
        <w:rPr>
          <w:lang w:val="fr-FR"/>
        </w:rPr>
        <w:t>septembre 2018</w:t>
      </w:r>
    </w:p>
    <w:p w:rsidR="00EE4B02" w:rsidRPr="00EE4B02" w:rsidRDefault="00EE4B02" w:rsidP="00EE4B02">
      <w:pPr>
        <w:rPr>
          <w:lang w:val="fr-FR"/>
        </w:rPr>
      </w:pPr>
      <w:r w:rsidRPr="00EE4B02">
        <w:rPr>
          <w:lang w:val="fr-FR"/>
        </w:rPr>
        <w:t>Point 5 b) de l’ordre du jour provisoire</w:t>
      </w:r>
    </w:p>
    <w:p w:rsidR="00EE4B02" w:rsidRPr="00EE4B02" w:rsidRDefault="00EE4B02" w:rsidP="00EE4B02">
      <w:pPr>
        <w:rPr>
          <w:b/>
          <w:lang w:val="fr-FR"/>
        </w:rPr>
      </w:pPr>
      <w:r w:rsidRPr="00EE4B02">
        <w:rPr>
          <w:b/>
          <w:lang w:val="fr-FR"/>
        </w:rPr>
        <w:t>Propositions diverses d’amendements au RID/ADR/ADN</w:t>
      </w:r>
      <w:r>
        <w:rPr>
          <w:b/>
          <w:lang w:val="fr-FR"/>
        </w:rPr>
        <w:t> </w:t>
      </w:r>
      <w:r w:rsidRPr="00EE4B02">
        <w:rPr>
          <w:b/>
          <w:lang w:val="fr-FR"/>
        </w:rPr>
        <w:t>:</w:t>
      </w:r>
    </w:p>
    <w:p w:rsidR="00EE4B02" w:rsidRPr="00EE4B02" w:rsidRDefault="00EE4B02" w:rsidP="00EE4B02">
      <w:pPr>
        <w:rPr>
          <w:b/>
          <w:bCs/>
          <w:lang w:val="fr-FR"/>
        </w:rPr>
      </w:pPr>
      <w:r w:rsidRPr="00EE4B02">
        <w:rPr>
          <w:b/>
          <w:lang w:val="fr-FR"/>
        </w:rPr>
        <w:t>nouvelles propositions</w:t>
      </w:r>
    </w:p>
    <w:p w:rsidR="00EE4B02" w:rsidRPr="00EE4B02" w:rsidRDefault="00EE4B02" w:rsidP="00EE4B02">
      <w:pPr>
        <w:pStyle w:val="HChG"/>
        <w:rPr>
          <w:lang w:val="fr-FR"/>
        </w:rPr>
      </w:pPr>
      <w:r w:rsidRPr="00EE4B02">
        <w:rPr>
          <w:lang w:val="fr-FR"/>
        </w:rPr>
        <w:tab/>
      </w:r>
      <w:r w:rsidRPr="00EE4B02">
        <w:rPr>
          <w:lang w:val="fr-FR"/>
        </w:rPr>
        <w:tab/>
        <w:t>Emballage de présentation de quantités limitées</w:t>
      </w:r>
    </w:p>
    <w:p w:rsidR="00F9573C" w:rsidRDefault="00EE4B02" w:rsidP="00EE4B02">
      <w:pPr>
        <w:pStyle w:val="H1G"/>
        <w:rPr>
          <w:b w:val="0"/>
          <w:sz w:val="20"/>
        </w:rPr>
      </w:pPr>
      <w:r w:rsidRPr="00EE4B02">
        <w:rPr>
          <w:lang w:val="fr-FR"/>
        </w:rPr>
        <w:tab/>
      </w:r>
      <w:r w:rsidRPr="00EE4B02">
        <w:rPr>
          <w:lang w:val="fr-FR"/>
        </w:rPr>
        <w:tab/>
        <w:t>Communication du Council on Safe Transportation of Hazardous Articles (COSTHA)</w:t>
      </w:r>
      <w:r w:rsidRPr="00EE4B02">
        <w:rPr>
          <w:rStyle w:val="FootnoteReference"/>
          <w:b w:val="0"/>
          <w:sz w:val="20"/>
          <w:vertAlign w:val="baseline"/>
        </w:rPr>
        <w:footnoteReference w:customMarkFollows="1" w:id="2"/>
        <w:t>*</w:t>
      </w:r>
      <w:r w:rsidRPr="00EE4B02">
        <w:rPr>
          <w:b w:val="0"/>
          <w:position w:val="6"/>
          <w:sz w:val="20"/>
        </w:rPr>
        <w:t>,</w:t>
      </w:r>
      <w:r w:rsidRPr="00EE4B02">
        <w:rPr>
          <w:b w:val="0"/>
          <w:sz w:val="20"/>
        </w:rPr>
        <w:t xml:space="preserve"> </w:t>
      </w:r>
      <w:r w:rsidRPr="00EE4B02">
        <w:rPr>
          <w:rStyle w:val="FootnoteReference"/>
          <w:b w:val="0"/>
          <w:sz w:val="20"/>
          <w:vertAlign w:val="baseline"/>
        </w:rPr>
        <w:footnoteReference w:customMarkFollows="1" w:id="3"/>
        <w:t>**</w:t>
      </w:r>
    </w:p>
    <w:tbl>
      <w:tblPr>
        <w:tblStyle w:val="TableGrid"/>
        <w:tblW w:w="0" w:type="auto"/>
        <w:jc w:val="center"/>
        <w:tblBorders>
          <w:insideH w:val="none" w:sz="0" w:space="0" w:color="auto"/>
        </w:tblBorders>
        <w:tblLook w:val="05E0" w:firstRow="1" w:lastRow="1" w:firstColumn="1" w:lastColumn="1" w:noHBand="0" w:noVBand="1"/>
      </w:tblPr>
      <w:tblGrid>
        <w:gridCol w:w="9637"/>
      </w:tblGrid>
      <w:tr w:rsidR="00EE4B02" w:rsidTr="00216E0F">
        <w:trPr>
          <w:jc w:val="center"/>
        </w:trPr>
        <w:tc>
          <w:tcPr>
            <w:tcW w:w="9637" w:type="dxa"/>
            <w:shd w:val="clear" w:color="auto" w:fill="auto"/>
          </w:tcPr>
          <w:p w:rsidR="00EE4B02" w:rsidRPr="000001E7" w:rsidRDefault="00EE4B02" w:rsidP="00216E0F">
            <w:pPr>
              <w:spacing w:before="240" w:after="120"/>
              <w:ind w:left="255"/>
              <w:rPr>
                <w:i/>
                <w:sz w:val="24"/>
              </w:rPr>
            </w:pPr>
            <w:r w:rsidRPr="000001E7">
              <w:rPr>
                <w:i/>
                <w:sz w:val="24"/>
              </w:rPr>
              <w:t>Résumé</w:t>
            </w:r>
          </w:p>
        </w:tc>
      </w:tr>
      <w:tr w:rsidR="00EE4B02" w:rsidTr="00216E0F">
        <w:trPr>
          <w:jc w:val="center"/>
        </w:trPr>
        <w:tc>
          <w:tcPr>
            <w:tcW w:w="9637" w:type="dxa"/>
            <w:shd w:val="clear" w:color="auto" w:fill="auto"/>
          </w:tcPr>
          <w:p w:rsidR="00EE4B02" w:rsidRDefault="00EE4B02" w:rsidP="00EE4B02">
            <w:pPr>
              <w:pStyle w:val="SingleTxtG"/>
              <w:ind w:left="3119" w:hanging="1985"/>
            </w:pPr>
            <w:r w:rsidRPr="0022415B">
              <w:rPr>
                <w:b/>
              </w:rPr>
              <w:t>Résumé analytique</w:t>
            </w:r>
            <w:r w:rsidRPr="00A07203">
              <w:t xml:space="preserve"> : </w:t>
            </w:r>
            <w:r w:rsidRPr="00A07203">
              <w:tab/>
            </w:r>
            <w:r w:rsidRPr="0022415B">
              <w:t>La présente proposition</w:t>
            </w:r>
            <w:r>
              <w:t xml:space="preserve"> vise à autoriser</w:t>
            </w:r>
            <w:r w:rsidRPr="0022415B">
              <w:t xml:space="preserve"> l’utilisation d’emballages de présentation d’une masse brute maximale ne dépassant pas 550</w:t>
            </w:r>
            <w:r>
              <w:t> kg</w:t>
            </w:r>
            <w:r w:rsidRPr="0022415B">
              <w:t xml:space="preserve"> dans l’Accord européen relatif au transport international des marchandises dangereuses par route (ADR), </w:t>
            </w:r>
            <w:r>
              <w:t xml:space="preserve">comme </w:t>
            </w:r>
            <w:r w:rsidRPr="0022415B">
              <w:t xml:space="preserve">elle l’est </w:t>
            </w:r>
            <w:r>
              <w:t xml:space="preserve">déjà </w:t>
            </w:r>
            <w:r w:rsidRPr="0022415B">
              <w:t>dans le Règlement des États-Unis d’Amérique concernant les matières dangereuses (disposition 49 du Code de réglementation fédérale). La réduction de la quantité de matériau d’emballage utilisée serait l’un des principaux avantages d’une telle mesure.</w:t>
            </w:r>
          </w:p>
        </w:tc>
      </w:tr>
      <w:tr w:rsidR="00EE4B02" w:rsidTr="00216E0F">
        <w:trPr>
          <w:jc w:val="center"/>
        </w:trPr>
        <w:tc>
          <w:tcPr>
            <w:tcW w:w="9637" w:type="dxa"/>
            <w:shd w:val="clear" w:color="auto" w:fill="auto"/>
          </w:tcPr>
          <w:p w:rsidR="00EE4B02" w:rsidRDefault="00EE4B02" w:rsidP="00EE4B02">
            <w:pPr>
              <w:pStyle w:val="SingleTxtG"/>
              <w:ind w:left="3119" w:hanging="1985"/>
            </w:pPr>
            <w:r w:rsidRPr="0022415B">
              <w:rPr>
                <w:b/>
              </w:rPr>
              <w:t>Mesure à prendre</w:t>
            </w:r>
            <w:r w:rsidRPr="00A07203">
              <w:t xml:space="preserve"> : </w:t>
            </w:r>
            <w:r w:rsidRPr="00A07203">
              <w:tab/>
            </w:r>
            <w:r w:rsidRPr="0022415B">
              <w:rPr>
                <w:rFonts w:eastAsia="Arial"/>
                <w:szCs w:val="22"/>
              </w:rPr>
              <w:t>Modifier le texte du chapitre</w:t>
            </w:r>
            <w:r w:rsidRPr="0022415B">
              <w:t xml:space="preserve"> 3.4 de l’ADR</w:t>
            </w:r>
            <w:r w:rsidRPr="0022415B">
              <w:rPr>
                <w:rFonts w:eastAsia="Arial"/>
                <w:szCs w:val="22"/>
              </w:rPr>
              <w:t xml:space="preserve"> afin d’autoriser </w:t>
            </w:r>
            <w:r w:rsidRPr="0022415B">
              <w:t>l’utilisation d’emballages de présentation de quantités limitées destinés au commerce de détail d’une masse brute maximale ne dépassant pas 550</w:t>
            </w:r>
            <w:r>
              <w:t> </w:t>
            </w:r>
            <w:r w:rsidRPr="0022415B">
              <w:t>kg.</w:t>
            </w:r>
          </w:p>
        </w:tc>
      </w:tr>
      <w:tr w:rsidR="00EE4B02" w:rsidTr="00216E0F">
        <w:trPr>
          <w:jc w:val="center"/>
        </w:trPr>
        <w:tc>
          <w:tcPr>
            <w:tcW w:w="9637" w:type="dxa"/>
            <w:shd w:val="clear" w:color="auto" w:fill="auto"/>
          </w:tcPr>
          <w:p w:rsidR="00EE4B02" w:rsidRDefault="00EE4B02" w:rsidP="00024B02">
            <w:pPr>
              <w:pStyle w:val="SingleTxtG"/>
              <w:ind w:left="3119" w:hanging="1985"/>
            </w:pPr>
            <w:r w:rsidRPr="0022415B">
              <w:rPr>
                <w:b/>
              </w:rPr>
              <w:t>Documents</w:t>
            </w:r>
            <w:r w:rsidRPr="00A07203">
              <w:t> :</w:t>
            </w:r>
            <w:r w:rsidRPr="00A07203">
              <w:tab/>
            </w:r>
            <w:r w:rsidRPr="0022415B">
              <w:rPr>
                <w:szCs w:val="22"/>
              </w:rPr>
              <w:t xml:space="preserve">INF.46 </w:t>
            </w:r>
            <w:r>
              <w:rPr>
                <w:szCs w:val="22"/>
              </w:rPr>
              <w:t>−</w:t>
            </w:r>
            <w:r w:rsidRPr="0022415B">
              <w:rPr>
                <w:szCs w:val="22"/>
              </w:rPr>
              <w:t xml:space="preserve"> Emballage de présentation de quantités limitées </w:t>
            </w:r>
            <w:r w:rsidRPr="0022415B">
              <w:rPr>
                <w:spacing w:val="-7"/>
                <w:szCs w:val="22"/>
              </w:rPr>
              <w:t xml:space="preserve">(COSTHA) </w:t>
            </w:r>
            <w:r w:rsidRPr="0022415B">
              <w:rPr>
                <w:szCs w:val="22"/>
              </w:rPr>
              <w:t>(</w:t>
            </w:r>
            <w:r w:rsidRPr="0022415B">
              <w:rPr>
                <w:spacing w:val="-7"/>
                <w:szCs w:val="22"/>
              </w:rPr>
              <w:t xml:space="preserve">session de printemps </w:t>
            </w:r>
            <w:r w:rsidRPr="00EE4B02">
              <w:t>2018</w:t>
            </w:r>
            <w:r w:rsidR="00294061">
              <w:t xml:space="preserve"> </w:t>
            </w:r>
            <w:r w:rsidR="00024B02">
              <w:t>−</w:t>
            </w:r>
            <w:r w:rsidR="00294061">
              <w:t xml:space="preserve"> </w:t>
            </w:r>
            <w:r w:rsidRPr="0022415B">
              <w:rPr>
                <w:spacing w:val="-7"/>
                <w:szCs w:val="22"/>
              </w:rPr>
              <w:t>Réunion commune RID/ADR/ADN).</w:t>
            </w:r>
          </w:p>
        </w:tc>
      </w:tr>
      <w:tr w:rsidR="00EE4B02" w:rsidTr="00216E0F">
        <w:trPr>
          <w:jc w:val="center"/>
        </w:trPr>
        <w:tc>
          <w:tcPr>
            <w:tcW w:w="9637" w:type="dxa"/>
            <w:shd w:val="clear" w:color="auto" w:fill="auto"/>
          </w:tcPr>
          <w:p w:rsidR="00EE4B02" w:rsidRDefault="00EE4B02" w:rsidP="00216E0F"/>
        </w:tc>
      </w:tr>
    </w:tbl>
    <w:p w:rsidR="00EE4B02" w:rsidRPr="00EE4B02" w:rsidRDefault="00EE4B02" w:rsidP="00B91ED7">
      <w:pPr>
        <w:pStyle w:val="HChG"/>
        <w:rPr>
          <w:lang w:val="fr-FR"/>
        </w:rPr>
      </w:pPr>
      <w:r w:rsidRPr="00EE4B02">
        <w:rPr>
          <w:lang w:val="fr-FR"/>
        </w:rPr>
        <w:lastRenderedPageBreak/>
        <w:tab/>
      </w:r>
      <w:r w:rsidRPr="00EE4B02">
        <w:rPr>
          <w:lang w:val="fr-FR"/>
        </w:rPr>
        <w:tab/>
        <w:t>Introduction</w:t>
      </w:r>
    </w:p>
    <w:p w:rsidR="00EE4B02" w:rsidRPr="00EE4B02" w:rsidRDefault="00EE4B02" w:rsidP="00B91ED7">
      <w:pPr>
        <w:pStyle w:val="SingleTxtG"/>
        <w:rPr>
          <w:lang w:val="fr-FR"/>
        </w:rPr>
      </w:pPr>
      <w:r w:rsidRPr="00EE4B02">
        <w:rPr>
          <w:lang w:val="fr-FR"/>
        </w:rPr>
        <w:t>1.</w:t>
      </w:r>
      <w:r w:rsidRPr="00EE4B02">
        <w:rPr>
          <w:lang w:val="fr-FR"/>
        </w:rPr>
        <w:tab/>
        <w:t>Beaucoup de produits de consommation</w:t>
      </w:r>
      <w:r w:rsidR="00B91ED7">
        <w:rPr>
          <w:lang w:val="fr-FR"/>
        </w:rPr>
        <w:t xml:space="preserve"> </w:t>
      </w:r>
      <w:r w:rsidRPr="00EE4B02">
        <w:rPr>
          <w:lang w:val="fr-FR"/>
        </w:rPr>
        <w:t>satisfont aux</w:t>
      </w:r>
      <w:r w:rsidR="00B91ED7">
        <w:rPr>
          <w:lang w:val="fr-FR"/>
        </w:rPr>
        <w:t xml:space="preserve"> </w:t>
      </w:r>
      <w:r w:rsidRPr="00EE4B02">
        <w:rPr>
          <w:lang w:val="fr-FR"/>
        </w:rPr>
        <w:t>critères de classement</w:t>
      </w:r>
      <w:r w:rsidR="00B91ED7">
        <w:rPr>
          <w:lang w:val="fr-FR"/>
        </w:rPr>
        <w:t xml:space="preserve"> </w:t>
      </w:r>
      <w:r w:rsidRPr="00EE4B02">
        <w:rPr>
          <w:lang w:val="fr-FR"/>
        </w:rPr>
        <w:t xml:space="preserve">de l’une des </w:t>
      </w:r>
      <w:r w:rsidRPr="00B91ED7">
        <w:t>neuf</w:t>
      </w:r>
      <w:r w:rsidRPr="00EE4B02">
        <w:rPr>
          <w:lang w:val="fr-FR"/>
        </w:rPr>
        <w:t xml:space="preserve"> classes de marchandises dangereuses. Compte tenu de la quantité limitée de matériau placée à l’intérieur des emballages destinés à la vente individuelle,</w:t>
      </w:r>
      <w:r w:rsidR="00B91ED7">
        <w:rPr>
          <w:lang w:val="fr-FR"/>
        </w:rPr>
        <w:t xml:space="preserve"> </w:t>
      </w:r>
      <w:r w:rsidRPr="00EE4B02">
        <w:rPr>
          <w:lang w:val="fr-FR"/>
        </w:rPr>
        <w:t>ils remplissent les conditions requises pour être transportés par la route en quantité limitée s’ils sont placés dans un emballage extérieur dont la masse brute maximale ne dépasse pas 30</w:t>
      </w:r>
      <w:r w:rsidR="00B91ED7">
        <w:rPr>
          <w:lang w:val="fr-FR"/>
        </w:rPr>
        <w:t> </w:t>
      </w:r>
      <w:r w:rsidRPr="00EE4B02">
        <w:rPr>
          <w:lang w:val="fr-FR"/>
        </w:rPr>
        <w:t>kg (sect</w:t>
      </w:r>
      <w:r w:rsidR="00B91ED7">
        <w:rPr>
          <w:lang w:val="fr-FR"/>
        </w:rPr>
        <w:t>. 3.4.2 de l’ADR).</w:t>
      </w:r>
    </w:p>
    <w:p w:rsidR="00EE4B02" w:rsidRPr="00EE4B02" w:rsidRDefault="00EE4B02" w:rsidP="00EE4B02">
      <w:pPr>
        <w:pStyle w:val="SingleTxtG"/>
        <w:rPr>
          <w:lang w:val="fr-FR"/>
        </w:rPr>
      </w:pPr>
      <w:r w:rsidRPr="00EE4B02">
        <w:rPr>
          <w:lang w:val="fr-FR"/>
        </w:rPr>
        <w:t>2.</w:t>
      </w:r>
      <w:r w:rsidRPr="00EE4B02">
        <w:rPr>
          <w:lang w:val="fr-FR"/>
        </w:rPr>
        <w:tab/>
        <w:t>Les prescriptions d’emballage</w:t>
      </w:r>
      <w:r w:rsidR="00B91ED7">
        <w:rPr>
          <w:lang w:val="fr-FR"/>
        </w:rPr>
        <w:t xml:space="preserve"> </w:t>
      </w:r>
      <w:r w:rsidRPr="00EE4B02">
        <w:rPr>
          <w:lang w:val="fr-FR"/>
        </w:rPr>
        <w:t>à la section 3.4.3 de l’ADR autorisent l’utilisation d’un emballage intérieur contenu dans un emballage extérieur robuste. Des exceptions sont prévues pour les emballages remplissant les conditions requises tels que les bacs à housse extensible ne dépassant pas 20</w:t>
      </w:r>
      <w:r w:rsidR="00B91ED7">
        <w:rPr>
          <w:lang w:val="fr-FR"/>
        </w:rPr>
        <w:t> </w:t>
      </w:r>
      <w:r w:rsidRPr="00EE4B02">
        <w:rPr>
          <w:lang w:val="fr-FR"/>
        </w:rPr>
        <w:t>kg.</w:t>
      </w:r>
    </w:p>
    <w:p w:rsidR="00EE4B02" w:rsidRPr="00EE4B02" w:rsidRDefault="00EE4B02" w:rsidP="00EE4B02">
      <w:pPr>
        <w:pStyle w:val="SingleTxtG"/>
        <w:rPr>
          <w:lang w:val="fr-FR"/>
        </w:rPr>
      </w:pPr>
      <w:r w:rsidRPr="00EE4B02">
        <w:rPr>
          <w:lang w:val="fr-FR"/>
        </w:rPr>
        <w:t>3.</w:t>
      </w:r>
      <w:r w:rsidRPr="00EE4B02">
        <w:rPr>
          <w:lang w:val="fr-FR"/>
        </w:rPr>
        <w:tab/>
        <w:t>Toutefois, de nombreux magasins de vente au détail sont en train d’abandonner la présentation traditionnelle des biens de consommation sur des rayons au profit d’</w:t>
      </w:r>
      <w:r w:rsidR="00B91ED7">
        <w:rPr>
          <w:lang w:val="fr-FR"/>
        </w:rPr>
        <w:t>« </w:t>
      </w:r>
      <w:r w:rsidRPr="00EE4B02">
        <w:rPr>
          <w:lang w:val="fr-FR"/>
        </w:rPr>
        <w:t>emballages de présentation</w:t>
      </w:r>
      <w:r w:rsidR="00B91ED7">
        <w:rPr>
          <w:lang w:val="fr-FR"/>
        </w:rPr>
        <w:t> »</w:t>
      </w:r>
      <w:r w:rsidRPr="00EE4B02">
        <w:rPr>
          <w:lang w:val="fr-FR"/>
        </w:rPr>
        <w:t xml:space="preserve"> de produits. Ces emballages de présentation sont montés avant la distribution. Ils sont </w:t>
      </w:r>
      <w:r w:rsidR="00B91ED7">
        <w:rPr>
          <w:lang w:val="fr-FR"/>
        </w:rPr>
        <w:t>« </w:t>
      </w:r>
      <w:r w:rsidRPr="00EE4B02">
        <w:rPr>
          <w:lang w:val="fr-FR"/>
        </w:rPr>
        <w:t>ouverts</w:t>
      </w:r>
      <w:r w:rsidR="00B91ED7">
        <w:rPr>
          <w:lang w:val="fr-FR"/>
        </w:rPr>
        <w:t> »</w:t>
      </w:r>
      <w:r w:rsidRPr="00EE4B02">
        <w:rPr>
          <w:lang w:val="fr-FR"/>
        </w:rPr>
        <w:t xml:space="preserve"> et directement posés sur le sol du magasin</w:t>
      </w:r>
      <w:r w:rsidR="00B91ED7">
        <w:rPr>
          <w:lang w:val="fr-FR"/>
        </w:rPr>
        <w:t>, où ils servent de présentoir.</w:t>
      </w:r>
    </w:p>
    <w:p w:rsidR="00EE4B02" w:rsidRPr="00EE4B02" w:rsidRDefault="00EE4B02" w:rsidP="00EE4B02">
      <w:pPr>
        <w:pStyle w:val="SingleTxtG"/>
        <w:rPr>
          <w:lang w:val="fr-FR"/>
        </w:rPr>
      </w:pPr>
      <w:r w:rsidRPr="00EE4B02">
        <w:rPr>
          <w:lang w:val="fr-FR"/>
        </w:rPr>
        <w:t>4.</w:t>
      </w:r>
      <w:r w:rsidRPr="00EE4B02">
        <w:rPr>
          <w:lang w:val="fr-FR"/>
        </w:rPr>
        <w:tab/>
        <w:t>Les emballages de présentation ont notamment pour avantage une réduction de la quantité de matériau d’emballage nécessaire dans le cadre de la distribution (moins de gaspillage de carton dur) ainsi qu’une réduction de l’espace nécessaire dans les rayons, de la main d’œuvre nécessaire pour remplir les rayons et de la manutention des colis.</w:t>
      </w:r>
    </w:p>
    <w:p w:rsidR="00EE4B02" w:rsidRPr="00EE4B02" w:rsidRDefault="00EE4B02" w:rsidP="00EE4B02">
      <w:pPr>
        <w:pStyle w:val="SingleTxtG"/>
        <w:rPr>
          <w:lang w:val="fr-FR"/>
        </w:rPr>
      </w:pPr>
      <w:r w:rsidRPr="00EE4B02">
        <w:rPr>
          <w:lang w:val="fr-FR"/>
        </w:rPr>
        <w:t>5.</w:t>
      </w:r>
      <w:r w:rsidRPr="00EE4B02">
        <w:rPr>
          <w:lang w:val="fr-FR"/>
        </w:rPr>
        <w:tab/>
        <w:t>Les dispositions actuellement énoncées aux sections 3.4.2 et</w:t>
      </w:r>
      <w:r w:rsidR="00B91ED7">
        <w:rPr>
          <w:lang w:val="fr-FR"/>
        </w:rPr>
        <w:t xml:space="preserve"> </w:t>
      </w:r>
      <w:r w:rsidRPr="00EE4B02">
        <w:rPr>
          <w:lang w:val="fr-FR"/>
        </w:rPr>
        <w:t>3.4.3 de l’ADR excluent toute utilisation d’emballages de présentation pour les colis contenant des quantités limitées car la masse brute du présentoir peut dépasser 500 kg.</w:t>
      </w:r>
    </w:p>
    <w:p w:rsidR="00EE4B02" w:rsidRPr="00EE4B02" w:rsidRDefault="00EE4B02" w:rsidP="00EE4B02">
      <w:pPr>
        <w:pStyle w:val="SingleTxtG"/>
        <w:rPr>
          <w:lang w:val="fr-FR"/>
        </w:rPr>
      </w:pPr>
      <w:r w:rsidRPr="00EE4B02">
        <w:rPr>
          <w:lang w:val="fr-FR"/>
        </w:rPr>
        <w:t>6.</w:t>
      </w:r>
      <w:r w:rsidRPr="00EE4B02">
        <w:rPr>
          <w:lang w:val="fr-FR"/>
        </w:rPr>
        <w:tab/>
        <w:t>Aux États-Unis d’Amérique, des dispositions relatives aux emballages de présentation ont été adoptées</w:t>
      </w:r>
      <w:r w:rsidR="00B91ED7">
        <w:rPr>
          <w:lang w:val="fr-FR"/>
        </w:rPr>
        <w:t xml:space="preserve"> </w:t>
      </w:r>
      <w:r w:rsidRPr="00EE4B02">
        <w:rPr>
          <w:lang w:val="fr-FR"/>
        </w:rPr>
        <w:t xml:space="preserve">dans les règlements </w:t>
      </w:r>
      <w:r w:rsidR="00294061">
        <w:rPr>
          <w:lang w:val="fr-FR"/>
        </w:rPr>
        <w:t>(</w:t>
      </w:r>
      <w:r w:rsidRPr="00EE4B02">
        <w:rPr>
          <w:lang w:val="fr-FR"/>
        </w:rPr>
        <w:t xml:space="preserve">disposition 49 du Code de réglementation fédérale, </w:t>
      </w:r>
      <w:r w:rsidR="00294061">
        <w:rPr>
          <w:lang w:val="fr-FR"/>
        </w:rPr>
        <w:t>par. </w:t>
      </w:r>
      <w:r w:rsidRPr="00EE4B02">
        <w:rPr>
          <w:lang w:val="fr-FR"/>
        </w:rPr>
        <w:t>173.156</w:t>
      </w:r>
      <w:r w:rsidR="00B91ED7">
        <w:rPr>
          <w:lang w:val="fr-FR"/>
        </w:rPr>
        <w:t> </w:t>
      </w:r>
      <w:r w:rsidR="00294061">
        <w:rPr>
          <w:lang w:val="fr-FR"/>
        </w:rPr>
        <w:t>c))</w:t>
      </w:r>
      <w:r w:rsidRPr="00EE4B02">
        <w:rPr>
          <w:lang w:val="fr-FR"/>
        </w:rPr>
        <w:t xml:space="preserve"> et des autorisations ont été accordées au moyen de dérogations. Les emballages de présentation doivent remplir les prescriptions suivantes</w:t>
      </w:r>
      <w:r w:rsidR="00B91ED7">
        <w:rPr>
          <w:lang w:val="fr-FR"/>
        </w:rPr>
        <w:t> :</w:t>
      </w:r>
    </w:p>
    <w:p w:rsidR="00EE4B02" w:rsidRPr="00EE4B02" w:rsidRDefault="00B91ED7" w:rsidP="00B91ED7">
      <w:pPr>
        <w:pStyle w:val="SingleTxtG"/>
        <w:ind w:left="1701"/>
        <w:rPr>
          <w:lang w:val="fr-FR"/>
        </w:rPr>
      </w:pPr>
      <w:r>
        <w:rPr>
          <w:lang w:val="fr-FR"/>
        </w:rPr>
        <w:t>« </w:t>
      </w:r>
      <w:r w:rsidR="00933626">
        <w:rPr>
          <w:lang w:val="fr-FR"/>
        </w:rPr>
        <w:t>c)</w:t>
      </w:r>
      <w:r w:rsidR="00933626">
        <w:rPr>
          <w:lang w:val="fr-FR"/>
        </w:rPr>
        <w:tab/>
      </w:r>
      <w:r w:rsidR="00EE4B02" w:rsidRPr="00EE4B02">
        <w:rPr>
          <w:i/>
          <w:lang w:val="fr-FR"/>
        </w:rPr>
        <w:t>Emballages de présentation</w:t>
      </w:r>
      <w:r w:rsidR="00EE4B02" w:rsidRPr="00EE4B02">
        <w:rPr>
          <w:lang w:val="fr-FR"/>
        </w:rPr>
        <w:t>. Les emballages de présentation (…) de produits de consommation ou de colis contenant des quantités limitées qui dépassent la limite</w:t>
      </w:r>
      <w:r>
        <w:rPr>
          <w:lang w:val="fr-FR"/>
        </w:rPr>
        <w:t xml:space="preserve"> </w:t>
      </w:r>
      <w:r w:rsidR="00EE4B02" w:rsidRPr="00EE4B02">
        <w:rPr>
          <w:lang w:val="fr-FR"/>
        </w:rPr>
        <w:t>de poids maximal brut</w:t>
      </w:r>
      <w:r>
        <w:rPr>
          <w:lang w:val="fr-FR"/>
        </w:rPr>
        <w:t xml:space="preserve"> </w:t>
      </w:r>
      <w:r w:rsidR="00EE4B02" w:rsidRPr="00EE4B02">
        <w:rPr>
          <w:lang w:val="fr-FR"/>
        </w:rPr>
        <w:t>fixée à 30</w:t>
      </w:r>
      <w:r>
        <w:rPr>
          <w:lang w:val="fr-FR"/>
        </w:rPr>
        <w:t> </w:t>
      </w:r>
      <w:r w:rsidR="00EE4B02" w:rsidRPr="00EE4B02">
        <w:rPr>
          <w:lang w:val="fr-FR"/>
        </w:rPr>
        <w:t>kg peuvent être transportés dans un conteneur/remorque par un service de remorque sur wagon plat ou de conteneur sur wagon plat, une remorque de véhicule rail-route (</w:t>
      </w:r>
      <w:r>
        <w:rPr>
          <w:lang w:val="fr-FR"/>
        </w:rPr>
        <w:t>“</w:t>
      </w:r>
      <w:r w:rsidR="00EE4B02" w:rsidRPr="00EE4B02">
        <w:rPr>
          <w:lang w:val="fr-FR"/>
        </w:rPr>
        <w:t>roadrailer</w:t>
      </w:r>
      <w:r>
        <w:rPr>
          <w:lang w:val="fr-FR"/>
        </w:rPr>
        <w:t>”</w:t>
      </w:r>
      <w:r w:rsidR="00EE4B02" w:rsidRPr="00EE4B02">
        <w:rPr>
          <w:lang w:val="fr-FR"/>
        </w:rPr>
        <w:t>) et/ou un système rail-route (</w:t>
      </w:r>
      <w:r>
        <w:rPr>
          <w:lang w:val="fr-FR"/>
        </w:rPr>
        <w:t>“</w:t>
      </w:r>
      <w:r w:rsidR="00EE4B02" w:rsidRPr="00EE4B02">
        <w:rPr>
          <w:lang w:val="fr-FR"/>
        </w:rPr>
        <w:t>railrunner</w:t>
      </w:r>
      <w:r>
        <w:rPr>
          <w:lang w:val="fr-FR"/>
        </w:rPr>
        <w:t>”</w:t>
      </w:r>
      <w:r w:rsidR="00EE4B02" w:rsidRPr="00EE4B02">
        <w:rPr>
          <w:lang w:val="fr-FR"/>
        </w:rPr>
        <w:t>), un véhicule motorisé, ou encore un cargo</w:t>
      </w:r>
      <w:r>
        <w:rPr>
          <w:lang w:val="fr-FR"/>
        </w:rPr>
        <w:t xml:space="preserve"> </w:t>
      </w:r>
      <w:r w:rsidR="00EE4B02" w:rsidRPr="00EE4B02">
        <w:rPr>
          <w:lang w:val="fr-FR"/>
        </w:rPr>
        <w:t>aux conditions suivantes</w:t>
      </w:r>
      <w:r>
        <w:rPr>
          <w:lang w:val="fr-FR"/>
        </w:rPr>
        <w:t> </w:t>
      </w:r>
      <w:r w:rsidR="00EE4B02" w:rsidRPr="00EE4B02">
        <w:rPr>
          <w:lang w:val="fr-FR"/>
        </w:rPr>
        <w:t>:</w:t>
      </w:r>
    </w:p>
    <w:p w:rsidR="00EE4B02" w:rsidRPr="00EE4B02" w:rsidRDefault="00797988" w:rsidP="00797988">
      <w:pPr>
        <w:pStyle w:val="SingleTxtG"/>
        <w:ind w:left="1701"/>
        <w:rPr>
          <w:lang w:val="fr-FR"/>
        </w:rPr>
      </w:pPr>
      <w:r w:rsidRPr="00797988">
        <w:rPr>
          <w:lang w:val="fr-FR"/>
        </w:rPr>
        <w:t>1)</w:t>
      </w:r>
      <w:r>
        <w:rPr>
          <w:i/>
          <w:lang w:val="fr-FR"/>
        </w:rPr>
        <w:tab/>
      </w:r>
      <w:r w:rsidR="00EE4B02" w:rsidRPr="00EE4B02">
        <w:rPr>
          <w:i/>
          <w:lang w:val="fr-FR"/>
        </w:rPr>
        <w:t>Emballage</w:t>
      </w:r>
      <w:r w:rsidR="00EE4B02" w:rsidRPr="00EE4B02">
        <w:rPr>
          <w:lang w:val="fr-FR"/>
        </w:rPr>
        <w:t>. Les emballages combinés doivent être conformes aux prescriptions [générales d’emballage] de la sous-partie B de la présente partie et remplir les conditions suivantes, selon le cas</w:t>
      </w:r>
      <w:r w:rsidR="00B91ED7">
        <w:rPr>
          <w:lang w:val="fr-FR"/>
        </w:rPr>
        <w:t> </w:t>
      </w:r>
      <w:r w:rsidR="00EE4B02" w:rsidRPr="00EE4B02">
        <w:rPr>
          <w:lang w:val="fr-FR"/>
        </w:rPr>
        <w:t>:</w:t>
      </w:r>
    </w:p>
    <w:p w:rsidR="00EE4B02" w:rsidRPr="00EE4B02" w:rsidRDefault="00797988" w:rsidP="00797988">
      <w:pPr>
        <w:pStyle w:val="SingleTxtG"/>
        <w:ind w:left="2268"/>
        <w:rPr>
          <w:lang w:val="fr-FR"/>
        </w:rPr>
      </w:pPr>
      <w:r>
        <w:rPr>
          <w:lang w:val="fr-FR"/>
        </w:rPr>
        <w:t>i)</w:t>
      </w:r>
      <w:r>
        <w:rPr>
          <w:lang w:val="fr-FR"/>
        </w:rPr>
        <w:tab/>
      </w:r>
      <w:r w:rsidR="00EE4B02" w:rsidRPr="00EE4B02">
        <w:rPr>
          <w:lang w:val="fr-FR"/>
        </w:rPr>
        <w:t>Les emballages primaires doivent respecter les limites applicables aux quantités par emballage intérieur prescrites [pour la classe de danger représentative]</w:t>
      </w:r>
      <w:r w:rsidR="00B91ED7">
        <w:rPr>
          <w:lang w:val="fr-FR"/>
        </w:rPr>
        <w:t> ;</w:t>
      </w:r>
    </w:p>
    <w:p w:rsidR="00EE4B02" w:rsidRPr="00EE4B02" w:rsidRDefault="00797988" w:rsidP="00797988">
      <w:pPr>
        <w:pStyle w:val="SingleTxtG"/>
        <w:ind w:left="2268"/>
        <w:rPr>
          <w:lang w:val="fr-FR"/>
        </w:rPr>
      </w:pPr>
      <w:r>
        <w:rPr>
          <w:lang w:val="fr-FR"/>
        </w:rPr>
        <w:t>ii)</w:t>
      </w:r>
      <w:r>
        <w:rPr>
          <w:lang w:val="fr-FR"/>
        </w:rPr>
        <w:tab/>
      </w:r>
      <w:r w:rsidR="00EE4B02" w:rsidRPr="00EE4B02">
        <w:rPr>
          <w:lang w:val="fr-FR"/>
        </w:rPr>
        <w:t>Les emballages primaires doivent être rangés dans des bacs qui empêchent le mouvement des colis à l’intérieur de l’emballage combiné complet pendant le transport</w:t>
      </w:r>
      <w:r w:rsidR="00B91ED7">
        <w:rPr>
          <w:lang w:val="fr-FR"/>
        </w:rPr>
        <w:t> </w:t>
      </w:r>
      <w:r w:rsidR="00EE4B02" w:rsidRPr="00EE4B02">
        <w:rPr>
          <w:lang w:val="fr-FR"/>
        </w:rPr>
        <w:t>;</w:t>
      </w:r>
    </w:p>
    <w:p w:rsidR="00EE4B02" w:rsidRPr="00EE4B02" w:rsidRDefault="00797988" w:rsidP="00797988">
      <w:pPr>
        <w:pStyle w:val="SingleTxtG"/>
        <w:ind w:left="2268"/>
        <w:rPr>
          <w:lang w:val="fr-FR"/>
        </w:rPr>
      </w:pPr>
      <w:r>
        <w:rPr>
          <w:lang w:val="fr-FR"/>
        </w:rPr>
        <w:t>iii)</w:t>
      </w:r>
      <w:r>
        <w:rPr>
          <w:lang w:val="fr-FR"/>
        </w:rPr>
        <w:tab/>
      </w:r>
      <w:r w:rsidR="00EE4B02" w:rsidRPr="00EE4B02">
        <w:rPr>
          <w:lang w:val="fr-FR"/>
        </w:rPr>
        <w:t>Les bacs doivent être placés dans une boîte en carton dur qui doit être arrimée au moyen de sangles de fixation et bloquée sur une palette par des sangles de métal, de tissu ou de plastique de manière à constituer une seule unité palettisée</w:t>
      </w:r>
      <w:r w:rsidR="00B91ED7">
        <w:rPr>
          <w:lang w:val="fr-FR"/>
        </w:rPr>
        <w:t> </w:t>
      </w:r>
      <w:r w:rsidR="00EE4B02" w:rsidRPr="00EE4B02">
        <w:rPr>
          <w:lang w:val="fr-FR"/>
        </w:rPr>
        <w:t>; et</w:t>
      </w:r>
    </w:p>
    <w:p w:rsidR="00EE4B02" w:rsidRPr="00EE4B02" w:rsidRDefault="00797988" w:rsidP="00797988">
      <w:pPr>
        <w:pStyle w:val="SingleTxtG"/>
        <w:ind w:left="2268"/>
        <w:rPr>
          <w:lang w:val="fr-FR"/>
        </w:rPr>
      </w:pPr>
      <w:r>
        <w:rPr>
          <w:lang w:val="fr-FR"/>
        </w:rPr>
        <w:t>iv)</w:t>
      </w:r>
      <w:r>
        <w:rPr>
          <w:lang w:val="fr-FR"/>
        </w:rPr>
        <w:tab/>
      </w:r>
      <w:r w:rsidR="00EE4B02" w:rsidRPr="00EE4B02">
        <w:rPr>
          <w:lang w:val="fr-FR"/>
        </w:rPr>
        <w:t>La quantité nette maximale de matières dangereuses dont le transport est autorisé dans une unité palettisée est de 550</w:t>
      </w:r>
      <w:r>
        <w:rPr>
          <w:lang w:val="fr-FR"/>
        </w:rPr>
        <w:t> </w:t>
      </w:r>
      <w:r w:rsidR="00EE4B02" w:rsidRPr="00EE4B02">
        <w:rPr>
          <w:lang w:val="fr-FR"/>
        </w:rPr>
        <w:t>kg (1</w:t>
      </w:r>
      <w:r>
        <w:rPr>
          <w:lang w:val="fr-FR"/>
        </w:rPr>
        <w:t> </w:t>
      </w:r>
      <w:r w:rsidR="00EE4B02" w:rsidRPr="00EE4B02">
        <w:rPr>
          <w:lang w:val="fr-FR"/>
        </w:rPr>
        <w:t>210</w:t>
      </w:r>
      <w:r>
        <w:rPr>
          <w:lang w:val="fr-FR"/>
        </w:rPr>
        <w:t> </w:t>
      </w:r>
      <w:r w:rsidR="00EE4B02" w:rsidRPr="00EE4B02">
        <w:rPr>
          <w:lang w:val="fr-FR"/>
        </w:rPr>
        <w:t>livres).</w:t>
      </w:r>
    </w:p>
    <w:p w:rsidR="00EE4B02" w:rsidRPr="00EE4B02" w:rsidRDefault="00797988" w:rsidP="00797988">
      <w:pPr>
        <w:pStyle w:val="SingleTxtG"/>
        <w:keepNext/>
        <w:ind w:left="1701"/>
        <w:rPr>
          <w:lang w:val="fr-FR"/>
        </w:rPr>
      </w:pPr>
      <w:r w:rsidRPr="00797988">
        <w:rPr>
          <w:lang w:val="fr-FR"/>
        </w:rPr>
        <w:lastRenderedPageBreak/>
        <w:t>2)</w:t>
      </w:r>
      <w:r w:rsidRPr="00797988">
        <w:rPr>
          <w:lang w:val="fr-FR"/>
        </w:rPr>
        <w:tab/>
      </w:r>
      <w:r w:rsidR="00EE4B02" w:rsidRPr="00EE4B02">
        <w:rPr>
          <w:i/>
          <w:lang w:val="fr-FR"/>
        </w:rPr>
        <w:t>Marquage</w:t>
      </w:r>
      <w:r w:rsidR="00EE4B02" w:rsidRPr="00EE4B02">
        <w:rPr>
          <w:lang w:val="fr-FR"/>
        </w:rPr>
        <w:t>. L’extérieur de chaque colis doit porter un marquage simple et durable conformément à l’une des dispositions suivantes, selon le cas</w:t>
      </w:r>
      <w:r w:rsidR="00B91ED7">
        <w:rPr>
          <w:lang w:val="fr-FR"/>
        </w:rPr>
        <w:t> </w:t>
      </w:r>
      <w:r w:rsidR="00EE4B02" w:rsidRPr="00EE4B02">
        <w:rPr>
          <w:lang w:val="fr-FR"/>
        </w:rPr>
        <w:t>:</w:t>
      </w:r>
    </w:p>
    <w:p w:rsidR="00EE4B02" w:rsidRPr="00EE4B02" w:rsidRDefault="00797988" w:rsidP="00797988">
      <w:pPr>
        <w:pStyle w:val="SingleTxtG"/>
        <w:ind w:left="2268"/>
        <w:rPr>
          <w:lang w:val="fr-FR"/>
        </w:rPr>
      </w:pPr>
      <w:r>
        <w:rPr>
          <w:lang w:val="fr-FR"/>
        </w:rPr>
        <w:t>i)</w:t>
      </w:r>
      <w:r>
        <w:rPr>
          <w:lang w:val="fr-FR"/>
        </w:rPr>
        <w:tab/>
      </w:r>
      <w:r w:rsidR="00EE4B02" w:rsidRPr="00EE4B02">
        <w:rPr>
          <w:lang w:val="fr-FR"/>
        </w:rPr>
        <w:t>(…)</w:t>
      </w:r>
    </w:p>
    <w:p w:rsidR="00EE4B02" w:rsidRPr="00EE4B02" w:rsidRDefault="00797988" w:rsidP="00797988">
      <w:pPr>
        <w:pStyle w:val="SingleTxtG"/>
        <w:ind w:left="2268"/>
        <w:rPr>
          <w:lang w:val="fr-FR"/>
        </w:rPr>
      </w:pPr>
      <w:r>
        <w:rPr>
          <w:lang w:val="fr-FR"/>
        </w:rPr>
        <w:t>ii)</w:t>
      </w:r>
      <w:r>
        <w:rPr>
          <w:lang w:val="fr-FR"/>
        </w:rPr>
        <w:tab/>
      </w:r>
      <w:r w:rsidR="00EE4B02" w:rsidRPr="00EE4B02">
        <w:rPr>
          <w:lang w:val="fr-FR"/>
        </w:rPr>
        <w:t>Les mots</w:t>
      </w:r>
      <w:r>
        <w:rPr>
          <w:lang w:val="fr-FR"/>
        </w:rPr>
        <w:t xml:space="preserve"> “</w:t>
      </w:r>
      <w:r w:rsidR="00EE4B02" w:rsidRPr="00EE4B02">
        <w:rPr>
          <w:lang w:val="fr-FR"/>
        </w:rPr>
        <w:t>Quantité limitée</w:t>
      </w:r>
      <w:r>
        <w:rPr>
          <w:lang w:val="fr-FR"/>
        </w:rPr>
        <w:t>”</w:t>
      </w:r>
      <w:r w:rsidR="00EE4B02" w:rsidRPr="00EE4B02">
        <w:rPr>
          <w:lang w:val="fr-FR"/>
        </w:rPr>
        <w:t xml:space="preserve"> comme prévu au paragraphe 172.315 du présent sous-chapitre.</w:t>
      </w:r>
      <w:r>
        <w:rPr>
          <w:lang w:val="fr-FR"/>
        </w:rPr>
        <w:t> »</w:t>
      </w:r>
      <w:r w:rsidR="00EE4B02" w:rsidRPr="00EE4B02">
        <w:rPr>
          <w:lang w:val="fr-FR"/>
        </w:rPr>
        <w:t>.</w:t>
      </w:r>
    </w:p>
    <w:p w:rsidR="00EE4B02" w:rsidRPr="00EE4B02" w:rsidRDefault="00EE4B02" w:rsidP="00797988">
      <w:pPr>
        <w:pStyle w:val="SingleTxtG"/>
        <w:rPr>
          <w:lang w:val="fr-FR"/>
        </w:rPr>
      </w:pPr>
      <w:r w:rsidRPr="00EE4B02">
        <w:rPr>
          <w:lang w:val="fr-FR"/>
        </w:rPr>
        <w:t>7.</w:t>
      </w:r>
      <w:r w:rsidRPr="00EE4B02">
        <w:rPr>
          <w:lang w:val="fr-FR"/>
        </w:rPr>
        <w:tab/>
      </w:r>
      <w:r w:rsidRPr="00797988">
        <w:t>Toutes</w:t>
      </w:r>
      <w:r w:rsidRPr="00EE4B02">
        <w:rPr>
          <w:lang w:val="fr-FR"/>
        </w:rPr>
        <w:t xml:space="preserve"> les autres prescriptions qui s’appliquent aux marchandises dangereuses envoyées en quantité limitée s’appliquent aussi aux colis visés.</w:t>
      </w:r>
    </w:p>
    <w:p w:rsidR="00EE4B02" w:rsidRPr="00EE4B02" w:rsidRDefault="00EE4B02" w:rsidP="00797988">
      <w:pPr>
        <w:pStyle w:val="SingleTxtG"/>
        <w:rPr>
          <w:lang w:val="fr-FR"/>
        </w:rPr>
      </w:pPr>
      <w:r w:rsidRPr="00EE4B02">
        <w:rPr>
          <w:lang w:val="fr-FR"/>
        </w:rPr>
        <w:t>8.</w:t>
      </w:r>
      <w:r w:rsidRPr="00EE4B02">
        <w:rPr>
          <w:lang w:val="fr-FR"/>
        </w:rPr>
        <w:tab/>
        <w:t xml:space="preserve">Les emballages de présentation ayant été conditionnés conformément aux dispositions ci-dessus ont depuis longtemps un bilan satisfaisant en matière de sécurité par véhicule routier, par chemin de fer et par bateau aux États-Unis d’Amérique, où ces dispositions ont été adoptées il y a plus de </w:t>
      </w:r>
      <w:r w:rsidR="00797988">
        <w:rPr>
          <w:lang w:val="fr-FR"/>
        </w:rPr>
        <w:t>vingt</w:t>
      </w:r>
      <w:r w:rsidRPr="00EE4B02">
        <w:rPr>
          <w:lang w:val="fr-FR"/>
        </w:rPr>
        <w:t xml:space="preserve"> ans. </w:t>
      </w:r>
    </w:p>
    <w:p w:rsidR="00EE4B02" w:rsidRPr="00EE4B02" w:rsidRDefault="00EE4B02" w:rsidP="00797988">
      <w:pPr>
        <w:pStyle w:val="SingleTxtG"/>
        <w:rPr>
          <w:lang w:val="fr-FR"/>
        </w:rPr>
      </w:pPr>
      <w:r w:rsidRPr="00EE4B02">
        <w:rPr>
          <w:lang w:val="fr-FR"/>
        </w:rPr>
        <w:t>9.</w:t>
      </w:r>
      <w:r w:rsidRPr="00EE4B02">
        <w:rPr>
          <w:lang w:val="fr-FR"/>
        </w:rPr>
        <w:tab/>
        <w:t xml:space="preserve">On trouvera dans </w:t>
      </w:r>
      <w:r w:rsidRPr="00797988">
        <w:t>l’annexe</w:t>
      </w:r>
      <w:r w:rsidRPr="00EE4B02">
        <w:rPr>
          <w:lang w:val="fr-FR"/>
        </w:rPr>
        <w:t xml:space="preserve"> au présent document</w:t>
      </w:r>
      <w:r w:rsidR="00B91ED7">
        <w:rPr>
          <w:lang w:val="fr-FR"/>
        </w:rPr>
        <w:t xml:space="preserve"> </w:t>
      </w:r>
      <w:r w:rsidRPr="00EE4B02">
        <w:rPr>
          <w:lang w:val="fr-FR"/>
        </w:rPr>
        <w:t>des informations complémentaires fournies par le COSTHA, notamment des exemples d’emballages de présentation.</w:t>
      </w:r>
    </w:p>
    <w:p w:rsidR="00EE4B02" w:rsidRPr="00EE4B02" w:rsidRDefault="00EE4B02" w:rsidP="00797988">
      <w:pPr>
        <w:pStyle w:val="HChG"/>
        <w:rPr>
          <w:lang w:val="fr-FR"/>
        </w:rPr>
      </w:pPr>
      <w:r w:rsidRPr="00EE4B02">
        <w:rPr>
          <w:lang w:val="fr-FR"/>
        </w:rPr>
        <w:tab/>
      </w:r>
      <w:r w:rsidRPr="00EE4B02">
        <w:rPr>
          <w:lang w:val="fr-FR"/>
        </w:rPr>
        <w:tab/>
        <w:t>Proposition</w:t>
      </w:r>
    </w:p>
    <w:p w:rsidR="00EE4B02" w:rsidRPr="00EE4B02" w:rsidRDefault="00EE4B02" w:rsidP="00EE4B02">
      <w:pPr>
        <w:pStyle w:val="SingleTxtG"/>
        <w:rPr>
          <w:lang w:val="fr-FR"/>
        </w:rPr>
      </w:pPr>
      <w:r w:rsidRPr="00EE4B02">
        <w:rPr>
          <w:lang w:val="fr-FR"/>
        </w:rPr>
        <w:t>10.</w:t>
      </w:r>
      <w:r w:rsidRPr="00EE4B02">
        <w:rPr>
          <w:lang w:val="fr-FR"/>
        </w:rPr>
        <w:tab/>
        <w:t>Le COSTHA demande à la Réunion commune de réfléchir à l’intérêt que présenterait l’adoption et l’insertion du texte suivant au chapitre 3.4 de l’ADR</w:t>
      </w:r>
      <w:r w:rsidR="00B91ED7">
        <w:rPr>
          <w:lang w:val="fr-FR"/>
        </w:rPr>
        <w:t> </w:t>
      </w:r>
      <w:r w:rsidRPr="00EE4B02">
        <w:rPr>
          <w:lang w:val="fr-FR"/>
        </w:rPr>
        <w:t>:</w:t>
      </w:r>
    </w:p>
    <w:p w:rsidR="00EE4B02" w:rsidRPr="00EE4B02" w:rsidRDefault="00B91ED7" w:rsidP="00797988">
      <w:pPr>
        <w:pStyle w:val="SingleTxtG"/>
        <w:ind w:left="1701"/>
        <w:rPr>
          <w:u w:val="single"/>
          <w:lang w:val="fr-FR"/>
        </w:rPr>
      </w:pPr>
      <w:r>
        <w:rPr>
          <w:u w:val="single"/>
          <w:lang w:val="fr-FR"/>
        </w:rPr>
        <w:t>« </w:t>
      </w:r>
      <w:r w:rsidR="00010533">
        <w:rPr>
          <w:u w:val="single"/>
          <w:lang w:val="fr-FR"/>
        </w:rPr>
        <w:t>[3.4.5]</w:t>
      </w:r>
      <w:r w:rsidR="00EE4B02" w:rsidRPr="00EE4B02">
        <w:rPr>
          <w:u w:val="single"/>
          <w:lang w:val="fr-FR"/>
        </w:rPr>
        <w:tab/>
        <w:t>Les emballages de présentation de colis contenant des quantités limitées de produits de consommation sont exemptés de la limite de poids brut énoncée au paragraphe 3.4.1.2 s’ils sont emballés conformément aux dispositions suivantes</w:t>
      </w:r>
      <w:r>
        <w:rPr>
          <w:u w:val="single"/>
          <w:lang w:val="fr-FR"/>
        </w:rPr>
        <w:t> </w:t>
      </w:r>
      <w:r w:rsidR="00010533">
        <w:rPr>
          <w:u w:val="single"/>
          <w:lang w:val="fr-FR"/>
        </w:rPr>
        <w:t>:</w:t>
      </w:r>
    </w:p>
    <w:p w:rsidR="00EE4B02" w:rsidRPr="00EE4B02" w:rsidRDefault="00EE4B02" w:rsidP="00797988">
      <w:pPr>
        <w:pStyle w:val="SingleTxtG"/>
        <w:ind w:left="1701"/>
        <w:rPr>
          <w:u w:val="single"/>
          <w:lang w:val="fr-FR"/>
        </w:rPr>
      </w:pPr>
      <w:r w:rsidRPr="00EE4B02">
        <w:rPr>
          <w:u w:val="single"/>
          <w:lang w:val="fr-FR"/>
        </w:rPr>
        <w:t>a)</w:t>
      </w:r>
      <w:r w:rsidRPr="00EE4B02">
        <w:rPr>
          <w:u w:val="single"/>
          <w:lang w:val="fr-FR"/>
        </w:rPr>
        <w:tab/>
        <w:t>Les emballages extérieurs doivent être conformes aux prescriptions générales énoncées aux paragraphes 4.1.1.1,</w:t>
      </w:r>
      <w:r w:rsidR="00B91ED7">
        <w:rPr>
          <w:u w:val="single"/>
          <w:lang w:val="fr-FR"/>
        </w:rPr>
        <w:t xml:space="preserve"> </w:t>
      </w:r>
      <w:r w:rsidRPr="00EE4B02">
        <w:rPr>
          <w:u w:val="single"/>
          <w:lang w:val="fr-FR"/>
        </w:rPr>
        <w:t>4.1.1.2, et</w:t>
      </w:r>
      <w:r w:rsidR="00B91ED7">
        <w:rPr>
          <w:u w:val="single"/>
          <w:lang w:val="fr-FR"/>
        </w:rPr>
        <w:t xml:space="preserve"> </w:t>
      </w:r>
      <w:r w:rsidRPr="00EE4B02">
        <w:rPr>
          <w:u w:val="single"/>
          <w:lang w:val="fr-FR"/>
        </w:rPr>
        <w:t>4.1.1.4</w:t>
      </w:r>
      <w:r w:rsidR="00B91ED7">
        <w:rPr>
          <w:u w:val="single"/>
          <w:lang w:val="fr-FR"/>
        </w:rPr>
        <w:t xml:space="preserve"> </w:t>
      </w:r>
      <w:r w:rsidRPr="00EE4B02">
        <w:rPr>
          <w:u w:val="single"/>
          <w:lang w:val="fr-FR"/>
        </w:rPr>
        <w:t>à 4.1.1.8</w:t>
      </w:r>
      <w:r w:rsidR="00B91ED7">
        <w:rPr>
          <w:u w:val="single"/>
          <w:lang w:val="fr-FR"/>
        </w:rPr>
        <w:t> </w:t>
      </w:r>
      <w:r w:rsidRPr="00EE4B02">
        <w:rPr>
          <w:u w:val="single"/>
          <w:lang w:val="fr-FR"/>
        </w:rPr>
        <w:t>;</w:t>
      </w:r>
    </w:p>
    <w:p w:rsidR="00EE4B02" w:rsidRPr="00EE4B02" w:rsidRDefault="00EE4B02" w:rsidP="00797988">
      <w:pPr>
        <w:pStyle w:val="SingleTxtG"/>
        <w:ind w:left="1701"/>
        <w:rPr>
          <w:u w:val="single"/>
          <w:lang w:val="fr-FR"/>
        </w:rPr>
      </w:pPr>
      <w:r w:rsidRPr="00EE4B02">
        <w:rPr>
          <w:u w:val="single"/>
          <w:lang w:val="fr-FR"/>
        </w:rPr>
        <w:t>b)</w:t>
      </w:r>
      <w:r w:rsidRPr="00EE4B02">
        <w:rPr>
          <w:u w:val="single"/>
          <w:lang w:val="fr-FR"/>
        </w:rPr>
        <w:tab/>
        <w:t>Les emballages intérieurs doivent être solidement arrimés dans des bacs de manière à empêcher tout déplacement de leur contenu</w:t>
      </w:r>
      <w:r w:rsidR="00B91ED7">
        <w:rPr>
          <w:u w:val="single"/>
          <w:lang w:val="fr-FR"/>
        </w:rPr>
        <w:t> </w:t>
      </w:r>
      <w:r w:rsidRPr="00EE4B02">
        <w:rPr>
          <w:u w:val="single"/>
          <w:lang w:val="fr-FR"/>
        </w:rPr>
        <w:t xml:space="preserve">; </w:t>
      </w:r>
    </w:p>
    <w:p w:rsidR="00EE4B02" w:rsidRPr="00EE4B02" w:rsidRDefault="00EE4B02" w:rsidP="00797988">
      <w:pPr>
        <w:pStyle w:val="SingleTxtG"/>
        <w:ind w:left="1701"/>
        <w:rPr>
          <w:u w:val="single"/>
          <w:lang w:val="fr-FR"/>
        </w:rPr>
      </w:pPr>
      <w:r w:rsidRPr="00EE4B02">
        <w:rPr>
          <w:u w:val="single"/>
          <w:lang w:val="fr-FR"/>
        </w:rPr>
        <w:t>c)</w:t>
      </w:r>
      <w:r w:rsidRPr="00EE4B02">
        <w:rPr>
          <w:u w:val="single"/>
          <w:lang w:val="fr-FR"/>
        </w:rPr>
        <w:tab/>
        <w:t>Les bacs doivent être placés dans un emballage extérieur robuste qui est solidement fixé à une palette par des sangles de métal, de plastique ou de tissu afin de former une unité palettisée</w:t>
      </w:r>
      <w:r w:rsidR="00B91ED7">
        <w:rPr>
          <w:u w:val="single"/>
          <w:lang w:val="fr-FR"/>
        </w:rPr>
        <w:t> ;</w:t>
      </w:r>
    </w:p>
    <w:p w:rsidR="00EE4B02" w:rsidRPr="00EE4B02" w:rsidRDefault="00EE4B02" w:rsidP="00797988">
      <w:pPr>
        <w:pStyle w:val="SingleTxtG"/>
        <w:ind w:left="1701"/>
        <w:rPr>
          <w:u w:val="single"/>
          <w:lang w:val="fr-FR"/>
        </w:rPr>
      </w:pPr>
      <w:r w:rsidRPr="00EE4B02">
        <w:rPr>
          <w:u w:val="single"/>
          <w:lang w:val="fr-FR"/>
        </w:rPr>
        <w:t>d)</w:t>
      </w:r>
      <w:r w:rsidRPr="00EE4B02">
        <w:rPr>
          <w:u w:val="single"/>
          <w:lang w:val="fr-FR"/>
        </w:rPr>
        <w:tab/>
        <w:t>La masse brute du colis complet ne doit pas dépasser 550 kg.</w:t>
      </w:r>
      <w:r w:rsidR="00B91ED7">
        <w:rPr>
          <w:u w:val="single"/>
          <w:lang w:val="fr-FR"/>
        </w:rPr>
        <w:t> »</w:t>
      </w:r>
      <w:r w:rsidRPr="00EE4B02">
        <w:rPr>
          <w:u w:val="single"/>
          <w:lang w:val="fr-FR"/>
        </w:rPr>
        <w:t>.</w:t>
      </w:r>
    </w:p>
    <w:p w:rsidR="00EE4B02" w:rsidRPr="00EE4B02" w:rsidRDefault="00EE4B02" w:rsidP="00010533">
      <w:pPr>
        <w:pStyle w:val="HChG"/>
        <w:rPr>
          <w:lang w:val="fr-FR"/>
        </w:rPr>
      </w:pPr>
      <w:r w:rsidRPr="00EE4B02">
        <w:rPr>
          <w:lang w:val="fr-FR"/>
        </w:rPr>
        <w:tab/>
      </w:r>
      <w:r w:rsidRPr="00EE4B02">
        <w:rPr>
          <w:lang w:val="fr-FR"/>
        </w:rPr>
        <w:tab/>
        <w:t>Justification</w:t>
      </w:r>
    </w:p>
    <w:p w:rsidR="00EE4B02" w:rsidRPr="00EE4B02" w:rsidRDefault="00EE4B02" w:rsidP="00010533">
      <w:pPr>
        <w:pStyle w:val="SingleTxtG"/>
        <w:ind w:left="2268" w:hanging="1134"/>
        <w:rPr>
          <w:lang w:val="fr-FR"/>
        </w:rPr>
      </w:pPr>
      <w:r w:rsidRPr="00EE4B02">
        <w:rPr>
          <w:lang w:val="fr-FR"/>
        </w:rPr>
        <w:t>Sécurité :</w:t>
      </w:r>
      <w:r w:rsidRPr="00EE4B02">
        <w:rPr>
          <w:lang w:val="fr-FR"/>
        </w:rPr>
        <w:tab/>
        <w:t>L’alignement sur le texte de la disposition 49 du Code de réglementation fédérale des États-Unis d’Amérique devrait offrir un niveau de sécurité équivalent à celui que présente l’expédition de quantités limitées au titre des dispositions énoncées au chapitre 3.4, comme</w:t>
      </w:r>
      <w:r w:rsidR="00B91ED7">
        <w:rPr>
          <w:lang w:val="fr-FR"/>
        </w:rPr>
        <w:t xml:space="preserve"> </w:t>
      </w:r>
      <w:r w:rsidRPr="00EE4B02">
        <w:rPr>
          <w:lang w:val="fr-FR"/>
        </w:rPr>
        <w:t>en témoigne l’introduction</w:t>
      </w:r>
      <w:r w:rsidR="00B91ED7">
        <w:rPr>
          <w:lang w:val="fr-FR"/>
        </w:rPr>
        <w:t xml:space="preserve"> </w:t>
      </w:r>
      <w:r w:rsidRPr="00EE4B02">
        <w:rPr>
          <w:lang w:val="fr-FR"/>
        </w:rPr>
        <w:t>par la Pipeline and Hazardous Materials Safety Administration (PHMSA) du permis spécial 11458 dans le Règlement concernant les matières dangereuses.</w:t>
      </w:r>
    </w:p>
    <w:p w:rsidR="00EE4B02" w:rsidRDefault="00EE4B02" w:rsidP="00010533">
      <w:pPr>
        <w:pStyle w:val="SingleTxtG"/>
        <w:ind w:left="2268" w:hanging="1134"/>
        <w:rPr>
          <w:lang w:val="fr-FR"/>
        </w:rPr>
      </w:pPr>
      <w:r w:rsidRPr="00EE4B02">
        <w:rPr>
          <w:lang w:val="fr-FR"/>
        </w:rPr>
        <w:t>Faisabilité :</w:t>
      </w:r>
      <w:r w:rsidRPr="00EE4B02">
        <w:rPr>
          <w:lang w:val="fr-FR"/>
        </w:rPr>
        <w:tab/>
        <w:t xml:space="preserve">Ces dispositions sont déjà appliquées en toute sécurité sur le territoire des États-Unis d’Amérique depuis plus de </w:t>
      </w:r>
      <w:r w:rsidR="00B91ED7">
        <w:rPr>
          <w:lang w:val="fr-FR"/>
        </w:rPr>
        <w:t>vingt</w:t>
      </w:r>
      <w:r w:rsidRPr="00EE4B02">
        <w:rPr>
          <w:lang w:val="fr-FR"/>
        </w:rPr>
        <w:t xml:space="preserve"> ans et permettent de réduire les déchets, les coûts et la manutention des colis.</w:t>
      </w:r>
    </w:p>
    <w:p w:rsidR="00EE4B02" w:rsidRPr="00EE4B02" w:rsidRDefault="00EE4B02" w:rsidP="00010533">
      <w:pPr>
        <w:pStyle w:val="HChG"/>
        <w:rPr>
          <w:lang w:val="fr-FR"/>
        </w:rPr>
      </w:pPr>
      <w:r>
        <w:rPr>
          <w:lang w:val="fr-FR"/>
        </w:rPr>
        <w:br w:type="page"/>
      </w:r>
      <w:r w:rsidRPr="00EE4B02">
        <w:rPr>
          <w:lang w:val="fr-FR"/>
        </w:rPr>
        <w:lastRenderedPageBreak/>
        <w:tab/>
        <w:t>Annexe</w:t>
      </w:r>
    </w:p>
    <w:p w:rsidR="00EE4B02" w:rsidRPr="00EE4B02" w:rsidRDefault="00EE4B02" w:rsidP="00024B02">
      <w:pPr>
        <w:pStyle w:val="H1G"/>
        <w:rPr>
          <w:lang w:val="fr-FR"/>
        </w:rPr>
      </w:pPr>
      <w:r w:rsidRPr="00EE4B02">
        <w:rPr>
          <w:lang w:val="fr-FR"/>
        </w:rPr>
        <w:tab/>
      </w:r>
      <w:r w:rsidRPr="00EE4B02">
        <w:rPr>
          <w:lang w:val="fr-FR"/>
        </w:rPr>
        <w:tab/>
        <w:t xml:space="preserve">Exemples </w:t>
      </w:r>
      <w:r w:rsidRPr="00024B02">
        <w:t>d’emballages</w:t>
      </w:r>
      <w:r w:rsidRPr="00EE4B02">
        <w:rPr>
          <w:lang w:val="fr-FR"/>
        </w:rPr>
        <w:t xml:space="preserve"> de présentation</w:t>
      </w:r>
    </w:p>
    <w:p w:rsidR="00EE4B02" w:rsidRPr="00EE4B02" w:rsidRDefault="00EE4B02" w:rsidP="00010533">
      <w:pPr>
        <w:pStyle w:val="SingleTxtG"/>
        <w:ind w:firstLine="567"/>
        <w:rPr>
          <w:lang w:val="fr-FR"/>
        </w:rPr>
      </w:pPr>
      <w:r w:rsidRPr="00EE4B02">
        <w:rPr>
          <w:lang w:val="fr-FR"/>
        </w:rPr>
        <w:t>Afin de répondre à la demande croissante</w:t>
      </w:r>
      <w:r w:rsidR="00B91ED7">
        <w:rPr>
          <w:lang w:val="fr-FR"/>
        </w:rPr>
        <w:t xml:space="preserve"> </w:t>
      </w:r>
      <w:r w:rsidRPr="00EE4B02">
        <w:rPr>
          <w:lang w:val="fr-FR"/>
        </w:rPr>
        <w:t>des revendeurs,</w:t>
      </w:r>
      <w:r w:rsidR="00B91ED7">
        <w:rPr>
          <w:lang w:val="fr-FR"/>
        </w:rPr>
        <w:t xml:space="preserve"> </w:t>
      </w:r>
      <w:r w:rsidRPr="00EE4B02">
        <w:rPr>
          <w:lang w:val="fr-FR"/>
        </w:rPr>
        <w:t>certains de nos membres leur proposent une grande variété d’unités de stock prêtes à être exposées en magasin. Ces unités permettent aux revendeurs de réduire les coûts de main</w:t>
      </w:r>
      <w:r w:rsidR="00294061">
        <w:rPr>
          <w:lang w:val="fr-FR"/>
        </w:rPr>
        <w:t>-</w:t>
      </w:r>
      <w:r w:rsidRPr="00EE4B02">
        <w:rPr>
          <w:lang w:val="fr-FR"/>
        </w:rPr>
        <w:t>d’œuvre, de manutention et de mise en place, rendent moins nécessaire la reconstitution des stocks et</w:t>
      </w:r>
      <w:r w:rsidR="00B91ED7">
        <w:rPr>
          <w:lang w:val="fr-FR"/>
        </w:rPr>
        <w:t xml:space="preserve"> </w:t>
      </w:r>
      <w:r w:rsidRPr="00EE4B02">
        <w:rPr>
          <w:lang w:val="fr-FR"/>
        </w:rPr>
        <w:t>incitent davantage les clients à faire des achats par impulsion. Différents exemples d’emballages de présentation sont présentés ci-après.</w:t>
      </w:r>
    </w:p>
    <w:tbl>
      <w:tblPr>
        <w:tblStyle w:val="TableGrid"/>
        <w:tblW w:w="0" w:type="auto"/>
        <w:tblLook w:val="04A0" w:firstRow="1" w:lastRow="0" w:firstColumn="1" w:lastColumn="0" w:noHBand="0" w:noVBand="1"/>
      </w:tblPr>
      <w:tblGrid>
        <w:gridCol w:w="3209"/>
        <w:gridCol w:w="1605"/>
        <w:gridCol w:w="1605"/>
        <w:gridCol w:w="3210"/>
      </w:tblGrid>
      <w:tr w:rsidR="009A4201" w:rsidRPr="0022415B" w:rsidTr="00AE782B">
        <w:tc>
          <w:tcPr>
            <w:tcW w:w="3209" w:type="dxa"/>
            <w:vMerge w:val="restart"/>
          </w:tcPr>
          <w:p w:rsidR="009A4201" w:rsidRPr="0022415B" w:rsidRDefault="009A4201" w:rsidP="00AE782B">
            <w:pPr>
              <w:spacing w:before="120"/>
              <w:jc w:val="center"/>
              <w:rPr>
                <w:noProof/>
              </w:rPr>
            </w:pPr>
            <w:r w:rsidRPr="0022415B">
              <w:rPr>
                <w:b/>
                <w:u w:val="single"/>
              </w:rPr>
              <w:t>Présentoir</w:t>
            </w:r>
          </w:p>
          <w:p w:rsidR="009A4201" w:rsidRPr="0022415B" w:rsidRDefault="009A4201" w:rsidP="00AE782B">
            <w:pPr>
              <w:spacing w:before="120"/>
              <w:jc w:val="center"/>
            </w:pPr>
            <w:r w:rsidRPr="0022415B">
              <w:rPr>
                <w:noProof/>
                <w:lang w:eastAsia="fr-CH"/>
              </w:rPr>
              <w:drawing>
                <wp:inline distT="0" distB="0" distL="0" distR="0" wp14:anchorId="6FFA9FC1" wp14:editId="7CCFB010">
                  <wp:extent cx="1104900" cy="2955383"/>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8"/>
                          <a:srcRect/>
                          <a:stretch>
                            <a:fillRect/>
                          </a:stretch>
                        </pic:blipFill>
                        <pic:spPr bwMode="auto">
                          <a:xfrm>
                            <a:off x="0" y="0"/>
                            <a:ext cx="1118621" cy="2992083"/>
                          </a:xfrm>
                          <a:prstGeom prst="rect">
                            <a:avLst/>
                          </a:prstGeom>
                          <a:noFill/>
                          <a:ln w="9525">
                            <a:noFill/>
                            <a:miter lim="800000"/>
                            <a:headEnd/>
                            <a:tailEnd/>
                          </a:ln>
                        </pic:spPr>
                      </pic:pic>
                    </a:graphicData>
                  </a:graphic>
                </wp:inline>
              </w:drawing>
            </w:r>
          </w:p>
        </w:tc>
        <w:tc>
          <w:tcPr>
            <w:tcW w:w="3210" w:type="dxa"/>
            <w:gridSpan w:val="2"/>
          </w:tcPr>
          <w:p w:rsidR="009A4201" w:rsidRPr="0022415B" w:rsidRDefault="009A4201" w:rsidP="00AE782B">
            <w:pPr>
              <w:spacing w:before="120"/>
              <w:jc w:val="center"/>
              <w:rPr>
                <w:i/>
              </w:rPr>
            </w:pPr>
            <w:r w:rsidRPr="0022415B">
              <w:rPr>
                <w:b/>
                <w:u w:val="single"/>
              </w:rPr>
              <w:t xml:space="preserve">Colis prêt à être exposé </w:t>
            </w:r>
          </w:p>
          <w:p w:rsidR="009A4201" w:rsidRPr="0022415B" w:rsidRDefault="009A4201" w:rsidP="00AE782B">
            <w:pPr>
              <w:spacing w:before="120"/>
              <w:jc w:val="center"/>
              <w:rPr>
                <w:i/>
              </w:rPr>
            </w:pPr>
            <w:r w:rsidRPr="0022415B">
              <w:rPr>
                <w:i/>
              </w:rPr>
              <w:t>Tel qu’il est envoyé</w:t>
            </w:r>
          </w:p>
          <w:p w:rsidR="009A4201" w:rsidRPr="0022415B" w:rsidRDefault="009A4201" w:rsidP="00AE782B">
            <w:pPr>
              <w:jc w:val="center"/>
            </w:pPr>
            <w:r w:rsidRPr="0022415B">
              <w:rPr>
                <w:i/>
                <w:noProof/>
                <w:lang w:eastAsia="fr-CH"/>
              </w:rPr>
              <w:drawing>
                <wp:inline distT="0" distB="0" distL="0" distR="0" wp14:anchorId="46A246E1" wp14:editId="5A860353">
                  <wp:extent cx="1188720" cy="1019062"/>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9935" b="100000" l="9995" r="89959"/>
                                    </a14:imgEffect>
                                  </a14:imgLayer>
                                </a14:imgProps>
                              </a:ext>
                              <a:ext uri="{28A0092B-C50C-407E-A947-70E740481C1C}">
                                <a14:useLocalDpi xmlns:a14="http://schemas.microsoft.com/office/drawing/2010/main" val="0"/>
                              </a:ext>
                            </a:extLst>
                          </a:blip>
                          <a:srcRect l="15425" t="5658" r="18959" b="-5658"/>
                          <a:stretch/>
                        </pic:blipFill>
                        <pic:spPr bwMode="auto">
                          <a:xfrm>
                            <a:off x="0" y="0"/>
                            <a:ext cx="1188720" cy="1019062"/>
                          </a:xfrm>
                          <a:prstGeom prst="rect">
                            <a:avLst/>
                          </a:prstGeom>
                          <a:ln>
                            <a:noFill/>
                          </a:ln>
                          <a:extLst>
                            <a:ext uri="{53640926-AAD7-44D8-BBD7-CCE9431645EC}">
                              <a14:shadowObscured xmlns:a14="http://schemas.microsoft.com/office/drawing/2010/main"/>
                            </a:ext>
                          </a:extLst>
                        </pic:spPr>
                      </pic:pic>
                    </a:graphicData>
                  </a:graphic>
                </wp:inline>
              </w:drawing>
            </w:r>
          </w:p>
        </w:tc>
        <w:tc>
          <w:tcPr>
            <w:tcW w:w="3210" w:type="dxa"/>
            <w:vMerge w:val="restart"/>
          </w:tcPr>
          <w:p w:rsidR="009A4201" w:rsidRPr="0022415B" w:rsidRDefault="009A4201" w:rsidP="00AE782B">
            <w:pPr>
              <w:spacing w:before="120"/>
              <w:jc w:val="center"/>
              <w:rPr>
                <w:i/>
              </w:rPr>
            </w:pPr>
            <w:r w:rsidRPr="0022415B">
              <w:rPr>
                <w:b/>
                <w:u w:val="single"/>
              </w:rPr>
              <w:t xml:space="preserve">Présentoir constitué d’un quart </w:t>
            </w:r>
            <w:r w:rsidR="00010533">
              <w:rPr>
                <w:b/>
                <w:u w:val="single"/>
              </w:rPr>
              <w:br/>
            </w:r>
            <w:r w:rsidRPr="0022415B">
              <w:rPr>
                <w:b/>
                <w:u w:val="single"/>
              </w:rPr>
              <w:t>de palette</w:t>
            </w:r>
          </w:p>
          <w:p w:rsidR="009A4201" w:rsidRPr="0022415B" w:rsidRDefault="009A4201" w:rsidP="00AE782B">
            <w:pPr>
              <w:spacing w:before="120"/>
              <w:jc w:val="center"/>
            </w:pPr>
            <w:r w:rsidRPr="0022415B">
              <w:rPr>
                <w:i/>
              </w:rPr>
              <w:object w:dxaOrig="2808" w:dyaOrig="5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255.75pt" o:ole="">
                  <v:imagedata r:id="rId11" o:title=""/>
                </v:shape>
                <o:OLEObject Type="Embed" ProgID="Unknown" ShapeID="_x0000_i1025" DrawAspect="Content" ObjectID="_1595060985" r:id="rId12"/>
              </w:object>
            </w:r>
          </w:p>
        </w:tc>
      </w:tr>
      <w:tr w:rsidR="009A4201" w:rsidRPr="0022415B" w:rsidTr="00AE782B">
        <w:tc>
          <w:tcPr>
            <w:tcW w:w="3209" w:type="dxa"/>
            <w:vMerge/>
          </w:tcPr>
          <w:p w:rsidR="009A4201" w:rsidRPr="0022415B" w:rsidRDefault="009A4201" w:rsidP="00AE782B">
            <w:pPr>
              <w:spacing w:before="120" w:after="120"/>
            </w:pPr>
          </w:p>
        </w:tc>
        <w:tc>
          <w:tcPr>
            <w:tcW w:w="3210" w:type="dxa"/>
            <w:gridSpan w:val="2"/>
          </w:tcPr>
          <w:p w:rsidR="009A4201" w:rsidRPr="0022415B" w:rsidRDefault="009A4201" w:rsidP="00AE782B">
            <w:pPr>
              <w:spacing w:before="120"/>
              <w:jc w:val="center"/>
              <w:rPr>
                <w:i/>
              </w:rPr>
            </w:pPr>
            <w:r w:rsidRPr="0022415B">
              <w:rPr>
                <w:i/>
              </w:rPr>
              <w:t xml:space="preserve">Au moment du déballage </w:t>
            </w:r>
          </w:p>
          <w:p w:rsidR="009A4201" w:rsidRPr="0022415B" w:rsidRDefault="009A4201" w:rsidP="00AE782B">
            <w:pPr>
              <w:jc w:val="center"/>
            </w:pPr>
            <w:r w:rsidRPr="0022415B">
              <w:rPr>
                <w:i/>
                <w:noProof/>
                <w:lang w:eastAsia="fr-CH"/>
              </w:rPr>
              <w:drawing>
                <wp:inline distT="0" distB="0" distL="0" distR="0" wp14:anchorId="623A5BF8" wp14:editId="73E72A9B">
                  <wp:extent cx="1188720" cy="922474"/>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3" cstate="print">
                            <a:extLst>
                              <a:ext uri="{BEBA8EAE-BF5A-486C-A8C5-ECC9F3942E4B}">
                                <a14:imgProps xmlns:a14="http://schemas.microsoft.com/office/drawing/2010/main">
                                  <a14:imgLayer r:embed="rId14">
                                    <a14:imgEffect>
                                      <a14:backgroundRemoval t="0" b="99354" l="9950" r="89914">
                                        <a14:foregroundMark x1="25988" y1="2262" x2="29850" y2="15590"/>
                                        <a14:foregroundMark x1="65607" y1="4847" x2="60700" y2="20759"/>
                                        <a14:foregroundMark x1="71468" y1="39984" x2="72194" y2="43861"/>
                                        <a14:foregroundMark x1="40073" y1="39984" x2="36574" y2="44507"/>
                                        <a14:foregroundMark x1="25988" y1="57189" x2="21808" y2="62682"/>
                                        <a14:foregroundMark x1="17219" y1="41922" x2="17219" y2="49031"/>
                                      </a14:backgroundRemoval>
                                    </a14:imgEffect>
                                  </a14:imgLayer>
                                </a14:imgProps>
                              </a:ext>
                              <a:ext uri="{28A0092B-C50C-407E-A947-70E740481C1C}">
                                <a14:useLocalDpi xmlns:a14="http://schemas.microsoft.com/office/drawing/2010/main" val="0"/>
                              </a:ext>
                            </a:extLst>
                          </a:blip>
                          <a:srcRect l="9064" t="948" r="18451" b="-948"/>
                          <a:stretch/>
                        </pic:blipFill>
                        <pic:spPr bwMode="auto">
                          <a:xfrm>
                            <a:off x="0" y="0"/>
                            <a:ext cx="1188720" cy="922474"/>
                          </a:xfrm>
                          <a:prstGeom prst="rect">
                            <a:avLst/>
                          </a:prstGeom>
                          <a:ln>
                            <a:noFill/>
                          </a:ln>
                          <a:extLst>
                            <a:ext uri="{53640926-AAD7-44D8-BBD7-CCE9431645EC}">
                              <a14:shadowObscured xmlns:a14="http://schemas.microsoft.com/office/drawing/2010/main"/>
                            </a:ext>
                          </a:extLst>
                        </pic:spPr>
                      </pic:pic>
                    </a:graphicData>
                  </a:graphic>
                </wp:inline>
              </w:drawing>
            </w:r>
          </w:p>
        </w:tc>
        <w:tc>
          <w:tcPr>
            <w:tcW w:w="3210" w:type="dxa"/>
            <w:vMerge/>
          </w:tcPr>
          <w:p w:rsidR="009A4201" w:rsidRPr="0022415B" w:rsidRDefault="009A4201" w:rsidP="00AE782B">
            <w:pPr>
              <w:spacing w:before="120" w:after="120"/>
            </w:pPr>
          </w:p>
        </w:tc>
      </w:tr>
      <w:tr w:rsidR="009A4201" w:rsidRPr="0022415B" w:rsidTr="00AE782B">
        <w:tc>
          <w:tcPr>
            <w:tcW w:w="3209" w:type="dxa"/>
            <w:vMerge/>
          </w:tcPr>
          <w:p w:rsidR="009A4201" w:rsidRPr="0022415B" w:rsidRDefault="009A4201" w:rsidP="00AE782B">
            <w:pPr>
              <w:spacing w:before="120" w:after="120"/>
            </w:pPr>
          </w:p>
        </w:tc>
        <w:tc>
          <w:tcPr>
            <w:tcW w:w="3210" w:type="dxa"/>
            <w:gridSpan w:val="2"/>
          </w:tcPr>
          <w:p w:rsidR="009A4201" w:rsidRPr="0022415B" w:rsidRDefault="009A4201" w:rsidP="00010533">
            <w:pPr>
              <w:spacing w:before="120"/>
              <w:jc w:val="center"/>
              <w:rPr>
                <w:i/>
              </w:rPr>
            </w:pPr>
            <w:r w:rsidRPr="0022415B">
              <w:rPr>
                <w:i/>
              </w:rPr>
              <w:t>Tel qu’il se présente en magasin</w:t>
            </w:r>
          </w:p>
          <w:p w:rsidR="009A4201" w:rsidRPr="0022415B" w:rsidRDefault="009A4201" w:rsidP="00AE782B">
            <w:pPr>
              <w:jc w:val="center"/>
              <w:rPr>
                <w:i/>
              </w:rPr>
            </w:pPr>
            <w:r w:rsidRPr="0022415B">
              <w:rPr>
                <w:i/>
                <w:noProof/>
                <w:lang w:eastAsia="fr-CH"/>
              </w:rPr>
              <w:drawing>
                <wp:inline distT="0" distB="0" distL="0" distR="0" wp14:anchorId="065A83A2" wp14:editId="59789320">
                  <wp:extent cx="1188720" cy="1079558"/>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212" b="97334" l="9950" r="89914">
                                        <a14:foregroundMark x1="21308" y1="8401" x2="27533" y2="18174"/>
                                        <a14:foregroundMark x1="36302" y1="39257" x2="38846" y2="34733"/>
                                        <a14:foregroundMark x1="52385" y1="42165" x2="52930" y2="36995"/>
                                        <a14:foregroundMark x1="51113" y1="31745" x2="51840" y2="29806"/>
                                        <a14:foregroundMark x1="64607" y1="42811" x2="67878" y2="36026"/>
                                        <a14:foregroundMark x1="69741" y1="9370" x2="69923" y2="18498"/>
                                        <a14:foregroundMark x1="17492" y1="69467" x2="18946" y2="56462"/>
                                        <a14:foregroundMark x1="17856" y1="59370" x2="17856" y2="46688"/>
                                        <a14:foregroundMark x1="23535" y1="8401" x2="25352" y2="11309"/>
                                        <a14:foregroundMark x1="23535" y1="7431" x2="25897" y2="10339"/>
                                        <a14:foregroundMark x1="72649" y1="46688" x2="73557" y2="73667"/>
                                        <a14:foregroundMark x1="18048" y1="21350" x2="16731" y2="31129"/>
                                        <a14:backgroundMark x1="25352" y1="6462" x2="63517" y2="10016"/>
                                        <a14:backgroundMark x1="66606" y1="6785" x2="67878" y2="5170"/>
                                      </a14:backgroundRemoval>
                                    </a14:imgEffect>
                                  </a14:imgLayer>
                                </a14:imgProps>
                              </a:ext>
                              <a:ext uri="{28A0092B-C50C-407E-A947-70E740481C1C}">
                                <a14:useLocalDpi xmlns:a14="http://schemas.microsoft.com/office/drawing/2010/main" val="0"/>
                              </a:ext>
                            </a:extLst>
                          </a:blip>
                          <a:srcRect l="14389" t="1560" r="23674" b="-1560"/>
                          <a:stretch/>
                        </pic:blipFill>
                        <pic:spPr bwMode="auto">
                          <a:xfrm>
                            <a:off x="0" y="0"/>
                            <a:ext cx="1188720" cy="1079558"/>
                          </a:xfrm>
                          <a:prstGeom prst="rect">
                            <a:avLst/>
                          </a:prstGeom>
                          <a:ln>
                            <a:noFill/>
                          </a:ln>
                          <a:extLst>
                            <a:ext uri="{53640926-AAD7-44D8-BBD7-CCE9431645EC}">
                              <a14:shadowObscured xmlns:a14="http://schemas.microsoft.com/office/drawing/2010/main"/>
                            </a:ext>
                          </a:extLst>
                        </pic:spPr>
                      </pic:pic>
                    </a:graphicData>
                  </a:graphic>
                </wp:inline>
              </w:drawing>
            </w:r>
          </w:p>
        </w:tc>
        <w:tc>
          <w:tcPr>
            <w:tcW w:w="3210" w:type="dxa"/>
            <w:vMerge/>
          </w:tcPr>
          <w:p w:rsidR="009A4201" w:rsidRPr="0022415B" w:rsidRDefault="009A4201" w:rsidP="00AE782B">
            <w:pPr>
              <w:spacing w:before="120" w:after="120"/>
            </w:pPr>
          </w:p>
        </w:tc>
      </w:tr>
      <w:tr w:rsidR="009A4201" w:rsidRPr="0022415B" w:rsidTr="00AE782B">
        <w:tc>
          <w:tcPr>
            <w:tcW w:w="4814" w:type="dxa"/>
            <w:gridSpan w:val="2"/>
          </w:tcPr>
          <w:p w:rsidR="009A4201" w:rsidRPr="0022415B" w:rsidRDefault="009A4201" w:rsidP="00AE782B">
            <w:pPr>
              <w:spacing w:before="120" w:after="120"/>
              <w:jc w:val="center"/>
              <w:rPr>
                <w:b/>
                <w:u w:val="single"/>
              </w:rPr>
            </w:pPr>
            <w:r w:rsidRPr="0022415B">
              <w:rPr>
                <w:b/>
                <w:u w:val="single"/>
              </w:rPr>
              <w:t xml:space="preserve">Présentoir constitué d’une demi-palette </w:t>
            </w:r>
          </w:p>
          <w:p w:rsidR="009A4201" w:rsidRPr="0022415B" w:rsidRDefault="009A4201" w:rsidP="00AE782B">
            <w:pPr>
              <w:spacing w:before="120" w:after="120"/>
              <w:jc w:val="center"/>
            </w:pPr>
            <w:r w:rsidRPr="0022415B">
              <w:rPr>
                <w:noProof/>
                <w:lang w:eastAsia="fr-CH"/>
              </w:rPr>
              <w:drawing>
                <wp:inline distT="0" distB="0" distL="0" distR="0" wp14:anchorId="01B11216" wp14:editId="010F9935">
                  <wp:extent cx="2040467" cy="2574722"/>
                  <wp:effectExtent l="0" t="0" r="0" b="0"/>
                  <wp:docPr id="26" name="Picture 15" descr="FABL_HP42_T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FABL_HP42_TIDER.jpg"/>
                          <pic:cNvPicPr>
                            <a:picLocks noChangeAspect="1"/>
                          </pic:cNvPicPr>
                        </pic:nvPicPr>
                        <pic:blipFill rotWithShape="1">
                          <a:blip r:embed="rId17"/>
                          <a:srcRect l="11365" t="2368" r="13576" b="2919"/>
                          <a:stretch/>
                        </pic:blipFill>
                        <pic:spPr bwMode="auto">
                          <a:xfrm>
                            <a:off x="0" y="0"/>
                            <a:ext cx="2046289" cy="2582068"/>
                          </a:xfrm>
                          <a:prstGeom prst="rect">
                            <a:avLst/>
                          </a:prstGeom>
                          <a:ln>
                            <a:noFill/>
                          </a:ln>
                          <a:extLst>
                            <a:ext uri="{53640926-AAD7-44D8-BBD7-CCE9431645EC}">
                              <a14:shadowObscured xmlns:a14="http://schemas.microsoft.com/office/drawing/2010/main"/>
                            </a:ext>
                          </a:extLst>
                        </pic:spPr>
                      </pic:pic>
                    </a:graphicData>
                  </a:graphic>
                </wp:inline>
              </w:drawing>
            </w:r>
          </w:p>
        </w:tc>
        <w:tc>
          <w:tcPr>
            <w:tcW w:w="4815" w:type="dxa"/>
            <w:gridSpan w:val="2"/>
          </w:tcPr>
          <w:p w:rsidR="009A4201" w:rsidRPr="0022415B" w:rsidRDefault="009A4201" w:rsidP="00AE782B">
            <w:pPr>
              <w:spacing w:before="120" w:after="120"/>
              <w:jc w:val="center"/>
              <w:rPr>
                <w:b/>
                <w:u w:val="single"/>
              </w:rPr>
            </w:pPr>
            <w:r w:rsidRPr="0022415B">
              <w:rPr>
                <w:b/>
                <w:u w:val="single"/>
              </w:rPr>
              <w:t xml:space="preserve">Présentoir constitué d’une palette </w:t>
            </w:r>
            <w:r>
              <w:rPr>
                <w:b/>
                <w:u w:val="single"/>
              </w:rPr>
              <w:t xml:space="preserve">entière </w:t>
            </w:r>
          </w:p>
          <w:p w:rsidR="009A4201" w:rsidRPr="0022415B" w:rsidRDefault="009A4201" w:rsidP="00AE782B">
            <w:pPr>
              <w:spacing w:before="120" w:after="120"/>
              <w:jc w:val="center"/>
              <w:rPr>
                <w:b/>
                <w:u w:val="single"/>
              </w:rPr>
            </w:pPr>
            <w:r w:rsidRPr="0022415B">
              <w:rPr>
                <w:noProof/>
                <w:lang w:eastAsia="fr-CH"/>
              </w:rPr>
              <w:drawing>
                <wp:inline distT="0" distB="0" distL="0" distR="0" wp14:anchorId="4E75371C" wp14:editId="01D00822">
                  <wp:extent cx="2420234" cy="24307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5168" cy="2435735"/>
                          </a:xfrm>
                          <a:prstGeom prst="rect">
                            <a:avLst/>
                          </a:prstGeom>
                          <a:noFill/>
                          <a:ln>
                            <a:noFill/>
                          </a:ln>
                        </pic:spPr>
                      </pic:pic>
                    </a:graphicData>
                  </a:graphic>
                </wp:inline>
              </w:drawing>
            </w:r>
          </w:p>
        </w:tc>
      </w:tr>
    </w:tbl>
    <w:p w:rsidR="00EE4B02" w:rsidRPr="00EE4B02" w:rsidRDefault="00EE4B02" w:rsidP="00294061">
      <w:pPr>
        <w:pStyle w:val="SingleTxtG"/>
        <w:ind w:firstLine="567"/>
        <w:rPr>
          <w:lang w:val="fr-FR"/>
        </w:rPr>
      </w:pPr>
      <w:r w:rsidRPr="00EE4B02">
        <w:rPr>
          <w:lang w:val="fr-FR"/>
        </w:rPr>
        <w:lastRenderedPageBreak/>
        <w:t>Tous les produits de consommation peuvent être présentés sous cette forme, notamment</w:t>
      </w:r>
      <w:r w:rsidR="00B91ED7">
        <w:rPr>
          <w:lang w:val="fr-FR"/>
        </w:rPr>
        <w:t xml:space="preserve"> </w:t>
      </w:r>
      <w:r w:rsidRPr="00010533">
        <w:rPr>
          <w:spacing w:val="-2"/>
          <w:lang w:val="fr-FR"/>
        </w:rPr>
        <w:t>ceux qui sont classés parmi les substances/marchandises dangereuses et</w:t>
      </w:r>
      <w:r w:rsidR="00B91ED7" w:rsidRPr="00010533">
        <w:rPr>
          <w:spacing w:val="-2"/>
          <w:lang w:val="fr-FR"/>
        </w:rPr>
        <w:t xml:space="preserve"> </w:t>
      </w:r>
      <w:r w:rsidRPr="00010533">
        <w:rPr>
          <w:spacing w:val="-2"/>
          <w:lang w:val="fr-FR"/>
        </w:rPr>
        <w:t>auxquels</w:t>
      </w:r>
      <w:r w:rsidRPr="00EE4B02">
        <w:rPr>
          <w:lang w:val="fr-FR"/>
        </w:rPr>
        <w:t xml:space="preserve"> s’applique la réglementation pertinente. Des exemples de marchandises dangereuses </w:t>
      </w:r>
      <w:r w:rsidRPr="00010533">
        <w:t>composées</w:t>
      </w:r>
      <w:r w:rsidRPr="00EE4B02">
        <w:rPr>
          <w:lang w:val="fr-FR"/>
        </w:rPr>
        <w:t xml:space="preserve"> de produits réglementés</w:t>
      </w:r>
      <w:r w:rsidR="00B91ED7">
        <w:rPr>
          <w:lang w:val="fr-FR"/>
        </w:rPr>
        <w:t xml:space="preserve"> </w:t>
      </w:r>
      <w:r w:rsidRPr="00EE4B02">
        <w:rPr>
          <w:lang w:val="fr-FR"/>
        </w:rPr>
        <w:t>fabriquées par certains de nos membres sont présentés</w:t>
      </w:r>
      <w:r w:rsidR="00010533">
        <w:rPr>
          <w:lang w:val="fr-FR"/>
        </w:rPr>
        <w:t xml:space="preserve"> ci-après.</w:t>
      </w:r>
    </w:p>
    <w:tbl>
      <w:tblPr>
        <w:tblStyle w:val="TableGrid"/>
        <w:tblW w:w="7371" w:type="dxa"/>
        <w:jc w:val="center"/>
        <w:tblLook w:val="04A0" w:firstRow="1" w:lastRow="0" w:firstColumn="1" w:lastColumn="0" w:noHBand="0" w:noVBand="1"/>
      </w:tblPr>
      <w:tblGrid>
        <w:gridCol w:w="3403"/>
        <w:gridCol w:w="3968"/>
      </w:tblGrid>
      <w:tr w:rsidR="009A4201" w:rsidRPr="0022415B" w:rsidTr="00F54911">
        <w:trPr>
          <w:jc w:val="center"/>
        </w:trPr>
        <w:tc>
          <w:tcPr>
            <w:tcW w:w="3403" w:type="dxa"/>
            <w:shd w:val="clear" w:color="auto" w:fill="BFBFBF" w:themeFill="background1" w:themeFillShade="BF"/>
          </w:tcPr>
          <w:p w:rsidR="009A4201" w:rsidRPr="0022415B" w:rsidRDefault="009A4201" w:rsidP="00AE782B">
            <w:pPr>
              <w:spacing w:before="120" w:after="120"/>
              <w:jc w:val="center"/>
              <w:rPr>
                <w:b/>
              </w:rPr>
            </w:pPr>
            <w:r w:rsidRPr="0022415B">
              <w:rPr>
                <w:b/>
              </w:rPr>
              <w:t>Types de marchandises dangereuses</w:t>
            </w:r>
          </w:p>
        </w:tc>
        <w:tc>
          <w:tcPr>
            <w:tcW w:w="3968" w:type="dxa"/>
            <w:shd w:val="clear" w:color="auto" w:fill="BFBFBF" w:themeFill="background1" w:themeFillShade="BF"/>
          </w:tcPr>
          <w:p w:rsidR="009A4201" w:rsidRPr="0022415B" w:rsidRDefault="009A4201" w:rsidP="00AE782B">
            <w:pPr>
              <w:spacing w:before="120" w:after="120"/>
              <w:jc w:val="center"/>
              <w:rPr>
                <w:b/>
              </w:rPr>
            </w:pPr>
            <w:r w:rsidRPr="0022415B">
              <w:rPr>
                <w:b/>
              </w:rPr>
              <w:t>Exemples</w:t>
            </w:r>
          </w:p>
        </w:tc>
      </w:tr>
      <w:tr w:rsidR="009A4201" w:rsidRPr="0022415B" w:rsidTr="00F54911">
        <w:trPr>
          <w:jc w:val="center"/>
        </w:trPr>
        <w:tc>
          <w:tcPr>
            <w:tcW w:w="3403" w:type="dxa"/>
          </w:tcPr>
          <w:p w:rsidR="009A4201" w:rsidRPr="0022415B" w:rsidRDefault="009A4201" w:rsidP="00010533">
            <w:pPr>
              <w:spacing w:before="40" w:after="40"/>
              <w:ind w:left="113" w:right="113"/>
            </w:pPr>
            <w:r w:rsidRPr="0022415B">
              <w:t>Aérosols inflammables et ininflammables (boîte de plastique ou de métal)</w:t>
            </w:r>
          </w:p>
        </w:tc>
        <w:tc>
          <w:tcPr>
            <w:tcW w:w="3968" w:type="dxa"/>
          </w:tcPr>
          <w:p w:rsidR="009A4201" w:rsidRPr="0022415B" w:rsidRDefault="009A4201" w:rsidP="00010533">
            <w:pPr>
              <w:spacing w:before="40" w:after="40"/>
              <w:ind w:left="113" w:right="113"/>
            </w:pPr>
            <w:r w:rsidRPr="0022415B">
              <w:t xml:space="preserve">Désodorisants, laques capillaires, mousses </w:t>
            </w:r>
            <w:r w:rsidR="00010533">
              <w:br/>
            </w:r>
            <w:r w:rsidRPr="0022415B">
              <w:t xml:space="preserve">à raser, agents </w:t>
            </w:r>
            <w:proofErr w:type="spellStart"/>
            <w:r w:rsidRPr="0022415B">
              <w:t>antitranspiration</w:t>
            </w:r>
            <w:proofErr w:type="spellEnd"/>
          </w:p>
        </w:tc>
      </w:tr>
      <w:tr w:rsidR="009A4201" w:rsidRPr="0022415B" w:rsidTr="00F54911">
        <w:trPr>
          <w:jc w:val="center"/>
        </w:trPr>
        <w:tc>
          <w:tcPr>
            <w:tcW w:w="3403" w:type="dxa"/>
          </w:tcPr>
          <w:p w:rsidR="009A4201" w:rsidRPr="0022415B" w:rsidRDefault="009A4201" w:rsidP="00F54911">
            <w:pPr>
              <w:spacing w:before="40" w:after="40"/>
              <w:ind w:left="113" w:right="113"/>
            </w:pPr>
            <w:r w:rsidRPr="0022415B">
              <w:t>Liquides inflammables</w:t>
            </w:r>
            <w:r w:rsidR="00F54911">
              <w:t xml:space="preserve"> </w:t>
            </w:r>
            <w:r w:rsidRPr="0022415B">
              <w:t xml:space="preserve">(contenants </w:t>
            </w:r>
            <w:r w:rsidR="00F54911">
              <w:br/>
            </w:r>
            <w:r w:rsidRPr="0022415B">
              <w:t>en verre ou en plastique)</w:t>
            </w:r>
          </w:p>
        </w:tc>
        <w:tc>
          <w:tcPr>
            <w:tcW w:w="3968" w:type="dxa"/>
          </w:tcPr>
          <w:p w:rsidR="009A4201" w:rsidRPr="0022415B" w:rsidRDefault="009A4201" w:rsidP="00010533">
            <w:pPr>
              <w:spacing w:before="40" w:after="40"/>
              <w:ind w:left="113" w:right="113"/>
            </w:pPr>
            <w:r w:rsidRPr="0022415B">
              <w:t>Produits de coiffage, lotions après rasage, lotion tonique pour la peau, cosmétiques</w:t>
            </w:r>
          </w:p>
        </w:tc>
      </w:tr>
      <w:tr w:rsidR="009A4201" w:rsidRPr="0022415B" w:rsidTr="00F54911">
        <w:trPr>
          <w:jc w:val="center"/>
        </w:trPr>
        <w:tc>
          <w:tcPr>
            <w:tcW w:w="3403" w:type="dxa"/>
          </w:tcPr>
          <w:p w:rsidR="009A4201" w:rsidRPr="0022415B" w:rsidRDefault="009A4201" w:rsidP="00010533">
            <w:pPr>
              <w:spacing w:before="40" w:after="40"/>
              <w:ind w:left="113" w:right="113"/>
            </w:pPr>
            <w:r w:rsidRPr="0022415B">
              <w:t>Matières solides inflammables</w:t>
            </w:r>
          </w:p>
        </w:tc>
        <w:tc>
          <w:tcPr>
            <w:tcW w:w="3968" w:type="dxa"/>
          </w:tcPr>
          <w:p w:rsidR="009A4201" w:rsidRPr="0022415B" w:rsidRDefault="009A4201" w:rsidP="00010533">
            <w:pPr>
              <w:spacing w:before="40" w:after="40"/>
              <w:ind w:left="113" w:right="113"/>
            </w:pPr>
            <w:r w:rsidRPr="0022415B">
              <w:t>Déodorant en bâton</w:t>
            </w:r>
          </w:p>
        </w:tc>
      </w:tr>
      <w:tr w:rsidR="009A4201" w:rsidRPr="0022415B" w:rsidTr="00F54911">
        <w:trPr>
          <w:jc w:val="center"/>
        </w:trPr>
        <w:tc>
          <w:tcPr>
            <w:tcW w:w="3403" w:type="dxa"/>
          </w:tcPr>
          <w:p w:rsidR="009A4201" w:rsidRPr="0022415B" w:rsidRDefault="009A4201" w:rsidP="00010533">
            <w:pPr>
              <w:spacing w:before="40" w:after="40"/>
              <w:ind w:left="113" w:right="113"/>
            </w:pPr>
            <w:r>
              <w:t>Matières c</w:t>
            </w:r>
            <w:r w:rsidRPr="0022415B">
              <w:t>omburant</w:t>
            </w:r>
            <w:r>
              <w:t>e</w:t>
            </w:r>
            <w:r w:rsidRPr="0022415B">
              <w:t>s</w:t>
            </w:r>
          </w:p>
        </w:tc>
        <w:tc>
          <w:tcPr>
            <w:tcW w:w="3968" w:type="dxa"/>
          </w:tcPr>
          <w:p w:rsidR="009A4201" w:rsidRPr="0022415B" w:rsidRDefault="009A4201" w:rsidP="00010533">
            <w:pPr>
              <w:spacing w:before="40" w:after="40"/>
              <w:ind w:left="113" w:right="113"/>
            </w:pPr>
            <w:r w:rsidRPr="0022415B">
              <w:t>Additifs de blanchissage du linge</w:t>
            </w:r>
          </w:p>
        </w:tc>
      </w:tr>
      <w:tr w:rsidR="009A4201" w:rsidRPr="0022415B" w:rsidTr="00F54911">
        <w:trPr>
          <w:jc w:val="center"/>
        </w:trPr>
        <w:tc>
          <w:tcPr>
            <w:tcW w:w="3403" w:type="dxa"/>
          </w:tcPr>
          <w:p w:rsidR="009A4201" w:rsidRPr="0022415B" w:rsidRDefault="009A4201" w:rsidP="00010533">
            <w:pPr>
              <w:spacing w:before="40" w:after="40"/>
              <w:ind w:left="113" w:right="113"/>
            </w:pPr>
            <w:r w:rsidRPr="0022415B">
              <w:t>Matières corrosives</w:t>
            </w:r>
          </w:p>
        </w:tc>
        <w:tc>
          <w:tcPr>
            <w:tcW w:w="3968" w:type="dxa"/>
          </w:tcPr>
          <w:p w:rsidR="009A4201" w:rsidRPr="0022415B" w:rsidRDefault="009A4201" w:rsidP="00010533">
            <w:pPr>
              <w:spacing w:before="40" w:after="40"/>
              <w:ind w:left="113" w:right="113"/>
            </w:pPr>
            <w:r w:rsidRPr="0022415B">
              <w:t>Gels détergents pour lave-vaisselle automatique, additifs de blanchissage du linge</w:t>
            </w:r>
          </w:p>
        </w:tc>
      </w:tr>
      <w:tr w:rsidR="009A4201" w:rsidRPr="0022415B" w:rsidTr="00F54911">
        <w:trPr>
          <w:jc w:val="center"/>
        </w:trPr>
        <w:tc>
          <w:tcPr>
            <w:tcW w:w="3403" w:type="dxa"/>
          </w:tcPr>
          <w:p w:rsidR="009A4201" w:rsidRPr="0022415B" w:rsidRDefault="009A4201" w:rsidP="00010533">
            <w:pPr>
              <w:spacing w:before="40" w:after="40"/>
              <w:ind w:left="113" w:right="113"/>
            </w:pPr>
            <w:r w:rsidRPr="0022415B">
              <w:t xml:space="preserve">Appareils alimentés par batterie </w:t>
            </w:r>
            <w:r w:rsidR="00010533">
              <w:br/>
            </w:r>
            <w:r w:rsidRPr="0022415B">
              <w:t xml:space="preserve">au lithium </w:t>
            </w:r>
          </w:p>
        </w:tc>
        <w:tc>
          <w:tcPr>
            <w:tcW w:w="3968" w:type="dxa"/>
          </w:tcPr>
          <w:p w:rsidR="009A4201" w:rsidRPr="0022415B" w:rsidRDefault="009A4201" w:rsidP="00010533">
            <w:pPr>
              <w:spacing w:before="40" w:after="40"/>
              <w:ind w:left="113" w:right="113"/>
            </w:pPr>
            <w:r w:rsidRPr="0022415B">
              <w:t xml:space="preserve">Rasoirs et brosses à dents rechargeables </w:t>
            </w:r>
          </w:p>
        </w:tc>
      </w:tr>
      <w:tr w:rsidR="009A4201" w:rsidRPr="0022415B" w:rsidTr="00F54911">
        <w:trPr>
          <w:jc w:val="center"/>
        </w:trPr>
        <w:tc>
          <w:tcPr>
            <w:tcW w:w="3403" w:type="dxa"/>
          </w:tcPr>
          <w:p w:rsidR="009A4201" w:rsidRPr="0022415B" w:rsidRDefault="009A4201" w:rsidP="00010533">
            <w:pPr>
              <w:spacing w:before="40" w:after="40"/>
              <w:ind w:left="113" w:right="113"/>
            </w:pPr>
            <w:r w:rsidRPr="0022415B">
              <w:t>Matières dangereuses pour l’environnement</w:t>
            </w:r>
          </w:p>
        </w:tc>
        <w:tc>
          <w:tcPr>
            <w:tcW w:w="3968" w:type="dxa"/>
          </w:tcPr>
          <w:p w:rsidR="009A4201" w:rsidRPr="0022415B" w:rsidRDefault="009A4201" w:rsidP="00010533">
            <w:pPr>
              <w:spacing w:before="40" w:after="40"/>
              <w:ind w:left="113" w:right="113"/>
            </w:pPr>
            <w:r w:rsidRPr="0022415B">
              <w:t>Désinfectants, shampoings antipelliculaires, désodorisants</w:t>
            </w:r>
          </w:p>
        </w:tc>
      </w:tr>
    </w:tbl>
    <w:p w:rsidR="00EE4B02" w:rsidRPr="00EE4B02" w:rsidRDefault="00EE4B02" w:rsidP="00010533">
      <w:pPr>
        <w:pStyle w:val="SingleTxtG"/>
        <w:spacing w:before="120"/>
        <w:ind w:firstLine="567"/>
        <w:rPr>
          <w:lang w:val="fr-FR"/>
        </w:rPr>
      </w:pPr>
      <w:r w:rsidRPr="00EE4B02">
        <w:rPr>
          <w:lang w:val="fr-FR"/>
        </w:rPr>
        <w:t xml:space="preserve">Lorsqu’un colis </w:t>
      </w:r>
      <w:r w:rsidRPr="00010533">
        <w:t>prêt</w:t>
      </w:r>
      <w:r w:rsidRPr="00EE4B02">
        <w:rPr>
          <w:lang w:val="fr-FR"/>
        </w:rPr>
        <w:t xml:space="preserve"> à être transformé en présentoir contient des marchandises dangereuses composées de produits réglementés et a un poids brut supérieur à 30</w:t>
      </w:r>
      <w:r w:rsidR="00F54911">
        <w:rPr>
          <w:lang w:val="fr-FR"/>
        </w:rPr>
        <w:t> </w:t>
      </w:r>
      <w:r w:rsidRPr="00EE4B02">
        <w:rPr>
          <w:lang w:val="fr-FR"/>
        </w:rPr>
        <w:t>kg, il est expédié conformément aux conditions prévues dans la disposition 49 du Code de réglementation fédérale 173.156</w:t>
      </w:r>
      <w:r w:rsidR="00F54911">
        <w:rPr>
          <w:lang w:val="fr-FR"/>
        </w:rPr>
        <w:t> </w:t>
      </w:r>
      <w:r w:rsidRPr="00EE4B02">
        <w:rPr>
          <w:lang w:val="fr-FR"/>
        </w:rPr>
        <w:t>c) [Nota</w:t>
      </w:r>
      <w:r w:rsidR="00B91ED7">
        <w:rPr>
          <w:lang w:val="fr-FR"/>
        </w:rPr>
        <w:t> </w:t>
      </w:r>
      <w:r w:rsidRPr="00EE4B02">
        <w:rPr>
          <w:lang w:val="fr-FR"/>
        </w:rPr>
        <w:t>: En février 2016, la PHMSA a incorporé dans le Règlement concernant les matières dangereuses des dispositions autorisant l’octroi de permis multiples et de longue durée. Les dispositions relatives au permis spécial 11458 ont été incorporées au paragraphe 173.156</w:t>
      </w:r>
      <w:r w:rsidR="00F54911">
        <w:rPr>
          <w:lang w:val="fr-FR"/>
        </w:rPr>
        <w:t> </w:t>
      </w:r>
      <w:r w:rsidRPr="00EE4B02">
        <w:rPr>
          <w:lang w:val="fr-FR"/>
        </w:rPr>
        <w:t>c)]. Les prescriptions particulières concernant l’expédition d’emballages de présentation sont les suivantes</w:t>
      </w:r>
      <w:r w:rsidR="00B91ED7">
        <w:rPr>
          <w:lang w:val="fr-FR"/>
        </w:rPr>
        <w:t> </w:t>
      </w:r>
      <w:r w:rsidRPr="00EE4B02">
        <w:rPr>
          <w:lang w:val="fr-FR"/>
        </w:rPr>
        <w:t>:</w:t>
      </w:r>
    </w:p>
    <w:p w:rsidR="00EE4B02" w:rsidRPr="00EE4B02" w:rsidRDefault="00EE4B02" w:rsidP="00EE4B02">
      <w:pPr>
        <w:pStyle w:val="SingleTxtG"/>
        <w:rPr>
          <w:lang w:val="fr-FR"/>
        </w:rPr>
      </w:pPr>
      <w:r w:rsidRPr="00EE4B02">
        <w:rPr>
          <w:lang w:val="fr-FR"/>
        </w:rPr>
        <w:t>1.</w:t>
      </w:r>
      <w:r w:rsidRPr="00EE4B02">
        <w:rPr>
          <w:lang w:val="fr-FR"/>
        </w:rPr>
        <w:tab/>
        <w:t>Les emballages intérieurs doivent être conformes aux prescriptions relatives aux quantités limitées</w:t>
      </w:r>
      <w:r w:rsidR="00F54911">
        <w:rPr>
          <w:lang w:val="fr-FR"/>
        </w:rPr>
        <w:t>.</w:t>
      </w:r>
    </w:p>
    <w:p w:rsidR="00EE4B02" w:rsidRPr="00EE4B02" w:rsidRDefault="00EE4B02" w:rsidP="00EE4B02">
      <w:pPr>
        <w:pStyle w:val="SingleTxtG"/>
        <w:rPr>
          <w:lang w:val="fr-FR"/>
        </w:rPr>
      </w:pPr>
      <w:r w:rsidRPr="00EE4B02">
        <w:rPr>
          <w:lang w:val="fr-FR"/>
        </w:rPr>
        <w:t>2.</w:t>
      </w:r>
      <w:r w:rsidRPr="00EE4B02">
        <w:rPr>
          <w:lang w:val="fr-FR"/>
        </w:rPr>
        <w:tab/>
        <w:t>Les produits doivent être placés dans des bacs</w:t>
      </w:r>
      <w:r w:rsidR="00B91ED7">
        <w:rPr>
          <w:lang w:val="fr-FR"/>
        </w:rPr>
        <w:t xml:space="preserve"> </w:t>
      </w:r>
      <w:r w:rsidRPr="00EE4B02">
        <w:rPr>
          <w:lang w:val="fr-FR"/>
        </w:rPr>
        <w:t>pour éviter tout mouvement des conteneurs individuels.</w:t>
      </w:r>
    </w:p>
    <w:p w:rsidR="00EE4B02" w:rsidRPr="00EE4B02" w:rsidRDefault="00EE4B02" w:rsidP="00EE4B02">
      <w:pPr>
        <w:pStyle w:val="SingleTxtG"/>
        <w:rPr>
          <w:lang w:val="fr-FR"/>
        </w:rPr>
      </w:pPr>
      <w:r w:rsidRPr="00EE4B02">
        <w:rPr>
          <w:lang w:val="fr-FR"/>
        </w:rPr>
        <w:t>3.</w:t>
      </w:r>
      <w:r w:rsidRPr="00EE4B02">
        <w:rPr>
          <w:lang w:val="fr-FR"/>
        </w:rPr>
        <w:tab/>
        <w:t xml:space="preserve">Les bacs doivent être empilés et recouverts d’une boîte en carton dur qui est fixée à la palette par des sangles de métal, de tissu ou de plastique afin de constituer une seule unité palettisée. </w:t>
      </w:r>
    </w:p>
    <w:p w:rsidR="00EE4B02" w:rsidRPr="00EE4B02" w:rsidRDefault="00EE4B02" w:rsidP="00EE4B02">
      <w:pPr>
        <w:pStyle w:val="SingleTxtG"/>
        <w:rPr>
          <w:lang w:val="fr-FR"/>
        </w:rPr>
      </w:pPr>
      <w:r w:rsidRPr="00EE4B02">
        <w:rPr>
          <w:lang w:val="fr-FR"/>
        </w:rPr>
        <w:t>4.</w:t>
      </w:r>
      <w:r w:rsidRPr="00EE4B02">
        <w:rPr>
          <w:lang w:val="fr-FR"/>
        </w:rPr>
        <w:tab/>
        <w:t>La quantité maximale nette de substances dangereuses contenue dans une unité palettisée doit être de 550 kg.</w:t>
      </w:r>
    </w:p>
    <w:p w:rsidR="00EE4B02" w:rsidRPr="00EE4B02" w:rsidRDefault="00EE4B02" w:rsidP="00EE4B02">
      <w:pPr>
        <w:pStyle w:val="SingleTxtG"/>
        <w:rPr>
          <w:lang w:val="fr-FR"/>
        </w:rPr>
      </w:pPr>
      <w:r w:rsidRPr="00EE4B02">
        <w:rPr>
          <w:lang w:val="fr-FR"/>
        </w:rPr>
        <w:t>5.</w:t>
      </w:r>
      <w:r w:rsidRPr="00EE4B02">
        <w:rPr>
          <w:lang w:val="fr-FR"/>
        </w:rPr>
        <w:tab/>
        <w:t>Une marque</w:t>
      </w:r>
      <w:r w:rsidR="00B91ED7">
        <w:rPr>
          <w:lang w:val="fr-FR"/>
        </w:rPr>
        <w:t xml:space="preserve"> </w:t>
      </w:r>
      <w:r w:rsidRPr="00EE4B02">
        <w:rPr>
          <w:lang w:val="fr-FR"/>
        </w:rPr>
        <w:t>portant les mots “Quantité limitée” doit être apposée sur l’extérieur de la boîte en carton dur.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tblGrid>
      <w:tr w:rsidR="009A4201" w:rsidRPr="0022415B" w:rsidTr="00AE782B">
        <w:trPr>
          <w:jc w:val="center"/>
        </w:trPr>
        <w:tc>
          <w:tcPr>
            <w:tcW w:w="7200" w:type="dxa"/>
          </w:tcPr>
          <w:p w:rsidR="009A4201" w:rsidRPr="0022415B" w:rsidRDefault="009A4201" w:rsidP="00AE782B">
            <w:pPr>
              <w:spacing w:before="120" w:after="120"/>
              <w:jc w:val="center"/>
            </w:pPr>
            <w:r w:rsidRPr="0022415B">
              <w:rPr>
                <w:noProof/>
                <w:lang w:eastAsia="fr-CH"/>
              </w:rPr>
              <w:lastRenderedPageBreak/>
              <w:drawing>
                <wp:inline distT="0" distB="0" distL="0" distR="0" wp14:anchorId="4B1C4F7D" wp14:editId="18225BBC">
                  <wp:extent cx="2369185" cy="2533015"/>
                  <wp:effectExtent l="0" t="0" r="0" b="635"/>
                  <wp:docPr id="29" name="Picture 29" descr="C:\Users\stokes.jh\AppData\Local\Microsoft\Windows\Temporary Internet Files\Content.Outlook\XTDTCX1J\Full pallet display short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stokes.jh\AppData\Local\Microsoft\Windows\Temporary Internet Files\Content.Outlook\XTDTCX1J\Full pallet display short (00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803" t="1709" r="16512" b="7501"/>
                          <a:stretch/>
                        </pic:blipFill>
                        <pic:spPr bwMode="auto">
                          <a:xfrm>
                            <a:off x="0" y="0"/>
                            <a:ext cx="2369185" cy="2533015"/>
                          </a:xfrm>
                          <a:prstGeom prst="rect">
                            <a:avLst/>
                          </a:prstGeom>
                          <a:noFill/>
                          <a:ln>
                            <a:noFill/>
                          </a:ln>
                          <a:extLst>
                            <a:ext uri="{53640926-AAD7-44D8-BBD7-CCE9431645EC}">
                              <a14:shadowObscured xmlns:a14="http://schemas.microsoft.com/office/drawing/2010/main"/>
                            </a:ext>
                          </a:extLst>
                        </pic:spPr>
                      </pic:pic>
                    </a:graphicData>
                  </a:graphic>
                </wp:inline>
              </w:drawing>
            </w:r>
          </w:p>
          <w:p w:rsidR="009A4201" w:rsidRPr="0022415B" w:rsidRDefault="009A4201" w:rsidP="00AE782B">
            <w:pPr>
              <w:spacing w:before="120" w:after="120"/>
              <w:jc w:val="center"/>
            </w:pPr>
            <w:r w:rsidRPr="0022415B">
              <w:rPr>
                <w:i/>
                <w:sz w:val="18"/>
              </w:rPr>
              <w:t xml:space="preserve">Exemple d’un colis complet contenant un emballage de présentation construit conformément </w:t>
            </w:r>
            <w:r w:rsidR="00F54911">
              <w:rPr>
                <w:i/>
                <w:sz w:val="18"/>
              </w:rPr>
              <w:br/>
            </w:r>
            <w:r w:rsidRPr="0022415B">
              <w:rPr>
                <w:i/>
                <w:sz w:val="18"/>
              </w:rPr>
              <w:t>aux dispositions du</w:t>
            </w:r>
            <w:r w:rsidR="00B91ED7">
              <w:rPr>
                <w:i/>
                <w:sz w:val="18"/>
              </w:rPr>
              <w:t xml:space="preserve"> </w:t>
            </w:r>
            <w:r>
              <w:rPr>
                <w:i/>
                <w:sz w:val="18"/>
              </w:rPr>
              <w:t xml:space="preserve">paragraphe </w:t>
            </w:r>
            <w:r w:rsidRPr="0022415B">
              <w:rPr>
                <w:i/>
                <w:sz w:val="18"/>
              </w:rPr>
              <w:t>173.156 c)</w:t>
            </w:r>
          </w:p>
        </w:tc>
      </w:tr>
    </w:tbl>
    <w:p w:rsidR="00EE4B02" w:rsidRPr="009A4201" w:rsidRDefault="009A4201" w:rsidP="00F54911">
      <w:pPr>
        <w:pStyle w:val="SingleTxtG"/>
        <w:spacing w:before="120"/>
        <w:ind w:firstLine="567"/>
      </w:pPr>
      <w:r w:rsidRPr="0022415B">
        <w:t xml:space="preserve">Aux États-Unis d’Amérique, le transport de quantités limitées dans les emballages de présentation décrits ci-dessus présente un niveau de sécurité équivalent à l’expédition de quantités limitées conformément aux dispositions du </w:t>
      </w:r>
      <w:r>
        <w:t xml:space="preserve">paragraphe </w:t>
      </w:r>
      <w:r w:rsidRPr="0022415B">
        <w:t xml:space="preserve">173.150-155 et du </w:t>
      </w:r>
      <w:r>
        <w:t xml:space="preserve">paragraphe </w:t>
      </w:r>
      <w:r w:rsidRPr="0022415B">
        <w:t>173.306, ce qu’a mis en évidence l’incorporation par la PHMSA du</w:t>
      </w:r>
      <w:r w:rsidR="00B91ED7">
        <w:t xml:space="preserve"> </w:t>
      </w:r>
      <w:r>
        <w:t xml:space="preserve">permis spécial </w:t>
      </w:r>
      <w:r w:rsidRPr="0022415B">
        <w:t xml:space="preserve">11458 dans le Règlement concernant les matières dangereuses. Quant à nos membres, ils n’ont connu aucun problème de rupture d’emballage </w:t>
      </w:r>
      <w:r>
        <w:t>avec</w:t>
      </w:r>
      <w:r w:rsidR="00B91ED7">
        <w:t xml:space="preserve"> </w:t>
      </w:r>
      <w:r>
        <w:t xml:space="preserve">ces </w:t>
      </w:r>
      <w:r w:rsidRPr="0022415B">
        <w:t>emballages de présentation depuis 2002</w:t>
      </w:r>
      <w:r>
        <w:t xml:space="preserve">, date à laquelle </w:t>
      </w:r>
      <w:r w:rsidRPr="0022415B">
        <w:t>un permis spécial 11458</w:t>
      </w:r>
      <w:r>
        <w:t xml:space="preserve"> a été </w:t>
      </w:r>
      <w:r w:rsidRPr="00E8293B">
        <w:t>octro</w:t>
      </w:r>
      <w:r>
        <w:t>yé pour la première fois</w:t>
      </w:r>
      <w:r w:rsidR="00024B02">
        <w:t>.</w:t>
      </w:r>
    </w:p>
    <w:p w:rsidR="00EE4B02" w:rsidRPr="009A4201" w:rsidRDefault="009A4201" w:rsidP="009A4201">
      <w:pPr>
        <w:pStyle w:val="SingleTxtG"/>
        <w:spacing w:before="240" w:after="0"/>
        <w:jc w:val="center"/>
        <w:rPr>
          <w:u w:val="single"/>
        </w:rPr>
      </w:pPr>
      <w:r>
        <w:rPr>
          <w:u w:val="single"/>
        </w:rPr>
        <w:tab/>
      </w:r>
      <w:r>
        <w:rPr>
          <w:u w:val="single"/>
        </w:rPr>
        <w:tab/>
      </w:r>
      <w:r>
        <w:rPr>
          <w:u w:val="single"/>
        </w:rPr>
        <w:tab/>
      </w:r>
    </w:p>
    <w:sectPr w:rsidR="00EE4B02" w:rsidRPr="009A4201" w:rsidSect="00D760C2">
      <w:headerReference w:type="even" r:id="rId20"/>
      <w:headerReference w:type="default" r:id="rId21"/>
      <w:footerReference w:type="even" r:id="rId22"/>
      <w:footerReference w:type="default" r:id="rId23"/>
      <w:footerReference w:type="first" r:id="rId24"/>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4F35" w:rsidRDefault="00364F35" w:rsidP="00F95C08">
      <w:pPr>
        <w:spacing w:line="240" w:lineRule="auto"/>
      </w:pPr>
    </w:p>
  </w:endnote>
  <w:endnote w:type="continuationSeparator" w:id="0">
    <w:p w:rsidR="00364F35" w:rsidRPr="00AC3823" w:rsidRDefault="00364F35" w:rsidP="00AC3823">
      <w:pPr>
        <w:pStyle w:val="Footer"/>
      </w:pPr>
    </w:p>
  </w:endnote>
  <w:endnote w:type="continuationNotice" w:id="1">
    <w:p w:rsidR="00364F35" w:rsidRDefault="00364F3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60C2" w:rsidRPr="00D760C2" w:rsidRDefault="00D760C2" w:rsidP="00D760C2">
    <w:pPr>
      <w:pStyle w:val="Footer"/>
      <w:tabs>
        <w:tab w:val="right" w:pos="9638"/>
      </w:tabs>
    </w:pPr>
    <w:r w:rsidRPr="00D760C2">
      <w:rPr>
        <w:b/>
        <w:sz w:val="18"/>
      </w:rPr>
      <w:fldChar w:fldCharType="begin"/>
    </w:r>
    <w:r w:rsidRPr="00D760C2">
      <w:rPr>
        <w:b/>
        <w:sz w:val="18"/>
      </w:rPr>
      <w:instrText xml:space="preserve"> PAGE  \* MERGEFORMAT </w:instrText>
    </w:r>
    <w:r w:rsidRPr="00D760C2">
      <w:rPr>
        <w:b/>
        <w:sz w:val="18"/>
      </w:rPr>
      <w:fldChar w:fldCharType="separate"/>
    </w:r>
    <w:r w:rsidR="006056D9">
      <w:rPr>
        <w:b/>
        <w:noProof/>
        <w:sz w:val="18"/>
      </w:rPr>
      <w:t>4</w:t>
    </w:r>
    <w:r w:rsidRPr="00D760C2">
      <w:rPr>
        <w:b/>
        <w:sz w:val="18"/>
      </w:rPr>
      <w:fldChar w:fldCharType="end"/>
    </w:r>
    <w:r>
      <w:rPr>
        <w:b/>
        <w:sz w:val="18"/>
      </w:rPr>
      <w:tab/>
    </w:r>
    <w:r>
      <w:t>GE.18-10446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60C2" w:rsidRPr="00D760C2" w:rsidRDefault="00D760C2" w:rsidP="00D760C2">
    <w:pPr>
      <w:pStyle w:val="Footer"/>
      <w:tabs>
        <w:tab w:val="right" w:pos="9638"/>
      </w:tabs>
      <w:rPr>
        <w:b/>
        <w:sz w:val="18"/>
      </w:rPr>
    </w:pPr>
    <w:r>
      <w:t>GE.18-10446</w:t>
    </w:r>
    <w:r>
      <w:tab/>
    </w:r>
    <w:r w:rsidRPr="00D760C2">
      <w:rPr>
        <w:b/>
        <w:sz w:val="18"/>
      </w:rPr>
      <w:fldChar w:fldCharType="begin"/>
    </w:r>
    <w:r w:rsidRPr="00D760C2">
      <w:rPr>
        <w:b/>
        <w:sz w:val="18"/>
      </w:rPr>
      <w:instrText xml:space="preserve"> PAGE  \* MERGEFORMAT </w:instrText>
    </w:r>
    <w:r w:rsidRPr="00D760C2">
      <w:rPr>
        <w:b/>
        <w:sz w:val="18"/>
      </w:rPr>
      <w:fldChar w:fldCharType="separate"/>
    </w:r>
    <w:r w:rsidR="006056D9">
      <w:rPr>
        <w:b/>
        <w:noProof/>
        <w:sz w:val="18"/>
      </w:rPr>
      <w:t>5</w:t>
    </w:r>
    <w:r w:rsidRPr="00D760C2">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20FA" w:rsidRPr="00D760C2" w:rsidRDefault="00D760C2" w:rsidP="00D760C2">
    <w:pPr>
      <w:pStyle w:val="Footer"/>
      <w:spacing w:before="120"/>
      <w:rPr>
        <w:sz w:val="20"/>
      </w:rPr>
    </w:pPr>
    <w:r>
      <w:rPr>
        <w:sz w:val="20"/>
      </w:rPr>
      <w:t>GE.</w:t>
    </w:r>
    <w:r w:rsidR="007F20FA">
      <w:rPr>
        <w:noProof/>
        <w:lang w:eastAsia="fr-CH"/>
      </w:rPr>
      <w:drawing>
        <wp:anchor distT="0" distB="0" distL="114300" distR="114300" simplePos="0" relativeHeight="251660288"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18-10446</w:t>
    </w:r>
    <w:r w:rsidR="00B91ED7">
      <w:rPr>
        <w:sz w:val="20"/>
      </w:rPr>
      <w:t xml:space="preserve"> </w:t>
    </w:r>
    <w:r>
      <w:rPr>
        <w:sz w:val="20"/>
      </w:rPr>
      <w:t>(F)</w:t>
    </w:r>
    <w:r w:rsidR="00B91ED7">
      <w:rPr>
        <w:sz w:val="20"/>
      </w:rPr>
      <w:t xml:space="preserve">  190718  030818</w:t>
    </w:r>
    <w:r>
      <w:rPr>
        <w:sz w:val="20"/>
      </w:rPr>
      <w:br/>
    </w:r>
    <w:r w:rsidRPr="00D760C2">
      <w:rPr>
        <w:rFonts w:ascii="C39T30Lfz" w:hAnsi="C39T30Lfz"/>
        <w:sz w:val="56"/>
      </w:rPr>
      <w:t></w:t>
    </w:r>
    <w:r w:rsidRPr="00D760C2">
      <w:rPr>
        <w:rFonts w:ascii="C39T30Lfz" w:hAnsi="C39T30Lfz"/>
        <w:sz w:val="56"/>
      </w:rPr>
      <w:t></w:t>
    </w:r>
    <w:r w:rsidRPr="00D760C2">
      <w:rPr>
        <w:rFonts w:ascii="C39T30Lfz" w:hAnsi="C39T30Lfz"/>
        <w:sz w:val="56"/>
      </w:rPr>
      <w:t></w:t>
    </w:r>
    <w:r w:rsidRPr="00D760C2">
      <w:rPr>
        <w:rFonts w:ascii="C39T30Lfz" w:hAnsi="C39T30Lfz"/>
        <w:sz w:val="56"/>
      </w:rPr>
      <w:t></w:t>
    </w:r>
    <w:r w:rsidRPr="00D760C2">
      <w:rPr>
        <w:rFonts w:ascii="C39T30Lfz" w:hAnsi="C39T30Lfz"/>
        <w:sz w:val="56"/>
      </w:rPr>
      <w:t></w:t>
    </w:r>
    <w:r w:rsidRPr="00D760C2">
      <w:rPr>
        <w:rFonts w:ascii="C39T30Lfz" w:hAnsi="C39T30Lfz"/>
        <w:sz w:val="56"/>
      </w:rPr>
      <w:t></w:t>
    </w:r>
    <w:r w:rsidRPr="00D760C2">
      <w:rPr>
        <w:rFonts w:ascii="C39T30Lfz" w:hAnsi="C39T30Lfz"/>
        <w:sz w:val="56"/>
      </w:rPr>
      <w:t></w:t>
    </w:r>
    <w:r w:rsidRPr="00D760C2">
      <w:rPr>
        <w:rFonts w:ascii="C39T30Lfz" w:hAnsi="C39T30Lfz"/>
        <w:sz w:val="56"/>
      </w:rPr>
      <w:t></w:t>
    </w:r>
    <w:r w:rsidRPr="00D760C2">
      <w:rPr>
        <w:rFonts w:ascii="C39T30Lfz" w:hAnsi="C39T30Lfz"/>
        <w:sz w:val="56"/>
      </w:rPr>
      <w:t></w:t>
    </w:r>
    <w:r>
      <w:rPr>
        <w:noProof/>
        <w:sz w:val="20"/>
        <w:lang w:eastAsia="fr-CH"/>
      </w:rPr>
      <w:drawing>
        <wp:anchor distT="0" distB="0" distL="114300" distR="114300" simplePos="0" relativeHeight="251658240"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WP.15/AC.1/2018/21&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15/AC.1/2018/21&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4F35" w:rsidRPr="00AC3823" w:rsidRDefault="00364F35" w:rsidP="00AC3823">
      <w:pPr>
        <w:pStyle w:val="Footer"/>
        <w:tabs>
          <w:tab w:val="right" w:pos="2155"/>
        </w:tabs>
        <w:spacing w:after="80" w:line="240" w:lineRule="atLeast"/>
        <w:ind w:left="680"/>
        <w:rPr>
          <w:u w:val="single"/>
        </w:rPr>
      </w:pPr>
      <w:r>
        <w:rPr>
          <w:u w:val="single"/>
        </w:rPr>
        <w:tab/>
      </w:r>
    </w:p>
  </w:footnote>
  <w:footnote w:type="continuationSeparator" w:id="0">
    <w:p w:rsidR="00364F35" w:rsidRPr="00AC3823" w:rsidRDefault="00364F35" w:rsidP="00AC3823">
      <w:pPr>
        <w:pStyle w:val="Footer"/>
        <w:tabs>
          <w:tab w:val="right" w:pos="2155"/>
        </w:tabs>
        <w:spacing w:after="80" w:line="240" w:lineRule="atLeast"/>
        <w:ind w:left="680"/>
        <w:rPr>
          <w:u w:val="single"/>
        </w:rPr>
      </w:pPr>
      <w:r>
        <w:rPr>
          <w:u w:val="single"/>
        </w:rPr>
        <w:tab/>
      </w:r>
    </w:p>
  </w:footnote>
  <w:footnote w:type="continuationNotice" w:id="1">
    <w:p w:rsidR="00364F35" w:rsidRPr="00AC3823" w:rsidRDefault="00364F35">
      <w:pPr>
        <w:spacing w:line="240" w:lineRule="auto"/>
        <w:rPr>
          <w:sz w:val="2"/>
          <w:szCs w:val="2"/>
        </w:rPr>
      </w:pPr>
    </w:p>
  </w:footnote>
  <w:footnote w:id="2">
    <w:p w:rsidR="00EE4B02" w:rsidRPr="00EE4B02" w:rsidRDefault="00EE4B02">
      <w:pPr>
        <w:pStyle w:val="FootnoteText"/>
      </w:pPr>
      <w:r>
        <w:rPr>
          <w:rStyle w:val="FootnoteReference"/>
        </w:rPr>
        <w:tab/>
      </w:r>
      <w:r w:rsidRPr="00EE4B02">
        <w:rPr>
          <w:rStyle w:val="FootnoteReference"/>
          <w:sz w:val="20"/>
          <w:vertAlign w:val="baseline"/>
        </w:rPr>
        <w:t>*</w:t>
      </w:r>
      <w:r>
        <w:rPr>
          <w:rStyle w:val="FootnoteReference"/>
          <w:sz w:val="20"/>
          <w:vertAlign w:val="baseline"/>
        </w:rPr>
        <w:tab/>
      </w:r>
      <w:r w:rsidRPr="007C2CBE">
        <w:t xml:space="preserve">Conformément au programme de travail du Comité des transports intérieurs pour la période </w:t>
      </w:r>
      <w:r>
        <w:t>2018</w:t>
      </w:r>
      <w:r>
        <w:noBreakHyphen/>
      </w:r>
      <w:r w:rsidR="00294061">
        <w:t>2019, (</w:t>
      </w:r>
      <w:r w:rsidRPr="00E9209A">
        <w:t>ECE/TRANS/2018/21/Add.1, module 9, (9.2)</w:t>
      </w:r>
      <w:r w:rsidR="00294061">
        <w:t>)</w:t>
      </w:r>
      <w:r w:rsidRPr="00E9209A">
        <w:t>.</w:t>
      </w:r>
    </w:p>
  </w:footnote>
  <w:footnote w:id="3">
    <w:p w:rsidR="00EE4B02" w:rsidRPr="00EE4B02" w:rsidRDefault="00EE4B02">
      <w:pPr>
        <w:pStyle w:val="FootnoteText"/>
      </w:pPr>
      <w:r>
        <w:rPr>
          <w:rStyle w:val="FootnoteReference"/>
        </w:rPr>
        <w:tab/>
      </w:r>
      <w:r w:rsidRPr="00EE4B02">
        <w:rPr>
          <w:rStyle w:val="FootnoteReference"/>
          <w:sz w:val="20"/>
          <w:vertAlign w:val="baseline"/>
        </w:rPr>
        <w:t>**</w:t>
      </w:r>
      <w:r>
        <w:rPr>
          <w:rStyle w:val="FootnoteReference"/>
          <w:sz w:val="20"/>
          <w:vertAlign w:val="baseline"/>
        </w:rPr>
        <w:tab/>
      </w:r>
      <w:r w:rsidRPr="00DF598B">
        <w:t>Diffusée par l’Organisation intergouvernementale pour les transports internationaux ferroviaires (OTIF) sous la cote OTIF/RID/RC/2018/21.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60C2" w:rsidRPr="00D760C2" w:rsidRDefault="00A972C5">
    <w:pPr>
      <w:pStyle w:val="Header"/>
    </w:pPr>
    <w:r>
      <w:fldChar w:fldCharType="begin"/>
    </w:r>
    <w:r>
      <w:instrText xml:space="preserve"> TITLE  \* MERGEFOR</w:instrText>
    </w:r>
    <w:r>
      <w:instrText xml:space="preserve">MAT </w:instrText>
    </w:r>
    <w:r>
      <w:fldChar w:fldCharType="separate"/>
    </w:r>
    <w:r w:rsidR="003D60B8">
      <w:t>ECE/TRANS/WP.15/AC.1/2018/21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60C2" w:rsidRPr="00D760C2" w:rsidRDefault="00A972C5" w:rsidP="00D760C2">
    <w:pPr>
      <w:pStyle w:val="Header"/>
      <w:jc w:val="right"/>
    </w:pPr>
    <w:r>
      <w:fldChar w:fldCharType="begin"/>
    </w:r>
    <w:r>
      <w:instrText xml:space="preserve"> TITLE  \* MERGEFORMAT </w:instrText>
    </w:r>
    <w:r>
      <w:fldChar w:fldCharType="separate"/>
    </w:r>
    <w:r w:rsidR="003D60B8">
      <w:t>ECE/TRANS/WP.15/AC.1/2018/21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495F7E8C"/>
    <w:multiLevelType w:val="hybridMultilevel"/>
    <w:tmpl w:val="B31A9316"/>
    <w:lvl w:ilvl="0" w:tplc="062E7E9C">
      <w:start w:val="1"/>
      <w:numFmt w:val="decimal"/>
      <w:lvlText w:val="(%1)"/>
      <w:lvlJc w:val="left"/>
      <w:pPr>
        <w:ind w:left="2170" w:hanging="370"/>
      </w:pPr>
      <w:rPr>
        <w:rFonts w:hint="default"/>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3"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4" w15:restartNumberingAfterBreak="0">
    <w:nsid w:val="6C79256F"/>
    <w:multiLevelType w:val="hybridMultilevel"/>
    <w:tmpl w:val="629460B8"/>
    <w:lvl w:ilvl="0" w:tplc="E6BAF676">
      <w:start w:val="1"/>
      <w:numFmt w:val="lowerRoman"/>
      <w:lvlText w:val="(%1)"/>
      <w:lvlJc w:val="left"/>
      <w:pPr>
        <w:ind w:left="2520" w:hanging="720"/>
      </w:pPr>
      <w:rPr>
        <w:rFonts w:hint="default"/>
        <w:i w:val="0"/>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5" w15:restartNumberingAfterBreak="0">
    <w:nsid w:val="77C16B78"/>
    <w:multiLevelType w:val="hybridMultilevel"/>
    <w:tmpl w:val="44165E9E"/>
    <w:lvl w:ilvl="0" w:tplc="5E042380">
      <w:start w:val="1"/>
      <w:numFmt w:val="lowerRoman"/>
      <w:lvlText w:val="(%1)"/>
      <w:lvlJc w:val="left"/>
      <w:pPr>
        <w:ind w:left="2520" w:hanging="720"/>
      </w:pPr>
      <w:rPr>
        <w:rFonts w:hint="default"/>
        <w:i w:val="0"/>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num w:numId="1">
    <w:abstractNumId w:val="13"/>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3"/>
  </w:num>
  <w:num w:numId="15">
    <w:abstractNumId w:val="11"/>
  </w:num>
  <w:num w:numId="16">
    <w:abstractNumId w:val="10"/>
  </w:num>
  <w:num w:numId="17">
    <w:abstractNumId w:val="12"/>
  </w:num>
  <w:num w:numId="18">
    <w:abstractNumId w:val="15"/>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567"/>
  <w:hyphenationZone w:val="425"/>
  <w:evenAndOddHeaders/>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F35"/>
    <w:rsid w:val="00010533"/>
    <w:rsid w:val="00017F94"/>
    <w:rsid w:val="00023842"/>
    <w:rsid w:val="00024B02"/>
    <w:rsid w:val="000334F9"/>
    <w:rsid w:val="00045FEB"/>
    <w:rsid w:val="0007796D"/>
    <w:rsid w:val="000B7790"/>
    <w:rsid w:val="00111F2F"/>
    <w:rsid w:val="0014365E"/>
    <w:rsid w:val="00143C66"/>
    <w:rsid w:val="00176178"/>
    <w:rsid w:val="001F525A"/>
    <w:rsid w:val="00223272"/>
    <w:rsid w:val="0024779E"/>
    <w:rsid w:val="00257168"/>
    <w:rsid w:val="002744B8"/>
    <w:rsid w:val="002832AC"/>
    <w:rsid w:val="00294061"/>
    <w:rsid w:val="002B5305"/>
    <w:rsid w:val="002D7C93"/>
    <w:rsid w:val="00305801"/>
    <w:rsid w:val="00364F35"/>
    <w:rsid w:val="003916DE"/>
    <w:rsid w:val="003D60B8"/>
    <w:rsid w:val="00441C3B"/>
    <w:rsid w:val="00446FE5"/>
    <w:rsid w:val="00452396"/>
    <w:rsid w:val="0047766D"/>
    <w:rsid w:val="004837D8"/>
    <w:rsid w:val="004E468C"/>
    <w:rsid w:val="004F33A8"/>
    <w:rsid w:val="005505B7"/>
    <w:rsid w:val="00573BE5"/>
    <w:rsid w:val="00586ED3"/>
    <w:rsid w:val="00596AA9"/>
    <w:rsid w:val="005A7133"/>
    <w:rsid w:val="006056D9"/>
    <w:rsid w:val="006E5941"/>
    <w:rsid w:val="0071601D"/>
    <w:rsid w:val="00797988"/>
    <w:rsid w:val="007A62E6"/>
    <w:rsid w:val="007F20FA"/>
    <w:rsid w:val="0080684C"/>
    <w:rsid w:val="00871C75"/>
    <w:rsid w:val="008776DC"/>
    <w:rsid w:val="00933626"/>
    <w:rsid w:val="009446C0"/>
    <w:rsid w:val="009705C8"/>
    <w:rsid w:val="009A4201"/>
    <w:rsid w:val="009C1CF4"/>
    <w:rsid w:val="009F6B74"/>
    <w:rsid w:val="00A07203"/>
    <w:rsid w:val="00A30353"/>
    <w:rsid w:val="00A972C5"/>
    <w:rsid w:val="00AC3823"/>
    <w:rsid w:val="00AE323C"/>
    <w:rsid w:val="00AF0CB5"/>
    <w:rsid w:val="00B00181"/>
    <w:rsid w:val="00B00B0D"/>
    <w:rsid w:val="00B765F7"/>
    <w:rsid w:val="00B91ED7"/>
    <w:rsid w:val="00BA0CA9"/>
    <w:rsid w:val="00BC3B04"/>
    <w:rsid w:val="00C02897"/>
    <w:rsid w:val="00C97039"/>
    <w:rsid w:val="00D3439C"/>
    <w:rsid w:val="00D760C2"/>
    <w:rsid w:val="00DB1831"/>
    <w:rsid w:val="00DD3BFD"/>
    <w:rsid w:val="00DF6678"/>
    <w:rsid w:val="00E0299A"/>
    <w:rsid w:val="00E85C74"/>
    <w:rsid w:val="00EA6547"/>
    <w:rsid w:val="00EE4B02"/>
    <w:rsid w:val="00EF2E22"/>
    <w:rsid w:val="00F35BAF"/>
    <w:rsid w:val="00F54911"/>
    <w:rsid w:val="00F660DF"/>
    <w:rsid w:val="00F94664"/>
    <w:rsid w:val="00F9573C"/>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462E998-28BD-415A-883A-5E70169F9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Footnote Reference/,4_GR"/>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ingleTxtGChar">
    <w:name w:val="_ Single Txt_G Char"/>
    <w:link w:val="SingleTxtG"/>
    <w:rsid w:val="00EE4B02"/>
    <w:rPr>
      <w:rFonts w:ascii="Times New Roman" w:eastAsiaTheme="minorHAnsi"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wmf"/><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 Id="rId22"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11.gif"/><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1716</Words>
  <Characters>9783</Characters>
  <Application>Microsoft Office Word</Application>
  <DocSecurity>4</DocSecurity>
  <Lines>81</Lines>
  <Paragraphs>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ECE/TRANS/WP.15/AC.1/2018/21</vt:lpstr>
      <vt:lpstr>ECE/TRANS/WP.15/AC.1/2018/21</vt:lpstr>
    </vt:vector>
  </TitlesOfParts>
  <Company>DCM</Company>
  <LinksUpToDate>false</LinksUpToDate>
  <CharactersWithSpaces>11477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ECE/TRANS/WP.15/AC.1/2018/21</dc:title>
  <dc:subject/>
  <dc:creator>Fabienne CRELIER</dc:creator>
  <cp:keywords/>
  <cp:lastModifiedBy>Christine Barrio-Champeau</cp:lastModifiedBy>
  <cp:revision>2</cp:revision>
  <cp:lastPrinted>2018-08-03T14:44:00Z</cp:lastPrinted>
  <dcterms:created xsi:type="dcterms:W3CDTF">2018-08-06T09:43:00Z</dcterms:created>
  <dcterms:modified xsi:type="dcterms:W3CDTF">2018-08-06T09:43:00Z</dcterms:modified>
</cp:coreProperties>
</file>