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6C7B73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B012FA">
              <w:t>8</w:t>
            </w:r>
            <w:r>
              <w:t>/</w:t>
            </w:r>
            <w:r w:rsidR="003E672E">
              <w:t>19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080491" w:rsidP="00B11BB4">
            <w:pPr>
              <w:spacing w:before="120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DE73AD" w:rsidP="00B11BB4">
            <w:pPr>
              <w:suppressAutoHyphens w:val="0"/>
            </w:pPr>
            <w:r>
              <w:t>2</w:t>
            </w:r>
            <w:r w:rsidR="00563C55">
              <w:t>6</w:t>
            </w:r>
            <w:r w:rsidR="00B012FA">
              <w:t xml:space="preserve"> </w:t>
            </w:r>
            <w:r w:rsidR="006C7B73">
              <w:t>June</w:t>
            </w:r>
            <w:r w:rsidR="001B13A5">
              <w:t xml:space="preserve"> 201</w:t>
            </w:r>
            <w:r w:rsidR="006C7B73">
              <w:t>8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C3172E">
            <w:pPr>
              <w:suppressAutoHyphens w:val="0"/>
            </w:pPr>
            <w:r>
              <w:t xml:space="preserve">Original: </w:t>
            </w:r>
            <w:r w:rsidR="0094558F">
              <w:t xml:space="preserve"> English</w:t>
            </w:r>
            <w:r w:rsidR="00B734ED">
              <w:t xml:space="preserve"> 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A2041E" w:rsidP="00BB7CD1">
      <w:r w:rsidRPr="00BC247D">
        <w:t>Geneva</w:t>
      </w:r>
      <w:r w:rsidR="00BB7CD1" w:rsidRPr="00BC247D">
        <w:t xml:space="preserve">, </w:t>
      </w:r>
      <w:r w:rsidR="00BC247D" w:rsidRPr="00AF5420">
        <w:t>17</w:t>
      </w:r>
      <w:r w:rsidR="00BB7CD1" w:rsidRPr="00AF5420">
        <w:t>–</w:t>
      </w:r>
      <w:r w:rsidR="00BC247D" w:rsidRPr="00AF5420">
        <w:t xml:space="preserve">21 </w:t>
      </w:r>
      <w:r w:rsidR="00A66C37" w:rsidRPr="00AF5420">
        <w:t>September</w:t>
      </w:r>
      <w:r w:rsidR="00F66565" w:rsidRPr="00BC247D">
        <w:t xml:space="preserve"> </w:t>
      </w:r>
      <w:r w:rsidR="00BB7CD1" w:rsidRPr="00BC247D">
        <w:t>201</w:t>
      </w:r>
      <w:r w:rsidR="002564BC" w:rsidRPr="00BC247D">
        <w:t>8</w:t>
      </w:r>
    </w:p>
    <w:p w:rsidR="002A5964" w:rsidRDefault="002A5964" w:rsidP="002A5964">
      <w:r w:rsidRPr="006C7B73">
        <w:t>Item 5 (</w:t>
      </w:r>
      <w:r w:rsidR="00D32959">
        <w:t>b</w:t>
      </w:r>
      <w:r w:rsidRPr="006C7B73">
        <w:t>) of the provisional agenda</w:t>
      </w:r>
    </w:p>
    <w:p w:rsidR="002A5964" w:rsidRDefault="002A5964" w:rsidP="002A5964">
      <w:pPr>
        <w:spacing w:line="240" w:lineRule="auto"/>
        <w:rPr>
          <w:b/>
          <w:bCs/>
        </w:rPr>
      </w:pPr>
      <w:r>
        <w:rPr>
          <w:b/>
        </w:rPr>
        <w:t>Proposals for amendments to RID/ADR/ADN:</w:t>
      </w:r>
      <w:r>
        <w:rPr>
          <w:b/>
        </w:rPr>
        <w:br/>
      </w:r>
      <w:r w:rsidR="00DE73AD">
        <w:rPr>
          <w:b/>
          <w:bCs/>
        </w:rPr>
        <w:t>n</w:t>
      </w:r>
      <w:r w:rsidR="00D32959">
        <w:rPr>
          <w:b/>
          <w:bCs/>
        </w:rPr>
        <w:t>ew proposals</w:t>
      </w:r>
    </w:p>
    <w:p w:rsidR="00C3172E" w:rsidRPr="00302B8D" w:rsidRDefault="00C3172E" w:rsidP="00E34506">
      <w:pPr>
        <w:pStyle w:val="HChG"/>
      </w:pPr>
      <w:r w:rsidRPr="00302B8D">
        <w:tab/>
      </w:r>
      <w:r w:rsidR="00530278">
        <w:tab/>
      </w:r>
      <w:r w:rsidR="00D32959">
        <w:rPr>
          <w:lang w:val="en-US"/>
        </w:rPr>
        <w:t xml:space="preserve">UN 1010 </w:t>
      </w:r>
      <w:proofErr w:type="spellStart"/>
      <w:r w:rsidR="00D32959">
        <w:rPr>
          <w:lang w:val="en-US"/>
        </w:rPr>
        <w:t>B</w:t>
      </w:r>
      <w:bookmarkStart w:id="0" w:name="_GoBack"/>
      <w:bookmarkEnd w:id="0"/>
      <w:r w:rsidR="00D32959">
        <w:rPr>
          <w:lang w:val="en-US"/>
        </w:rPr>
        <w:t>utadienes</w:t>
      </w:r>
      <w:proofErr w:type="spellEnd"/>
      <w:r w:rsidR="00D32959">
        <w:rPr>
          <w:lang w:val="en-US"/>
        </w:rPr>
        <w:t>, stabilized</w:t>
      </w:r>
    </w:p>
    <w:p w:rsidR="00C3172E" w:rsidRPr="00C373A1" w:rsidRDefault="00C3172E" w:rsidP="00C3172E">
      <w:pPr>
        <w:pStyle w:val="H1G"/>
        <w:rPr>
          <w:b w:val="0"/>
          <w:sz w:val="20"/>
          <w:vertAlign w:val="superscript"/>
        </w:rPr>
      </w:pPr>
      <w:r>
        <w:tab/>
      </w:r>
      <w:r>
        <w:tab/>
      </w:r>
      <w:r w:rsidR="0043040E">
        <w:t>T</w:t>
      </w:r>
      <w:r>
        <w:t xml:space="preserve">ransmitted by </w:t>
      </w:r>
      <w:r w:rsidR="0043040E">
        <w:t xml:space="preserve">the Government of </w:t>
      </w:r>
      <w:r w:rsidR="00B012FA">
        <w:t>S</w:t>
      </w:r>
      <w:r w:rsidR="006C7B73">
        <w:t>pain</w:t>
      </w:r>
      <w:r w:rsidR="002564BC" w:rsidRPr="00C373A1">
        <w:rPr>
          <w:rStyle w:val="FootnoteReference"/>
          <w:sz w:val="20"/>
        </w:rPr>
        <w:footnoteReference w:customMarkFollows="1" w:id="2"/>
        <w:t>*</w:t>
      </w:r>
      <w:r w:rsidR="00BC247D" w:rsidRPr="00C373A1">
        <w:rPr>
          <w:sz w:val="20"/>
          <w:vertAlign w:val="superscript"/>
        </w:rPr>
        <w:t>,</w:t>
      </w:r>
      <w:r w:rsidR="00376188">
        <w:rPr>
          <w:sz w:val="20"/>
          <w:vertAlign w:val="superscript"/>
        </w:rPr>
        <w:t xml:space="preserve"> </w:t>
      </w:r>
      <w:r w:rsidR="00BC247D" w:rsidRPr="00C373A1">
        <w:rPr>
          <w:rStyle w:val="FootnoteReference"/>
          <w:sz w:val="20"/>
        </w:rPr>
        <w:footnoteReference w:customMarkFollows="1" w:id="3"/>
        <w:t>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DE4750" w:rsidRPr="00E940D0" w:rsidTr="00021DCA">
        <w:trPr>
          <w:jc w:val="center"/>
        </w:trPr>
        <w:tc>
          <w:tcPr>
            <w:tcW w:w="9082" w:type="dxa"/>
            <w:shd w:val="clear" w:color="auto" w:fill="auto"/>
          </w:tcPr>
          <w:p w:rsidR="00DE4750" w:rsidRPr="00E940D0" w:rsidRDefault="00DE4750" w:rsidP="00021DCA">
            <w:pPr>
              <w:spacing w:before="240" w:after="120"/>
              <w:ind w:left="255"/>
              <w:rPr>
                <w:i/>
                <w:sz w:val="24"/>
              </w:rPr>
            </w:pPr>
            <w:r w:rsidRPr="00E940D0">
              <w:rPr>
                <w:i/>
                <w:sz w:val="24"/>
              </w:rPr>
              <w:t>Summary</w:t>
            </w:r>
          </w:p>
        </w:tc>
      </w:tr>
      <w:tr w:rsidR="00DE4750" w:rsidRPr="0035523F" w:rsidTr="00021DCA">
        <w:trPr>
          <w:jc w:val="center"/>
        </w:trPr>
        <w:tc>
          <w:tcPr>
            <w:tcW w:w="9082" w:type="dxa"/>
            <w:shd w:val="clear" w:color="auto" w:fill="auto"/>
          </w:tcPr>
          <w:p w:rsidR="00DE4750" w:rsidRPr="00CD0808" w:rsidRDefault="00DE4750" w:rsidP="00AF5420">
            <w:pPr>
              <w:pStyle w:val="SingleTxtG"/>
              <w:ind w:left="2267" w:right="997" w:hanging="1985"/>
              <w:jc w:val="left"/>
            </w:pPr>
            <w:r w:rsidRPr="00CD0808">
              <w:rPr>
                <w:b/>
              </w:rPr>
              <w:t>Executive summary:</w:t>
            </w:r>
            <w:r>
              <w:rPr>
                <w:b/>
              </w:rPr>
              <w:t xml:space="preserve"> </w:t>
            </w:r>
            <w:r w:rsidRPr="00CD0808">
              <w:tab/>
            </w:r>
            <w:r w:rsidR="00D32959">
              <w:t>Study the possibility of harmonizing the definition of UN1010 in RID/ADR with the one in the Model Regulations</w:t>
            </w:r>
            <w:r w:rsidR="00BA1092">
              <w:t xml:space="preserve">.  </w:t>
            </w:r>
          </w:p>
        </w:tc>
      </w:tr>
      <w:tr w:rsidR="00DE4750" w:rsidRPr="00597302" w:rsidTr="00021DCA">
        <w:trPr>
          <w:jc w:val="center"/>
        </w:trPr>
        <w:tc>
          <w:tcPr>
            <w:tcW w:w="9082" w:type="dxa"/>
            <w:shd w:val="clear" w:color="auto" w:fill="auto"/>
          </w:tcPr>
          <w:p w:rsidR="00DE4750" w:rsidRPr="00CD0808" w:rsidRDefault="00DE4750" w:rsidP="00AF5420">
            <w:pPr>
              <w:pStyle w:val="SingleTxtG"/>
              <w:ind w:left="2267" w:right="997" w:hanging="1985"/>
            </w:pPr>
            <w:r w:rsidRPr="00CD0808">
              <w:rPr>
                <w:b/>
              </w:rPr>
              <w:t>Action to be taken: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r w:rsidR="00D32959">
              <w:t>Amend the description of UN1010 in</w:t>
            </w:r>
            <w:r w:rsidR="006C7B73">
              <w:t xml:space="preserve"> table A in chapter 3.2 </w:t>
            </w:r>
            <w:r w:rsidR="00F97A28">
              <w:t xml:space="preserve">of </w:t>
            </w:r>
            <w:r w:rsidR="006C7B73">
              <w:t>RID</w:t>
            </w:r>
            <w:r w:rsidR="00F97A28">
              <w:t>/</w:t>
            </w:r>
            <w:r w:rsidR="006C7B73">
              <w:t>ADR</w:t>
            </w:r>
            <w:r w:rsidR="009950AD">
              <w:t>.</w:t>
            </w:r>
          </w:p>
        </w:tc>
      </w:tr>
      <w:tr w:rsidR="00DE4750" w:rsidRPr="00AE331E" w:rsidTr="00021DCA">
        <w:trPr>
          <w:jc w:val="center"/>
        </w:trPr>
        <w:tc>
          <w:tcPr>
            <w:tcW w:w="9082" w:type="dxa"/>
            <w:shd w:val="clear" w:color="auto" w:fill="auto"/>
          </w:tcPr>
          <w:p w:rsidR="0059596F" w:rsidRDefault="00DE4750" w:rsidP="00AF5420">
            <w:pPr>
              <w:pStyle w:val="SingleTxtG"/>
              <w:spacing w:after="0"/>
              <w:ind w:left="2267" w:right="997" w:hanging="1985"/>
              <w:jc w:val="left"/>
            </w:pPr>
            <w:r w:rsidRPr="0059596F">
              <w:rPr>
                <w:b/>
              </w:rPr>
              <w:t>Related documents</w:t>
            </w:r>
            <w:r w:rsidR="00F97A28">
              <w:t>:</w:t>
            </w:r>
            <w:r w:rsidR="00F97A28">
              <w:tab/>
            </w:r>
            <w:r w:rsidR="0059596F" w:rsidRPr="0059596F">
              <w:t>ST/SG/AC.10/C.3/46, paragraphs 13-14</w:t>
            </w:r>
            <w:r w:rsidR="00F97A28">
              <w:t xml:space="preserve"> </w:t>
            </w:r>
          </w:p>
          <w:p w:rsidR="0059596F" w:rsidRPr="00A65936" w:rsidRDefault="00A65936" w:rsidP="00AF5420">
            <w:pPr>
              <w:pStyle w:val="SingleTxtG"/>
              <w:spacing w:after="0"/>
              <w:ind w:left="2267" w:right="997" w:hanging="1985"/>
              <w:jc w:val="left"/>
            </w:pPr>
            <w:r>
              <w:t xml:space="preserve">                                        </w:t>
            </w:r>
            <w:r w:rsidR="0059596F" w:rsidRPr="00A65936">
              <w:t>ST/SG/AC.10/C.3/2003/12 (EIGA)</w:t>
            </w:r>
          </w:p>
          <w:p w:rsidR="0059596F" w:rsidRPr="00A65936" w:rsidRDefault="00F97A28" w:rsidP="00AF5420">
            <w:pPr>
              <w:pStyle w:val="SingleTxtG"/>
              <w:spacing w:after="0"/>
              <w:ind w:left="2267" w:right="997" w:hanging="1985"/>
              <w:jc w:val="left"/>
              <w:rPr>
                <w:lang w:val="en-US" w:eastAsia="en-GB"/>
              </w:rPr>
            </w:pPr>
            <w:r>
              <w:tab/>
            </w:r>
            <w:r w:rsidR="0059596F" w:rsidRPr="00A65936">
              <w:t xml:space="preserve">INF.37 </w:t>
            </w:r>
            <w:r>
              <w:t>(Sub-Committee</w:t>
            </w:r>
            <w:r w:rsidR="00763ED8">
              <w:t xml:space="preserve"> of Experts on the Transport of Dangerous Goods (TDG Sub-Committee)</w:t>
            </w:r>
            <w:r>
              <w:t>, twenty-third session)</w:t>
            </w:r>
            <w:r>
              <w:rPr>
                <w:lang w:eastAsia="en-GB"/>
              </w:rPr>
              <w:tab/>
            </w:r>
            <w:r w:rsidR="0059596F" w:rsidRPr="00A65936">
              <w:rPr>
                <w:lang w:val="en-US" w:eastAsia="en-GB"/>
              </w:rPr>
              <w:t>TRANS/WP.15/AC.1/94</w:t>
            </w:r>
            <w:r w:rsidR="00A65936" w:rsidRPr="00A65936">
              <w:rPr>
                <w:lang w:val="en-US" w:eastAsia="en-GB"/>
              </w:rPr>
              <w:t>, paragraphs 10-13</w:t>
            </w:r>
            <w:r>
              <w:rPr>
                <w:lang w:val="en-US" w:eastAsia="en-GB"/>
              </w:rPr>
              <w:t xml:space="preserve"> </w:t>
            </w:r>
          </w:p>
          <w:p w:rsidR="00DE4750" w:rsidRPr="0059596F" w:rsidRDefault="00A65936" w:rsidP="00AF5420">
            <w:pPr>
              <w:pStyle w:val="SingleTxtG"/>
              <w:spacing w:after="0"/>
              <w:ind w:left="2267" w:right="997" w:hanging="1985"/>
              <w:jc w:val="left"/>
            </w:pPr>
            <w:r>
              <w:rPr>
                <w:bCs/>
                <w:lang w:val="en-US" w:eastAsia="en-GB"/>
              </w:rPr>
              <w:t xml:space="preserve">                                        </w:t>
            </w:r>
            <w:r w:rsidRPr="00A65936">
              <w:rPr>
                <w:bCs/>
                <w:lang w:val="en-US" w:eastAsia="en-GB"/>
              </w:rPr>
              <w:t xml:space="preserve">INF.4 </w:t>
            </w:r>
            <w:r w:rsidR="00530278">
              <w:rPr>
                <w:bCs/>
                <w:lang w:val="en-US" w:eastAsia="en-GB"/>
              </w:rPr>
              <w:t xml:space="preserve">(RID/ADR/ADN </w:t>
            </w:r>
            <w:r w:rsidRPr="00A65936">
              <w:rPr>
                <w:bCs/>
                <w:lang w:val="en-US" w:eastAsia="en-GB"/>
              </w:rPr>
              <w:t xml:space="preserve">Joint Meeting </w:t>
            </w:r>
            <w:r w:rsidR="00530278">
              <w:rPr>
                <w:bCs/>
                <w:lang w:val="en-US" w:eastAsia="en-GB"/>
              </w:rPr>
              <w:t xml:space="preserve">2003 </w:t>
            </w:r>
            <w:r w:rsidRPr="00A65936">
              <w:rPr>
                <w:bCs/>
                <w:lang w:val="en-US" w:eastAsia="en-GB"/>
              </w:rPr>
              <w:t xml:space="preserve">Autumn </w:t>
            </w:r>
            <w:r w:rsidR="00530278">
              <w:rPr>
                <w:bCs/>
                <w:lang w:val="en-US" w:eastAsia="en-GB"/>
              </w:rPr>
              <w:t>s</w:t>
            </w:r>
            <w:r w:rsidRPr="00A65936">
              <w:rPr>
                <w:bCs/>
                <w:lang w:val="en-US" w:eastAsia="en-GB"/>
              </w:rPr>
              <w:t>ession</w:t>
            </w:r>
            <w:r w:rsidR="00530278">
              <w:rPr>
                <w:bCs/>
                <w:lang w:val="en-US" w:eastAsia="en-GB"/>
              </w:rPr>
              <w:t>)</w:t>
            </w:r>
            <w:r w:rsidRPr="00A65936">
              <w:rPr>
                <w:bCs/>
                <w:lang w:val="en-US" w:eastAsia="en-GB"/>
              </w:rPr>
              <w:t xml:space="preserve"> </w:t>
            </w:r>
          </w:p>
        </w:tc>
      </w:tr>
      <w:tr w:rsidR="00DE4750" w:rsidRPr="00AE331E" w:rsidTr="00AF5420">
        <w:trPr>
          <w:trHeight w:val="80"/>
          <w:jc w:val="center"/>
        </w:trPr>
        <w:tc>
          <w:tcPr>
            <w:tcW w:w="9082" w:type="dxa"/>
            <w:shd w:val="clear" w:color="auto" w:fill="auto"/>
          </w:tcPr>
          <w:p w:rsidR="00DE4750" w:rsidRPr="00D43932" w:rsidRDefault="00A65936" w:rsidP="00021DC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</w:p>
        </w:tc>
      </w:tr>
    </w:tbl>
    <w:p w:rsidR="00DE4750" w:rsidRPr="0037099C" w:rsidRDefault="00DE4750" w:rsidP="00AF5420">
      <w:pPr>
        <w:pStyle w:val="HChG"/>
        <w:keepNext w:val="0"/>
        <w:keepLines w:val="0"/>
        <w:rPr>
          <w:lang w:val="nl-NL"/>
        </w:rPr>
      </w:pPr>
      <w:r>
        <w:tab/>
      </w:r>
      <w:r>
        <w:tab/>
      </w:r>
      <w:r w:rsidR="009950AD">
        <w:t>Background</w:t>
      </w:r>
    </w:p>
    <w:p w:rsidR="00D32959" w:rsidRDefault="004F7CA5" w:rsidP="00AF5420">
      <w:pPr>
        <w:pStyle w:val="SingleTxtG"/>
        <w:rPr>
          <w:lang w:val="en-US"/>
        </w:rPr>
      </w:pPr>
      <w:r w:rsidRPr="00361E92">
        <w:rPr>
          <w:rFonts w:eastAsiaTheme="minorEastAsia"/>
          <w:lang w:val="en-US" w:eastAsia="zh-CN"/>
        </w:rPr>
        <w:t>1.</w:t>
      </w:r>
      <w:r w:rsidR="00B62297">
        <w:rPr>
          <w:rFonts w:eastAsiaTheme="minorEastAsia"/>
          <w:lang w:val="en-US" w:eastAsia="zh-CN"/>
        </w:rPr>
        <w:tab/>
      </w:r>
      <w:r w:rsidR="00D32959">
        <w:rPr>
          <w:lang w:val="en-US"/>
        </w:rPr>
        <w:t xml:space="preserve">In 2016 the expert </w:t>
      </w:r>
      <w:r w:rsidR="00530278">
        <w:rPr>
          <w:lang w:val="en-US"/>
        </w:rPr>
        <w:t xml:space="preserve">from Spain </w:t>
      </w:r>
      <w:r w:rsidR="00D32959">
        <w:rPr>
          <w:lang w:val="en-US"/>
        </w:rPr>
        <w:t xml:space="preserve">brought </w:t>
      </w:r>
      <w:r w:rsidR="00530278">
        <w:rPr>
          <w:lang w:val="en-US"/>
        </w:rPr>
        <w:t xml:space="preserve">the attention of the secretariat of the TDG </w:t>
      </w:r>
      <w:r w:rsidR="00D32959">
        <w:rPr>
          <w:lang w:val="en-US"/>
        </w:rPr>
        <w:t>Sub</w:t>
      </w:r>
      <w:r w:rsidR="00530278">
        <w:rPr>
          <w:lang w:val="en-US"/>
        </w:rPr>
        <w:t>-C</w:t>
      </w:r>
      <w:r w:rsidR="00D32959">
        <w:rPr>
          <w:lang w:val="en-US"/>
        </w:rPr>
        <w:t xml:space="preserve">ommittee a series of inconsistencies </w:t>
      </w:r>
      <w:r w:rsidR="00530278">
        <w:rPr>
          <w:lang w:val="en-US"/>
        </w:rPr>
        <w:t xml:space="preserve">in the Spanish </w:t>
      </w:r>
      <w:r w:rsidR="00763ED8">
        <w:rPr>
          <w:lang w:val="en-US"/>
        </w:rPr>
        <w:t>name and description of some UN </w:t>
      </w:r>
      <w:r w:rsidR="00530278">
        <w:rPr>
          <w:lang w:val="en-US"/>
        </w:rPr>
        <w:t>entries in</w:t>
      </w:r>
      <w:r w:rsidR="00D32959">
        <w:rPr>
          <w:lang w:val="en-US"/>
        </w:rPr>
        <w:t xml:space="preserve"> the IMDG Code and the Model Regulations. The Secretariat</w:t>
      </w:r>
      <w:r w:rsidR="00530278">
        <w:rPr>
          <w:lang w:val="en-US"/>
        </w:rPr>
        <w:t xml:space="preserve"> </w:t>
      </w:r>
      <w:r w:rsidR="00D32959">
        <w:rPr>
          <w:lang w:val="en-US"/>
        </w:rPr>
        <w:t xml:space="preserve">systematized these </w:t>
      </w:r>
      <w:r w:rsidR="00D32959">
        <w:rPr>
          <w:lang w:val="en-US"/>
        </w:rPr>
        <w:lastRenderedPageBreak/>
        <w:t>differences organizing them into different groups</w:t>
      </w:r>
      <w:r w:rsidR="00530278">
        <w:rPr>
          <w:lang w:val="en-US"/>
        </w:rPr>
        <w:t xml:space="preserve"> (see informal document INF.42, submitted at the forty-ninth session of the TDG Sub-Committee.</w:t>
      </w:r>
      <w:r w:rsidR="0002700E">
        <w:rPr>
          <w:lang w:val="en-US"/>
        </w:rPr>
        <w:t xml:space="preserve"> </w:t>
      </w:r>
      <w:r w:rsidR="00D32959">
        <w:rPr>
          <w:lang w:val="en-US"/>
        </w:rPr>
        <w:t xml:space="preserve">Spain continued </w:t>
      </w:r>
      <w:r w:rsidR="00530278">
        <w:rPr>
          <w:lang w:val="en-US"/>
        </w:rPr>
        <w:t>working on this issue</w:t>
      </w:r>
      <w:r w:rsidR="00D32959">
        <w:rPr>
          <w:lang w:val="en-US"/>
        </w:rPr>
        <w:t xml:space="preserve">, including into the scope of the study </w:t>
      </w:r>
      <w:r w:rsidR="00530278">
        <w:rPr>
          <w:lang w:val="en-US"/>
        </w:rPr>
        <w:t xml:space="preserve">not only </w:t>
      </w:r>
      <w:r w:rsidR="00D32959">
        <w:rPr>
          <w:lang w:val="en-US"/>
        </w:rPr>
        <w:t xml:space="preserve">the Spanish versions of the Model Regulations and the IMDG Code but also </w:t>
      </w:r>
      <w:r w:rsidR="00530278">
        <w:rPr>
          <w:lang w:val="en-US"/>
        </w:rPr>
        <w:t xml:space="preserve">those in the ICAO Technical Instructions, the </w:t>
      </w:r>
      <w:r w:rsidR="00D32959">
        <w:rPr>
          <w:lang w:val="en-US"/>
        </w:rPr>
        <w:t xml:space="preserve">ADR and </w:t>
      </w:r>
      <w:r w:rsidR="00530278">
        <w:rPr>
          <w:lang w:val="en-US"/>
        </w:rPr>
        <w:t xml:space="preserve">the </w:t>
      </w:r>
      <w:r w:rsidR="00D32959">
        <w:rPr>
          <w:lang w:val="en-US"/>
        </w:rPr>
        <w:t xml:space="preserve">RID. </w:t>
      </w:r>
    </w:p>
    <w:p w:rsidR="00D32959" w:rsidRDefault="00B62297" w:rsidP="00AF5420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530278">
        <w:rPr>
          <w:lang w:val="en-US"/>
        </w:rPr>
        <w:t>During the revision</w:t>
      </w:r>
      <w:r w:rsidR="00D32959">
        <w:rPr>
          <w:lang w:val="en-US"/>
        </w:rPr>
        <w:t xml:space="preserve">, Spain noticed </w:t>
      </w:r>
      <w:r w:rsidR="00530278">
        <w:rPr>
          <w:lang w:val="en-US"/>
        </w:rPr>
        <w:t xml:space="preserve">a </w:t>
      </w:r>
      <w:r w:rsidR="00D32959">
        <w:rPr>
          <w:lang w:val="en-US"/>
        </w:rPr>
        <w:t>difference between the name and desc</w:t>
      </w:r>
      <w:r w:rsidR="003A2E91">
        <w:rPr>
          <w:lang w:val="en-US"/>
        </w:rPr>
        <w:t>ription of UN1010 in the Model R</w:t>
      </w:r>
      <w:r w:rsidR="00D32959">
        <w:rPr>
          <w:lang w:val="en-US"/>
        </w:rPr>
        <w:t>egulations (</w:t>
      </w:r>
      <w:r w:rsidR="00FE20CA">
        <w:rPr>
          <w:lang w:val="en-US"/>
        </w:rPr>
        <w:t xml:space="preserve">all languages) and </w:t>
      </w:r>
      <w:r w:rsidR="00530278">
        <w:rPr>
          <w:lang w:val="en-US"/>
        </w:rPr>
        <w:t xml:space="preserve">that in </w:t>
      </w:r>
      <w:r w:rsidR="00FE20CA">
        <w:rPr>
          <w:lang w:val="en-US"/>
        </w:rPr>
        <w:t>RID/ADR.</w:t>
      </w:r>
    </w:p>
    <w:p w:rsidR="00FE20CA" w:rsidRDefault="00B62297" w:rsidP="00AF5420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FE20CA">
        <w:rPr>
          <w:lang w:val="en-US"/>
        </w:rPr>
        <w:t>In the Model Regulations</w:t>
      </w:r>
      <w:r w:rsidR="0002700E">
        <w:rPr>
          <w:lang w:val="en-US"/>
        </w:rPr>
        <w:t>,</w:t>
      </w:r>
      <w:r w:rsidR="00FE20CA">
        <w:rPr>
          <w:lang w:val="en-US"/>
        </w:rPr>
        <w:t xml:space="preserve"> the entry for UN1010 </w:t>
      </w:r>
      <w:r w:rsidR="00530278">
        <w:rPr>
          <w:lang w:val="en-US"/>
        </w:rPr>
        <w:t>reads</w:t>
      </w:r>
      <w:r w:rsidR="00FE20CA">
        <w:rPr>
          <w:lang w:val="en-US"/>
        </w:rPr>
        <w:t>:</w:t>
      </w:r>
    </w:p>
    <w:p w:rsidR="00FE20CA" w:rsidRDefault="00FE20CA" w:rsidP="00AF5420">
      <w:pPr>
        <w:pStyle w:val="SingleTxtG"/>
        <w:spacing w:line="240" w:lineRule="auto"/>
        <w:ind w:left="1701"/>
        <w:rPr>
          <w:lang w:val="en-US"/>
        </w:rPr>
      </w:pPr>
      <w:r>
        <w:rPr>
          <w:lang w:val="en-US"/>
        </w:rPr>
        <w:t xml:space="preserve">“UN1010 BUTADIENES, STABILIZED or BUTADIENES AND HYDROCARBON MIXTURE, STABILIZED, containing more than 40% </w:t>
      </w:r>
      <w:proofErr w:type="spellStart"/>
      <w:r>
        <w:rPr>
          <w:lang w:val="en-US"/>
        </w:rPr>
        <w:t>butadienes</w:t>
      </w:r>
      <w:proofErr w:type="spellEnd"/>
      <w:r>
        <w:rPr>
          <w:lang w:val="en-US"/>
        </w:rPr>
        <w:t>”.</w:t>
      </w:r>
    </w:p>
    <w:p w:rsidR="00FE20CA" w:rsidRDefault="00B62297" w:rsidP="00AF5420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FE20CA">
        <w:rPr>
          <w:lang w:val="en-US"/>
        </w:rPr>
        <w:t>Meanwhile, in RID/</w:t>
      </w:r>
      <w:r>
        <w:rPr>
          <w:lang w:val="en-US"/>
        </w:rPr>
        <w:t xml:space="preserve">ADR, the corresponding entry </w:t>
      </w:r>
      <w:r w:rsidR="00530278">
        <w:rPr>
          <w:lang w:val="en-US"/>
        </w:rPr>
        <w:t>reads</w:t>
      </w:r>
      <w:r w:rsidR="00FE20CA">
        <w:rPr>
          <w:lang w:val="en-US"/>
        </w:rPr>
        <w:t>:</w:t>
      </w:r>
    </w:p>
    <w:p w:rsidR="00B62297" w:rsidRDefault="00B62297" w:rsidP="00AF5420">
      <w:pPr>
        <w:pStyle w:val="SingleTxtG"/>
        <w:spacing w:line="240" w:lineRule="auto"/>
        <w:ind w:left="1701"/>
        <w:rPr>
          <w:lang w:val="en-US"/>
        </w:rPr>
      </w:pPr>
      <w:r>
        <w:rPr>
          <w:lang w:val="en-US"/>
        </w:rPr>
        <w:t xml:space="preserve">“UN1010 BUTADIENES, STABILIZED or BUTADIENES AND HYDROCARBON MIXTURE, STABILIZED, having a </w:t>
      </w:r>
      <w:proofErr w:type="spellStart"/>
      <w:r>
        <w:rPr>
          <w:lang w:val="en-US"/>
        </w:rPr>
        <w:t>vapour</w:t>
      </w:r>
      <w:proofErr w:type="spellEnd"/>
      <w:r>
        <w:rPr>
          <w:lang w:val="en-US"/>
        </w:rPr>
        <w:t xml:space="preserve"> pressure at 70º not exceeding 1.1 </w:t>
      </w:r>
      <w:proofErr w:type="spellStart"/>
      <w:r>
        <w:rPr>
          <w:lang w:val="en-US"/>
        </w:rPr>
        <w:t>MPa</w:t>
      </w:r>
      <w:proofErr w:type="spellEnd"/>
      <w:r>
        <w:rPr>
          <w:lang w:val="en-US"/>
        </w:rPr>
        <w:t xml:space="preserve"> (11bar) and a density at 50º not lower than 0,525 kg/l”</w:t>
      </w:r>
    </w:p>
    <w:p w:rsidR="00B62297" w:rsidRDefault="00B62297" w:rsidP="00AF5420">
      <w:pPr>
        <w:pStyle w:val="SingleTxtG"/>
        <w:spacing w:line="240" w:lineRule="auto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Both definitions are not equivalent, and clearly different substances can be carried under UN1010 </w:t>
      </w:r>
      <w:r w:rsidR="00530278">
        <w:rPr>
          <w:lang w:val="en-US"/>
        </w:rPr>
        <w:t xml:space="preserve">depending on the description used (i.e.: the one in </w:t>
      </w:r>
      <w:r>
        <w:rPr>
          <w:lang w:val="en-US"/>
        </w:rPr>
        <w:t xml:space="preserve">the Model Regulations </w:t>
      </w:r>
      <w:r w:rsidR="00530278">
        <w:rPr>
          <w:lang w:val="en-US"/>
        </w:rPr>
        <w:t xml:space="preserve">or the one </w:t>
      </w:r>
      <w:r>
        <w:rPr>
          <w:lang w:val="en-US"/>
        </w:rPr>
        <w:t>in RID/ADR</w:t>
      </w:r>
      <w:r w:rsidR="00530278">
        <w:rPr>
          <w:lang w:val="en-US"/>
        </w:rPr>
        <w:t>)</w:t>
      </w:r>
      <w:r>
        <w:rPr>
          <w:lang w:val="en-US"/>
        </w:rPr>
        <w:t>.</w:t>
      </w:r>
    </w:p>
    <w:p w:rsidR="00600A17" w:rsidRPr="00AF5420" w:rsidRDefault="00600A17" w:rsidP="00AF5420">
      <w:pPr>
        <w:pStyle w:val="HChG"/>
        <w:spacing w:before="320"/>
        <w:rPr>
          <w:rFonts w:eastAsiaTheme="minorEastAsia"/>
          <w:lang w:eastAsia="zh-CN"/>
        </w:rPr>
      </w:pPr>
      <w:r w:rsidRPr="00AF5420">
        <w:rPr>
          <w:rFonts w:eastAsiaTheme="minorEastAsia"/>
          <w:lang w:eastAsia="zh-CN"/>
        </w:rPr>
        <w:tab/>
      </w:r>
      <w:r w:rsidRPr="00AF5420">
        <w:rPr>
          <w:rFonts w:eastAsiaTheme="minorEastAsia"/>
          <w:lang w:eastAsia="zh-CN"/>
        </w:rPr>
        <w:tab/>
      </w:r>
      <w:r w:rsidR="00B62297" w:rsidRPr="00AF5420">
        <w:rPr>
          <w:rFonts w:eastAsiaTheme="minorEastAsia"/>
          <w:lang w:eastAsia="zh-CN"/>
        </w:rPr>
        <w:t>Analysis</w:t>
      </w:r>
    </w:p>
    <w:p w:rsidR="00B62297" w:rsidRDefault="00B62297" w:rsidP="00B62297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2F3454">
        <w:rPr>
          <w:lang w:val="en-US"/>
        </w:rPr>
        <w:t xml:space="preserve">The differences between </w:t>
      </w:r>
      <w:r w:rsidR="00530278">
        <w:rPr>
          <w:lang w:val="en-US"/>
        </w:rPr>
        <w:t xml:space="preserve">the descriptions in the Model Regulations and RID/ADR </w:t>
      </w:r>
      <w:r w:rsidR="002F3454">
        <w:rPr>
          <w:lang w:val="en-US"/>
        </w:rPr>
        <w:t xml:space="preserve">date back </w:t>
      </w:r>
      <w:r w:rsidR="00530278">
        <w:rPr>
          <w:lang w:val="en-US"/>
        </w:rPr>
        <w:t>several</w:t>
      </w:r>
      <w:r w:rsidR="002F3454">
        <w:rPr>
          <w:lang w:val="en-US"/>
        </w:rPr>
        <w:t xml:space="preserve"> years</w:t>
      </w:r>
      <w:r w:rsidR="00530278">
        <w:rPr>
          <w:lang w:val="en-US"/>
        </w:rPr>
        <w:t xml:space="preserve"> ago</w:t>
      </w:r>
      <w:r>
        <w:rPr>
          <w:lang w:val="en-US"/>
        </w:rPr>
        <w:t>.</w:t>
      </w:r>
      <w:r w:rsidR="002F3454">
        <w:rPr>
          <w:lang w:val="en-US"/>
        </w:rPr>
        <w:t xml:space="preserve"> The relevant documents and proposals from the Joint Meeting and the TDG Sub</w:t>
      </w:r>
      <w:r w:rsidR="00530278">
        <w:rPr>
          <w:lang w:val="en-US"/>
        </w:rPr>
        <w:t>-C</w:t>
      </w:r>
      <w:r w:rsidR="002F3454">
        <w:rPr>
          <w:lang w:val="en-US"/>
        </w:rPr>
        <w:t xml:space="preserve">ommittee </w:t>
      </w:r>
      <w:r w:rsidR="00530278">
        <w:rPr>
          <w:lang w:val="en-US"/>
        </w:rPr>
        <w:t xml:space="preserve">on this issue </w:t>
      </w:r>
      <w:r w:rsidR="002F3454">
        <w:rPr>
          <w:lang w:val="en-US"/>
        </w:rPr>
        <w:t xml:space="preserve">are listed in the </w:t>
      </w:r>
      <w:r w:rsidR="00530278">
        <w:rPr>
          <w:lang w:val="en-US"/>
        </w:rPr>
        <w:t>s</w:t>
      </w:r>
      <w:r w:rsidR="002F3454">
        <w:rPr>
          <w:lang w:val="en-US"/>
        </w:rPr>
        <w:t>ummary above.</w:t>
      </w:r>
    </w:p>
    <w:p w:rsidR="002F3454" w:rsidRDefault="002F3454" w:rsidP="00AF5420">
      <w:pPr>
        <w:pStyle w:val="SingleTxtG"/>
        <w:spacing w:after="100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  <w:t>The discussions show</w:t>
      </w:r>
      <w:r w:rsidR="0002700E">
        <w:rPr>
          <w:lang w:val="en-US"/>
        </w:rPr>
        <w:t xml:space="preserve"> that opinions were divided. On one side, </w:t>
      </w:r>
      <w:r>
        <w:rPr>
          <w:lang w:val="en-US"/>
        </w:rPr>
        <w:t xml:space="preserve">some European carriers thought that some butadiene mixtures with less than 40% of </w:t>
      </w:r>
      <w:proofErr w:type="spellStart"/>
      <w:r>
        <w:rPr>
          <w:lang w:val="en-US"/>
        </w:rPr>
        <w:t>butadienes</w:t>
      </w:r>
      <w:proofErr w:type="spellEnd"/>
      <w:r>
        <w:rPr>
          <w:lang w:val="en-US"/>
        </w:rPr>
        <w:t xml:space="preserve"> also needed to be stabilized, and that it would be unsafe to carry those </w:t>
      </w:r>
      <w:proofErr w:type="spellStart"/>
      <w:r>
        <w:rPr>
          <w:lang w:val="en-US"/>
        </w:rPr>
        <w:t>butadienes</w:t>
      </w:r>
      <w:proofErr w:type="spellEnd"/>
      <w:r>
        <w:rPr>
          <w:lang w:val="en-US"/>
        </w:rPr>
        <w:t xml:space="preserve"> under an N</w:t>
      </w:r>
      <w:r w:rsidR="0002700E">
        <w:rPr>
          <w:lang w:val="en-US"/>
        </w:rPr>
        <w:t>.</w:t>
      </w:r>
      <w:r>
        <w:rPr>
          <w:lang w:val="en-US"/>
        </w:rPr>
        <w:t>O</w:t>
      </w:r>
      <w:r w:rsidR="0002700E">
        <w:rPr>
          <w:lang w:val="en-US"/>
        </w:rPr>
        <w:t>.</w:t>
      </w:r>
      <w:r>
        <w:rPr>
          <w:lang w:val="en-US"/>
        </w:rPr>
        <w:t>S</w:t>
      </w:r>
      <w:r w:rsidR="0002700E">
        <w:rPr>
          <w:lang w:val="en-US"/>
        </w:rPr>
        <w:t>.</w:t>
      </w:r>
      <w:r>
        <w:rPr>
          <w:lang w:val="en-US"/>
        </w:rPr>
        <w:t xml:space="preserve"> entry. On the other </w:t>
      </w:r>
      <w:r w:rsidR="0002700E">
        <w:rPr>
          <w:lang w:val="en-US"/>
        </w:rPr>
        <w:t>side</w:t>
      </w:r>
      <w:r>
        <w:rPr>
          <w:lang w:val="en-US"/>
        </w:rPr>
        <w:t xml:space="preserve">, the </w:t>
      </w:r>
      <w:r w:rsidR="0002700E">
        <w:rPr>
          <w:lang w:val="en-US"/>
        </w:rPr>
        <w:t xml:space="preserve">representatives of the United States of America did not consider </w:t>
      </w:r>
      <w:r>
        <w:rPr>
          <w:lang w:val="en-US"/>
        </w:rPr>
        <w:t xml:space="preserve">that this could be the case. Therefore, the Joint </w:t>
      </w:r>
      <w:r w:rsidR="0002700E">
        <w:rPr>
          <w:lang w:val="en-US"/>
        </w:rPr>
        <w:t>M</w:t>
      </w:r>
      <w:r>
        <w:rPr>
          <w:lang w:val="en-US"/>
        </w:rPr>
        <w:t xml:space="preserve">eeting </w:t>
      </w:r>
      <w:r w:rsidR="0002700E">
        <w:rPr>
          <w:lang w:val="en-US"/>
        </w:rPr>
        <w:t xml:space="preserve">finally decided </w:t>
      </w:r>
      <w:r>
        <w:rPr>
          <w:lang w:val="en-US"/>
        </w:rPr>
        <w:t xml:space="preserve">to adopt a different description </w:t>
      </w:r>
      <w:r w:rsidR="007229CF">
        <w:rPr>
          <w:lang w:val="en-US"/>
        </w:rPr>
        <w:t xml:space="preserve">than the one </w:t>
      </w:r>
      <w:r w:rsidR="0002700E">
        <w:rPr>
          <w:lang w:val="en-US"/>
        </w:rPr>
        <w:t>in</w:t>
      </w:r>
      <w:r w:rsidR="007229CF">
        <w:rPr>
          <w:lang w:val="en-US"/>
        </w:rPr>
        <w:t xml:space="preserve"> the Model Regulations.</w:t>
      </w:r>
    </w:p>
    <w:p w:rsidR="00633CF0" w:rsidRDefault="007229CF" w:rsidP="00AF5420">
      <w:pPr>
        <w:pStyle w:val="SingleTxtG"/>
        <w:spacing w:after="100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 xml:space="preserve">Nevertheless, </w:t>
      </w:r>
      <w:r w:rsidR="00633CF0">
        <w:rPr>
          <w:lang w:val="en-US"/>
        </w:rPr>
        <w:t>since that decision was adopted:</w:t>
      </w:r>
    </w:p>
    <w:p w:rsidR="00633CF0" w:rsidRDefault="0002700E" w:rsidP="00AF5420">
      <w:pPr>
        <w:pStyle w:val="SingleTxtG"/>
        <w:spacing w:after="100"/>
        <w:ind w:left="2127" w:hanging="426"/>
        <w:rPr>
          <w:lang w:val="en-US"/>
        </w:rPr>
      </w:pPr>
      <w:r>
        <w:rPr>
          <w:lang w:val="en-US"/>
        </w:rPr>
        <w:t>(a)</w:t>
      </w:r>
      <w:r>
        <w:rPr>
          <w:lang w:val="en-US"/>
        </w:rPr>
        <w:tab/>
      </w:r>
      <w:r w:rsidR="00633CF0">
        <w:rPr>
          <w:lang w:val="en-US"/>
        </w:rPr>
        <w:t>N</w:t>
      </w:r>
      <w:r w:rsidR="007229CF">
        <w:rPr>
          <w:lang w:val="en-US"/>
        </w:rPr>
        <w:t>o accident, incident</w:t>
      </w:r>
      <w:r>
        <w:rPr>
          <w:lang w:val="en-US"/>
        </w:rPr>
        <w:t xml:space="preserve"> </w:t>
      </w:r>
      <w:r w:rsidR="007229CF">
        <w:rPr>
          <w:lang w:val="en-US"/>
        </w:rPr>
        <w:t xml:space="preserve">nor known problem has arisen in the </w:t>
      </w:r>
      <w:r>
        <w:rPr>
          <w:lang w:val="en-US"/>
        </w:rPr>
        <w:t xml:space="preserve">United States of America during carriage of </w:t>
      </w:r>
      <w:r w:rsidR="007229CF">
        <w:rPr>
          <w:lang w:val="en-US"/>
        </w:rPr>
        <w:t xml:space="preserve">UN 1010. </w:t>
      </w:r>
    </w:p>
    <w:p w:rsidR="00633CF0" w:rsidRDefault="0002700E" w:rsidP="00AF5420">
      <w:pPr>
        <w:pStyle w:val="SingleTxtG"/>
        <w:spacing w:after="100"/>
        <w:ind w:left="2127" w:hanging="426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</w:r>
      <w:r w:rsidR="007229CF">
        <w:rPr>
          <w:lang w:val="en-US"/>
        </w:rPr>
        <w:t>In Spain, and in other countri</w:t>
      </w:r>
      <w:r w:rsidR="00633CF0">
        <w:rPr>
          <w:lang w:val="en-US"/>
        </w:rPr>
        <w:t xml:space="preserve">es that have been consulted, </w:t>
      </w:r>
      <w:r>
        <w:rPr>
          <w:lang w:val="en-US"/>
        </w:rPr>
        <w:t xml:space="preserve">carriage </w:t>
      </w:r>
      <w:r w:rsidR="00633CF0">
        <w:rPr>
          <w:lang w:val="en-US"/>
        </w:rPr>
        <w:t xml:space="preserve">of </w:t>
      </w:r>
      <w:proofErr w:type="spellStart"/>
      <w:r w:rsidR="00633CF0">
        <w:rPr>
          <w:lang w:val="en-US"/>
        </w:rPr>
        <w:t>butadienes</w:t>
      </w:r>
      <w:proofErr w:type="spellEnd"/>
      <w:r w:rsidR="00633CF0">
        <w:rPr>
          <w:lang w:val="en-US"/>
        </w:rPr>
        <w:t xml:space="preserve"> or butadiene mixtures with</w:t>
      </w:r>
      <w:r w:rsidR="001C012A">
        <w:rPr>
          <w:lang w:val="en-US"/>
        </w:rPr>
        <w:t xml:space="preserve"> less than 40% of </w:t>
      </w:r>
      <w:proofErr w:type="spellStart"/>
      <w:r w:rsidR="001C012A">
        <w:rPr>
          <w:lang w:val="en-US"/>
        </w:rPr>
        <w:t>butadienes</w:t>
      </w:r>
      <w:proofErr w:type="spellEnd"/>
      <w:r w:rsidR="001C012A">
        <w:rPr>
          <w:lang w:val="en-US"/>
        </w:rPr>
        <w:t xml:space="preserve"> do</w:t>
      </w:r>
      <w:r w:rsidR="00633CF0">
        <w:rPr>
          <w:lang w:val="en-US"/>
        </w:rPr>
        <w:t xml:space="preserve">n’t seem to take place. </w:t>
      </w:r>
    </w:p>
    <w:p w:rsidR="003A2E91" w:rsidRDefault="00871E5E" w:rsidP="00AF5420">
      <w:pPr>
        <w:pStyle w:val="SingleTxtG"/>
        <w:spacing w:after="100"/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  <w:t xml:space="preserve">Additionally, </w:t>
      </w:r>
      <w:r w:rsidR="00633CF0">
        <w:rPr>
          <w:lang w:val="en-US"/>
        </w:rPr>
        <w:t xml:space="preserve">2.2.2.2.1 has been introduced </w:t>
      </w:r>
      <w:r w:rsidR="0002700E">
        <w:rPr>
          <w:lang w:val="en-US"/>
        </w:rPr>
        <w:t xml:space="preserve">in </w:t>
      </w:r>
      <w:r w:rsidR="00633CF0">
        <w:rPr>
          <w:lang w:val="en-US"/>
        </w:rPr>
        <w:t>RID/ADR</w:t>
      </w:r>
      <w:r w:rsidR="003A2E91">
        <w:rPr>
          <w:lang w:val="en-US"/>
        </w:rPr>
        <w:t xml:space="preserve"> indicating in a general way for all gases that </w:t>
      </w:r>
      <w:r w:rsidR="0002700E">
        <w:rPr>
          <w:lang w:val="en-US"/>
        </w:rPr>
        <w:t>“</w:t>
      </w:r>
      <w:r w:rsidR="003A2E91">
        <w:rPr>
          <w:lang w:val="en-US"/>
        </w:rPr>
        <w:t>chemically unstable gases shall not be accepted for carriage unless the necessary precautions have been taken to prevent the possibility of a dangerous decomposition or polymerization</w:t>
      </w:r>
      <w:r w:rsidR="0002700E">
        <w:rPr>
          <w:lang w:val="en-US"/>
        </w:rPr>
        <w:t>”</w:t>
      </w:r>
      <w:r w:rsidR="003A2E91">
        <w:rPr>
          <w:lang w:val="en-US"/>
        </w:rPr>
        <w:t>.</w:t>
      </w:r>
    </w:p>
    <w:p w:rsidR="003A2E91" w:rsidRDefault="003A2E91" w:rsidP="00AF5420">
      <w:pPr>
        <w:pStyle w:val="SingleTxtG"/>
        <w:spacing w:after="100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  <w:t xml:space="preserve">This means that, even if butadiene with less than 40% of </w:t>
      </w:r>
      <w:proofErr w:type="spellStart"/>
      <w:r>
        <w:rPr>
          <w:lang w:val="en-US"/>
        </w:rPr>
        <w:t>butadienes</w:t>
      </w:r>
      <w:proofErr w:type="spellEnd"/>
      <w:r>
        <w:rPr>
          <w:lang w:val="en-US"/>
        </w:rPr>
        <w:t xml:space="preserve"> would be </w:t>
      </w:r>
      <w:r w:rsidR="0002700E">
        <w:rPr>
          <w:lang w:val="en-US"/>
        </w:rPr>
        <w:t>carried</w:t>
      </w:r>
      <w:r>
        <w:rPr>
          <w:lang w:val="en-US"/>
        </w:rPr>
        <w:t xml:space="preserve">, the necessary precautions would have to be taken, independently </w:t>
      </w:r>
      <w:r w:rsidR="0002700E">
        <w:rPr>
          <w:lang w:val="en-US"/>
        </w:rPr>
        <w:t>the</w:t>
      </w:r>
      <w:r>
        <w:rPr>
          <w:lang w:val="en-US"/>
        </w:rPr>
        <w:t xml:space="preserve"> UN number </w:t>
      </w:r>
      <w:r w:rsidR="0002700E">
        <w:rPr>
          <w:lang w:val="en-US"/>
        </w:rPr>
        <w:t xml:space="preserve">under which </w:t>
      </w:r>
      <w:r>
        <w:rPr>
          <w:lang w:val="en-US"/>
        </w:rPr>
        <w:t>the mixture would be transported.</w:t>
      </w:r>
    </w:p>
    <w:p w:rsidR="00DE4750" w:rsidRPr="00576C71" w:rsidRDefault="00DE4750" w:rsidP="00AF5420">
      <w:pPr>
        <w:pStyle w:val="HChG"/>
        <w:spacing w:before="320"/>
        <w:rPr>
          <w:rFonts w:eastAsiaTheme="minorEastAsia"/>
          <w:lang w:val="en-US" w:eastAsia="zh-CN"/>
        </w:rPr>
      </w:pPr>
      <w:r w:rsidRPr="00E72409">
        <w:rPr>
          <w:rFonts w:eastAsiaTheme="minorEastAsia"/>
          <w:lang w:eastAsia="zh-CN"/>
        </w:rPr>
        <w:tab/>
      </w:r>
      <w:r w:rsidRPr="00E72409">
        <w:rPr>
          <w:rFonts w:eastAsiaTheme="minorEastAsia"/>
          <w:lang w:eastAsia="zh-CN"/>
        </w:rPr>
        <w:tab/>
      </w:r>
      <w:r w:rsidRPr="00576C71">
        <w:rPr>
          <w:rFonts w:eastAsiaTheme="minorEastAsia"/>
          <w:lang w:val="en-US" w:eastAsia="zh-CN"/>
        </w:rPr>
        <w:t>Proposal</w:t>
      </w:r>
    </w:p>
    <w:p w:rsidR="008A7147" w:rsidRDefault="00A718BF" w:rsidP="00AF5420">
      <w:pPr>
        <w:pStyle w:val="SingleTxtG"/>
        <w:spacing w:after="0" w:line="240" w:lineRule="auto"/>
      </w:pPr>
      <w:r>
        <w:t>11</w:t>
      </w:r>
      <w:r w:rsidR="004F7CA5">
        <w:t>.</w:t>
      </w:r>
      <w:r w:rsidR="004F7CA5">
        <w:tab/>
      </w:r>
      <w:r w:rsidR="00224507">
        <w:t xml:space="preserve">Spain would suggest </w:t>
      </w:r>
      <w:r w:rsidR="001C012A">
        <w:t>studying</w:t>
      </w:r>
      <w:r w:rsidR="00224507">
        <w:t xml:space="preserve"> the possibility of harmonizing the name and description for UN1010 with the one </w:t>
      </w:r>
      <w:r w:rsidR="0002700E">
        <w:t xml:space="preserve">in </w:t>
      </w:r>
      <w:r w:rsidR="00224507">
        <w:t>the Model Regulations.</w:t>
      </w:r>
    </w:p>
    <w:p w:rsidR="00FA16BB" w:rsidRPr="00FA16BB" w:rsidRDefault="00081202" w:rsidP="00AF5420">
      <w:pPr>
        <w:spacing w:before="120" w:line="240" w:lineRule="auto"/>
        <w:ind w:left="1134" w:right="992"/>
        <w:jc w:val="center"/>
        <w:rPr>
          <w:u w:val="single"/>
          <w:lang w:val="en-US"/>
        </w:rPr>
      </w:pPr>
      <w:r>
        <w:t>__________________</w:t>
      </w:r>
    </w:p>
    <w:sectPr w:rsidR="00FA16BB" w:rsidRPr="00FA16BB" w:rsidSect="00CF0197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D7F" w:rsidRDefault="006D5D7F"/>
  </w:endnote>
  <w:endnote w:type="continuationSeparator" w:id="0">
    <w:p w:rsidR="006D5D7F" w:rsidRDefault="006D5D7F"/>
  </w:endnote>
  <w:endnote w:type="continuationNotice" w:id="1">
    <w:p w:rsidR="006D5D7F" w:rsidRDefault="006D5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34506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AF5420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D7F" w:rsidRPr="000B175B" w:rsidRDefault="006D5D7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5D7F" w:rsidRPr="00FC68B7" w:rsidRDefault="006D5D7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D5D7F" w:rsidRDefault="006D5D7F"/>
  </w:footnote>
  <w:footnote w:id="2">
    <w:p w:rsidR="00BC247D" w:rsidRPr="00897362" w:rsidRDefault="002564BC" w:rsidP="00BC247D">
      <w:pPr>
        <w:pStyle w:val="FootnoteText"/>
        <w:rPr>
          <w:lang w:val="fr-CH"/>
        </w:rPr>
      </w:pPr>
      <w:r>
        <w:rPr>
          <w:sz w:val="20"/>
        </w:rPr>
        <w:tab/>
      </w:r>
      <w:r w:rsidRPr="00897362">
        <w:rPr>
          <w:rStyle w:val="FootnoteReference"/>
          <w:sz w:val="20"/>
        </w:rPr>
        <w:t>*</w:t>
      </w:r>
      <w:r>
        <w:t xml:space="preserve"> </w:t>
      </w:r>
      <w:r>
        <w:tab/>
      </w:r>
      <w:r>
        <w:rPr>
          <w:color w:val="000000"/>
          <w:lang w:val="en-US" w:eastAsia="en-GB"/>
        </w:rPr>
        <w:t xml:space="preserve">In accordance with the </w:t>
      </w:r>
      <w:proofErr w:type="spellStart"/>
      <w:r>
        <w:rPr>
          <w:color w:val="000000"/>
          <w:lang w:val="en-US" w:eastAsia="en-GB"/>
        </w:rPr>
        <w:t>programme</w:t>
      </w:r>
      <w:proofErr w:type="spellEnd"/>
      <w:r>
        <w:rPr>
          <w:color w:val="000000"/>
          <w:lang w:val="en-US" w:eastAsia="en-GB"/>
        </w:rPr>
        <w:t xml:space="preserve"> of work of the Inland Transport Committee for 2018-2019, (ECE/TRANS/</w:t>
      </w:r>
      <w:r w:rsidR="00BC247D">
        <w:rPr>
          <w:color w:val="000000"/>
          <w:lang w:val="en-US" w:eastAsia="en-GB"/>
        </w:rPr>
        <w:t>2018</w:t>
      </w:r>
      <w:r>
        <w:rPr>
          <w:color w:val="000000"/>
          <w:lang w:val="en-US" w:eastAsia="en-GB"/>
        </w:rPr>
        <w:t>/</w:t>
      </w:r>
      <w:r w:rsidR="00BC247D">
        <w:rPr>
          <w:color w:val="000000"/>
          <w:lang w:val="en-US" w:eastAsia="en-GB"/>
        </w:rPr>
        <w:t>21</w:t>
      </w:r>
      <w:r w:rsidR="00D2141C">
        <w:rPr>
          <w:color w:val="000000"/>
          <w:lang w:val="en-US" w:eastAsia="en-GB"/>
        </w:rPr>
        <w:t>/Add.1</w:t>
      </w:r>
      <w:r>
        <w:rPr>
          <w:color w:val="000000"/>
          <w:lang w:val="en-US" w:eastAsia="en-GB"/>
        </w:rPr>
        <w:t>,</w:t>
      </w:r>
      <w:r w:rsidR="00D2141C">
        <w:rPr>
          <w:color w:val="000000"/>
          <w:lang w:val="en-US" w:eastAsia="en-GB"/>
        </w:rPr>
        <w:t xml:space="preserve"> </w:t>
      </w:r>
      <w:r w:rsidR="00BC247D">
        <w:rPr>
          <w:color w:val="000000"/>
          <w:lang w:val="en-US" w:eastAsia="en-GB"/>
        </w:rPr>
        <w:t>Cluster 9 (</w:t>
      </w:r>
      <w:r>
        <w:rPr>
          <w:color w:val="000000"/>
          <w:lang w:val="en-US" w:eastAsia="en-GB"/>
        </w:rPr>
        <w:t>9.2)).</w:t>
      </w:r>
    </w:p>
  </w:footnote>
  <w:footnote w:id="3">
    <w:p w:rsidR="00BC247D" w:rsidRPr="00AF5420" w:rsidRDefault="00BC247D">
      <w:pPr>
        <w:pStyle w:val="FootnoteText"/>
        <w:rPr>
          <w:lang w:val="fr-CH"/>
        </w:rPr>
      </w:pPr>
      <w:r>
        <w:tab/>
      </w:r>
      <w:r w:rsidRPr="00513F51">
        <w:rPr>
          <w:rStyle w:val="FootnoteReference"/>
          <w:sz w:val="20"/>
        </w:rPr>
        <w:t>**</w:t>
      </w:r>
      <w:r>
        <w:tab/>
        <w:t xml:space="preserve"> Circulated by the Intergovernmental Organisation for International Carriage by Rail (OTIF) under the symbol </w:t>
      </w:r>
      <w:r w:rsidR="003E672E">
        <w:t>OTIF/RID/RC/2018/</w:t>
      </w:r>
      <w:r w:rsidR="003E672E" w:rsidRPr="00506EF0">
        <w:t>19</w:t>
      </w:r>
      <w:r w:rsidRPr="00506EF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Header"/>
    </w:pPr>
    <w:r w:rsidRPr="003E672E">
      <w:t>ECE/TRANS/WP.15/AC.1/201</w:t>
    </w:r>
    <w:r w:rsidR="001A1DCA" w:rsidRPr="003E672E">
      <w:t>8</w:t>
    </w:r>
    <w:r w:rsidRPr="003E672E">
      <w:t>/</w:t>
    </w:r>
    <w:r w:rsidR="003E672E" w:rsidRPr="003E672E">
      <w:t>1</w:t>
    </w:r>
    <w:r w:rsidR="003E672E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Header"/>
      <w:jc w:val="right"/>
    </w:pPr>
    <w:r w:rsidRPr="00AF5420">
      <w:rPr>
        <w:highlight w:val="yellow"/>
      </w:rPr>
      <w:t>ECE/TRANS/WP.15/AC.1/201</w:t>
    </w:r>
    <w:r w:rsidR="002564BC" w:rsidRPr="00AF5420">
      <w:rPr>
        <w:highlight w:val="yellow"/>
      </w:rPr>
      <w:t>8</w:t>
    </w:r>
    <w:r w:rsidRPr="00AF5420">
      <w:rPr>
        <w:highlight w:val="yellow"/>
      </w:rPr>
      <w:t>/</w:t>
    </w:r>
    <w:r w:rsidR="002564BC" w:rsidRPr="00AF5420">
      <w:rPr>
        <w:highlight w:val="yellow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4483329"/>
    <w:multiLevelType w:val="hybridMultilevel"/>
    <w:tmpl w:val="EF4CDCC0"/>
    <w:lvl w:ilvl="0" w:tplc="0C0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F1A3B"/>
    <w:multiLevelType w:val="hybridMultilevel"/>
    <w:tmpl w:val="107487F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13EFB"/>
    <w:multiLevelType w:val="hybridMultilevel"/>
    <w:tmpl w:val="5672DBAC"/>
    <w:lvl w:ilvl="0" w:tplc="27CE77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D77114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3" w15:restartNumberingAfterBreak="0">
    <w:nsid w:val="4ED92F95"/>
    <w:multiLevelType w:val="hybridMultilevel"/>
    <w:tmpl w:val="58AE6AAC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7AA2912"/>
    <w:multiLevelType w:val="hybridMultilevel"/>
    <w:tmpl w:val="CC8A73CC"/>
    <w:lvl w:ilvl="0" w:tplc="5978DD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15"/>
  </w:num>
  <w:num w:numId="16">
    <w:abstractNumId w:val="11"/>
  </w:num>
  <w:num w:numId="17">
    <w:abstractNumId w:val="21"/>
  </w:num>
  <w:num w:numId="18">
    <w:abstractNumId w:val="27"/>
  </w:num>
  <w:num w:numId="19">
    <w:abstractNumId w:val="25"/>
  </w:num>
  <w:num w:numId="20">
    <w:abstractNumId w:val="12"/>
  </w:num>
  <w:num w:numId="21">
    <w:abstractNumId w:val="16"/>
  </w:num>
  <w:num w:numId="22">
    <w:abstractNumId w:val="23"/>
  </w:num>
  <w:num w:numId="23">
    <w:abstractNumId w:val="13"/>
  </w:num>
  <w:num w:numId="24">
    <w:abstractNumId w:val="22"/>
  </w:num>
  <w:num w:numId="25">
    <w:abstractNumId w:val="18"/>
  </w:num>
  <w:num w:numId="26">
    <w:abstractNumId w:val="20"/>
  </w:num>
  <w:num w:numId="27">
    <w:abstractNumId w:val="26"/>
  </w:num>
  <w:num w:numId="2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113DE"/>
    <w:rsid w:val="000229B5"/>
    <w:rsid w:val="0002700E"/>
    <w:rsid w:val="00034A36"/>
    <w:rsid w:val="00037F90"/>
    <w:rsid w:val="00046B1F"/>
    <w:rsid w:val="00046BE6"/>
    <w:rsid w:val="000509A7"/>
    <w:rsid w:val="00050F6B"/>
    <w:rsid w:val="0005583C"/>
    <w:rsid w:val="00057E97"/>
    <w:rsid w:val="00072C8C"/>
    <w:rsid w:val="000733B5"/>
    <w:rsid w:val="00080491"/>
    <w:rsid w:val="00081202"/>
    <w:rsid w:val="0008179C"/>
    <w:rsid w:val="00081815"/>
    <w:rsid w:val="00091625"/>
    <w:rsid w:val="000931C0"/>
    <w:rsid w:val="000B0595"/>
    <w:rsid w:val="000B1333"/>
    <w:rsid w:val="000B175B"/>
    <w:rsid w:val="000B3A0F"/>
    <w:rsid w:val="000B4EF7"/>
    <w:rsid w:val="000C2C03"/>
    <w:rsid w:val="000C2D2E"/>
    <w:rsid w:val="000C4D51"/>
    <w:rsid w:val="000D230B"/>
    <w:rsid w:val="000E0415"/>
    <w:rsid w:val="000F4E0D"/>
    <w:rsid w:val="001103AA"/>
    <w:rsid w:val="001107F3"/>
    <w:rsid w:val="0011666B"/>
    <w:rsid w:val="001208E2"/>
    <w:rsid w:val="00126112"/>
    <w:rsid w:val="00155068"/>
    <w:rsid w:val="00165F3A"/>
    <w:rsid w:val="0017587F"/>
    <w:rsid w:val="001A1DCA"/>
    <w:rsid w:val="001B13A5"/>
    <w:rsid w:val="001B4B04"/>
    <w:rsid w:val="001C012A"/>
    <w:rsid w:val="001C152D"/>
    <w:rsid w:val="001C6663"/>
    <w:rsid w:val="001C7895"/>
    <w:rsid w:val="001D0C8C"/>
    <w:rsid w:val="001D1217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14D4D"/>
    <w:rsid w:val="00224507"/>
    <w:rsid w:val="002564BC"/>
    <w:rsid w:val="00260F3E"/>
    <w:rsid w:val="00267F5F"/>
    <w:rsid w:val="00277C12"/>
    <w:rsid w:val="00286B4D"/>
    <w:rsid w:val="002A5964"/>
    <w:rsid w:val="002A603B"/>
    <w:rsid w:val="002C134A"/>
    <w:rsid w:val="002D1A0F"/>
    <w:rsid w:val="002D2DC1"/>
    <w:rsid w:val="002D4643"/>
    <w:rsid w:val="002D4B6C"/>
    <w:rsid w:val="002F175C"/>
    <w:rsid w:val="002F3454"/>
    <w:rsid w:val="00300853"/>
    <w:rsid w:val="00302B8D"/>
    <w:rsid w:val="00302E18"/>
    <w:rsid w:val="00307FAA"/>
    <w:rsid w:val="00312506"/>
    <w:rsid w:val="003229D8"/>
    <w:rsid w:val="00352709"/>
    <w:rsid w:val="00361E92"/>
    <w:rsid w:val="00371178"/>
    <w:rsid w:val="00371194"/>
    <w:rsid w:val="00376188"/>
    <w:rsid w:val="00381475"/>
    <w:rsid w:val="003A2E91"/>
    <w:rsid w:val="003A6810"/>
    <w:rsid w:val="003C2CC4"/>
    <w:rsid w:val="003D4B23"/>
    <w:rsid w:val="003E672E"/>
    <w:rsid w:val="004059B4"/>
    <w:rsid w:val="00410C89"/>
    <w:rsid w:val="00422E03"/>
    <w:rsid w:val="00426B9B"/>
    <w:rsid w:val="0043040E"/>
    <w:rsid w:val="00430EFE"/>
    <w:rsid w:val="004325CB"/>
    <w:rsid w:val="00432B58"/>
    <w:rsid w:val="00441896"/>
    <w:rsid w:val="00442A83"/>
    <w:rsid w:val="00443AB5"/>
    <w:rsid w:val="0045495B"/>
    <w:rsid w:val="0048397A"/>
    <w:rsid w:val="00495D15"/>
    <w:rsid w:val="004A12F2"/>
    <w:rsid w:val="004C2461"/>
    <w:rsid w:val="004C7462"/>
    <w:rsid w:val="004D4E04"/>
    <w:rsid w:val="004D5426"/>
    <w:rsid w:val="004E0C05"/>
    <w:rsid w:val="004E77B2"/>
    <w:rsid w:val="004F7CA5"/>
    <w:rsid w:val="00503DEB"/>
    <w:rsid w:val="00504B2D"/>
    <w:rsid w:val="00506EF0"/>
    <w:rsid w:val="00511A9B"/>
    <w:rsid w:val="00513F51"/>
    <w:rsid w:val="0052136D"/>
    <w:rsid w:val="00522B58"/>
    <w:rsid w:val="0052775E"/>
    <w:rsid w:val="00530278"/>
    <w:rsid w:val="00531AFA"/>
    <w:rsid w:val="00535C90"/>
    <w:rsid w:val="005420F2"/>
    <w:rsid w:val="00543785"/>
    <w:rsid w:val="00545927"/>
    <w:rsid w:val="00546993"/>
    <w:rsid w:val="00546AD4"/>
    <w:rsid w:val="005628B6"/>
    <w:rsid w:val="00563C55"/>
    <w:rsid w:val="0059596F"/>
    <w:rsid w:val="00597EDC"/>
    <w:rsid w:val="005A575C"/>
    <w:rsid w:val="005B3DB3"/>
    <w:rsid w:val="005B4E13"/>
    <w:rsid w:val="005E6A77"/>
    <w:rsid w:val="005F7B75"/>
    <w:rsid w:val="006001EE"/>
    <w:rsid w:val="00600A17"/>
    <w:rsid w:val="00605042"/>
    <w:rsid w:val="00605A9A"/>
    <w:rsid w:val="00611FC4"/>
    <w:rsid w:val="006176FB"/>
    <w:rsid w:val="00626B45"/>
    <w:rsid w:val="00633CF0"/>
    <w:rsid w:val="00640B26"/>
    <w:rsid w:val="00652D0A"/>
    <w:rsid w:val="00656B98"/>
    <w:rsid w:val="006623D5"/>
    <w:rsid w:val="00662BB6"/>
    <w:rsid w:val="00667F8F"/>
    <w:rsid w:val="00684C21"/>
    <w:rsid w:val="0069232B"/>
    <w:rsid w:val="006A2530"/>
    <w:rsid w:val="006B7864"/>
    <w:rsid w:val="006C3589"/>
    <w:rsid w:val="006C7B73"/>
    <w:rsid w:val="006D37AF"/>
    <w:rsid w:val="006D51D0"/>
    <w:rsid w:val="006D5D7F"/>
    <w:rsid w:val="006E5117"/>
    <w:rsid w:val="006E564B"/>
    <w:rsid w:val="006E7191"/>
    <w:rsid w:val="006F4A9F"/>
    <w:rsid w:val="00703577"/>
    <w:rsid w:val="00705894"/>
    <w:rsid w:val="007229CF"/>
    <w:rsid w:val="0072632A"/>
    <w:rsid w:val="00731FF0"/>
    <w:rsid w:val="007327D5"/>
    <w:rsid w:val="00744E2A"/>
    <w:rsid w:val="007611CF"/>
    <w:rsid w:val="007629C8"/>
    <w:rsid w:val="00763ED8"/>
    <w:rsid w:val="00764081"/>
    <w:rsid w:val="007674FA"/>
    <w:rsid w:val="0077047D"/>
    <w:rsid w:val="007B6BA5"/>
    <w:rsid w:val="007C0E33"/>
    <w:rsid w:val="007C3390"/>
    <w:rsid w:val="007C4F4B"/>
    <w:rsid w:val="007D46D5"/>
    <w:rsid w:val="007E01E9"/>
    <w:rsid w:val="007E63F3"/>
    <w:rsid w:val="007F2A80"/>
    <w:rsid w:val="007F6611"/>
    <w:rsid w:val="007F7106"/>
    <w:rsid w:val="00806396"/>
    <w:rsid w:val="00811150"/>
    <w:rsid w:val="00811920"/>
    <w:rsid w:val="00815AD0"/>
    <w:rsid w:val="008242D7"/>
    <w:rsid w:val="008257B1"/>
    <w:rsid w:val="00843767"/>
    <w:rsid w:val="00850F50"/>
    <w:rsid w:val="008521A5"/>
    <w:rsid w:val="00860D0C"/>
    <w:rsid w:val="008679D9"/>
    <w:rsid w:val="00871389"/>
    <w:rsid w:val="00871E5E"/>
    <w:rsid w:val="00874CB6"/>
    <w:rsid w:val="00881C0C"/>
    <w:rsid w:val="00883999"/>
    <w:rsid w:val="008878DE"/>
    <w:rsid w:val="008979B1"/>
    <w:rsid w:val="008A2607"/>
    <w:rsid w:val="008A6B25"/>
    <w:rsid w:val="008A6C4F"/>
    <w:rsid w:val="008A7147"/>
    <w:rsid w:val="008B2335"/>
    <w:rsid w:val="008B717B"/>
    <w:rsid w:val="008D6256"/>
    <w:rsid w:val="008E0678"/>
    <w:rsid w:val="008E7526"/>
    <w:rsid w:val="00901B81"/>
    <w:rsid w:val="0092212D"/>
    <w:rsid w:val="009223CA"/>
    <w:rsid w:val="00940F93"/>
    <w:rsid w:val="0094558F"/>
    <w:rsid w:val="0094766B"/>
    <w:rsid w:val="00961690"/>
    <w:rsid w:val="009760F3"/>
    <w:rsid w:val="009950AD"/>
    <w:rsid w:val="009A0E8D"/>
    <w:rsid w:val="009B1518"/>
    <w:rsid w:val="009B192C"/>
    <w:rsid w:val="009B26E7"/>
    <w:rsid w:val="009B6669"/>
    <w:rsid w:val="009C3EED"/>
    <w:rsid w:val="009C454F"/>
    <w:rsid w:val="009D2A5B"/>
    <w:rsid w:val="00A00A3F"/>
    <w:rsid w:val="00A01489"/>
    <w:rsid w:val="00A1391E"/>
    <w:rsid w:val="00A2041E"/>
    <w:rsid w:val="00A2358C"/>
    <w:rsid w:val="00A3009E"/>
    <w:rsid w:val="00A3026E"/>
    <w:rsid w:val="00A338F1"/>
    <w:rsid w:val="00A43545"/>
    <w:rsid w:val="00A65936"/>
    <w:rsid w:val="00A66C37"/>
    <w:rsid w:val="00A718BF"/>
    <w:rsid w:val="00A72F22"/>
    <w:rsid w:val="00A7360F"/>
    <w:rsid w:val="00A748A6"/>
    <w:rsid w:val="00A769F4"/>
    <w:rsid w:val="00A776B4"/>
    <w:rsid w:val="00A81407"/>
    <w:rsid w:val="00A8207E"/>
    <w:rsid w:val="00A9093D"/>
    <w:rsid w:val="00A9142D"/>
    <w:rsid w:val="00A94361"/>
    <w:rsid w:val="00AA293C"/>
    <w:rsid w:val="00AB25C8"/>
    <w:rsid w:val="00AD13BA"/>
    <w:rsid w:val="00AE08DA"/>
    <w:rsid w:val="00AE1E36"/>
    <w:rsid w:val="00AE6935"/>
    <w:rsid w:val="00AF3993"/>
    <w:rsid w:val="00AF5420"/>
    <w:rsid w:val="00B012FA"/>
    <w:rsid w:val="00B11BB4"/>
    <w:rsid w:val="00B175D8"/>
    <w:rsid w:val="00B22BC2"/>
    <w:rsid w:val="00B30179"/>
    <w:rsid w:val="00B36283"/>
    <w:rsid w:val="00B421C1"/>
    <w:rsid w:val="00B42658"/>
    <w:rsid w:val="00B55C71"/>
    <w:rsid w:val="00B56E4A"/>
    <w:rsid w:val="00B56E9C"/>
    <w:rsid w:val="00B61320"/>
    <w:rsid w:val="00B62297"/>
    <w:rsid w:val="00B64B1F"/>
    <w:rsid w:val="00B6553F"/>
    <w:rsid w:val="00B70F1E"/>
    <w:rsid w:val="00B734ED"/>
    <w:rsid w:val="00B77D05"/>
    <w:rsid w:val="00B81206"/>
    <w:rsid w:val="00B81E12"/>
    <w:rsid w:val="00B857E8"/>
    <w:rsid w:val="00BA1092"/>
    <w:rsid w:val="00BB7CD1"/>
    <w:rsid w:val="00BC247D"/>
    <w:rsid w:val="00BC3FA0"/>
    <w:rsid w:val="00BC74E9"/>
    <w:rsid w:val="00BD4443"/>
    <w:rsid w:val="00BF68A8"/>
    <w:rsid w:val="00C10FE6"/>
    <w:rsid w:val="00C11A03"/>
    <w:rsid w:val="00C22C0C"/>
    <w:rsid w:val="00C22F9A"/>
    <w:rsid w:val="00C255AF"/>
    <w:rsid w:val="00C30C61"/>
    <w:rsid w:val="00C3172E"/>
    <w:rsid w:val="00C35502"/>
    <w:rsid w:val="00C373A1"/>
    <w:rsid w:val="00C40B11"/>
    <w:rsid w:val="00C4527F"/>
    <w:rsid w:val="00C463DD"/>
    <w:rsid w:val="00C4724C"/>
    <w:rsid w:val="00C517D2"/>
    <w:rsid w:val="00C563BF"/>
    <w:rsid w:val="00C629A0"/>
    <w:rsid w:val="00C64629"/>
    <w:rsid w:val="00C745C3"/>
    <w:rsid w:val="00C76F8B"/>
    <w:rsid w:val="00C81EB8"/>
    <w:rsid w:val="00C92461"/>
    <w:rsid w:val="00CB3E03"/>
    <w:rsid w:val="00CE4A8F"/>
    <w:rsid w:val="00CF0197"/>
    <w:rsid w:val="00CF1BAD"/>
    <w:rsid w:val="00D2031B"/>
    <w:rsid w:val="00D2141C"/>
    <w:rsid w:val="00D25FE2"/>
    <w:rsid w:val="00D32959"/>
    <w:rsid w:val="00D42878"/>
    <w:rsid w:val="00D43252"/>
    <w:rsid w:val="00D47EEA"/>
    <w:rsid w:val="00D550D4"/>
    <w:rsid w:val="00D606D7"/>
    <w:rsid w:val="00D773DF"/>
    <w:rsid w:val="00D836FC"/>
    <w:rsid w:val="00D872AC"/>
    <w:rsid w:val="00D9255F"/>
    <w:rsid w:val="00D95303"/>
    <w:rsid w:val="00D978C6"/>
    <w:rsid w:val="00DA3C1C"/>
    <w:rsid w:val="00DD29BD"/>
    <w:rsid w:val="00DE1D53"/>
    <w:rsid w:val="00DE3392"/>
    <w:rsid w:val="00DE4750"/>
    <w:rsid w:val="00DE73AD"/>
    <w:rsid w:val="00DF0F1A"/>
    <w:rsid w:val="00E046DF"/>
    <w:rsid w:val="00E15557"/>
    <w:rsid w:val="00E240D2"/>
    <w:rsid w:val="00E27346"/>
    <w:rsid w:val="00E34506"/>
    <w:rsid w:val="00E71610"/>
    <w:rsid w:val="00E71BC8"/>
    <w:rsid w:val="00E72409"/>
    <w:rsid w:val="00E7260F"/>
    <w:rsid w:val="00E73F5D"/>
    <w:rsid w:val="00E74859"/>
    <w:rsid w:val="00E77E4E"/>
    <w:rsid w:val="00E8771C"/>
    <w:rsid w:val="00E96630"/>
    <w:rsid w:val="00EA3763"/>
    <w:rsid w:val="00EC106A"/>
    <w:rsid w:val="00EC1E8A"/>
    <w:rsid w:val="00ED1389"/>
    <w:rsid w:val="00ED7A2A"/>
    <w:rsid w:val="00EE1FD0"/>
    <w:rsid w:val="00EE6B3A"/>
    <w:rsid w:val="00EF1D7F"/>
    <w:rsid w:val="00F14530"/>
    <w:rsid w:val="00F31E5F"/>
    <w:rsid w:val="00F32BB7"/>
    <w:rsid w:val="00F35A48"/>
    <w:rsid w:val="00F420E4"/>
    <w:rsid w:val="00F47EDC"/>
    <w:rsid w:val="00F6100A"/>
    <w:rsid w:val="00F63C9D"/>
    <w:rsid w:val="00F64DBF"/>
    <w:rsid w:val="00F66565"/>
    <w:rsid w:val="00F75A16"/>
    <w:rsid w:val="00F77976"/>
    <w:rsid w:val="00F852F4"/>
    <w:rsid w:val="00F913E2"/>
    <w:rsid w:val="00F92A22"/>
    <w:rsid w:val="00F93781"/>
    <w:rsid w:val="00F97A28"/>
    <w:rsid w:val="00FA16BB"/>
    <w:rsid w:val="00FA6DA6"/>
    <w:rsid w:val="00FB06F6"/>
    <w:rsid w:val="00FB1BC5"/>
    <w:rsid w:val="00FB3838"/>
    <w:rsid w:val="00FB613B"/>
    <w:rsid w:val="00FC68B7"/>
    <w:rsid w:val="00FE106A"/>
    <w:rsid w:val="00FE20C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E808752B-0AF6-4461-B391-DF635ADD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13B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character" w:customStyle="1" w:styleId="apple-converted-space">
    <w:name w:val="apple-converted-space"/>
    <w:basedOn w:val="DefaultParagraphFont"/>
    <w:rsid w:val="00AD13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75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950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3539-8797-457F-A426-434CA36B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1126259</vt:lpstr>
      <vt:lpstr>1126259</vt:lpstr>
      <vt:lpstr>1126259</vt:lpstr>
      <vt:lpstr>1126259</vt:lpstr>
    </vt:vector>
  </TitlesOfParts>
  <Company>CSD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De Marcos de Frutos Ángeles</dc:creator>
  <cp:keywords>ECE/TRANS/WP.15/AC.1/2012/8</cp:keywords>
  <dc:description>Final</dc:description>
  <cp:lastModifiedBy>Christine Barrio-Champeau</cp:lastModifiedBy>
  <cp:revision>15</cp:revision>
  <cp:lastPrinted>2018-06-25T10:06:00Z</cp:lastPrinted>
  <dcterms:created xsi:type="dcterms:W3CDTF">2018-06-21T11:20:00Z</dcterms:created>
  <dcterms:modified xsi:type="dcterms:W3CDTF">2018-06-26T08:37:00Z</dcterms:modified>
</cp:coreProperties>
</file>