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B762A" w14:paraId="721A55F6" w14:textId="77777777" w:rsidTr="001707B7">
        <w:trPr>
          <w:cantSplit/>
          <w:trHeight w:hRule="exact" w:val="851"/>
        </w:trPr>
        <w:tc>
          <w:tcPr>
            <w:tcW w:w="1276" w:type="dxa"/>
            <w:tcBorders>
              <w:bottom w:val="single" w:sz="4" w:space="0" w:color="auto"/>
            </w:tcBorders>
            <w:shd w:val="clear" w:color="auto" w:fill="auto"/>
            <w:vAlign w:val="bottom"/>
          </w:tcPr>
          <w:p w14:paraId="4A1FB603" w14:textId="77777777" w:rsidR="00B56E9C" w:rsidRPr="00DB762A" w:rsidRDefault="007B168D" w:rsidP="001707B7">
            <w:pPr>
              <w:spacing w:after="80"/>
            </w:pPr>
            <w:r w:rsidRPr="00DB762A">
              <w:t xml:space="preserve"> </w:t>
            </w:r>
          </w:p>
        </w:tc>
        <w:tc>
          <w:tcPr>
            <w:tcW w:w="2268" w:type="dxa"/>
            <w:tcBorders>
              <w:bottom w:val="single" w:sz="4" w:space="0" w:color="auto"/>
            </w:tcBorders>
            <w:shd w:val="clear" w:color="auto" w:fill="auto"/>
            <w:vAlign w:val="bottom"/>
          </w:tcPr>
          <w:p w14:paraId="3D96745F" w14:textId="77777777" w:rsidR="00B56E9C" w:rsidRPr="00DB762A" w:rsidRDefault="00B56E9C" w:rsidP="001707B7">
            <w:pPr>
              <w:spacing w:after="80" w:line="300" w:lineRule="exact"/>
              <w:rPr>
                <w:b/>
                <w:sz w:val="24"/>
                <w:szCs w:val="24"/>
              </w:rPr>
            </w:pPr>
            <w:r w:rsidRPr="00DB762A">
              <w:rPr>
                <w:sz w:val="28"/>
                <w:szCs w:val="28"/>
              </w:rPr>
              <w:t>United Nations</w:t>
            </w:r>
          </w:p>
        </w:tc>
        <w:tc>
          <w:tcPr>
            <w:tcW w:w="6095" w:type="dxa"/>
            <w:gridSpan w:val="2"/>
            <w:tcBorders>
              <w:bottom w:val="single" w:sz="4" w:space="0" w:color="auto"/>
            </w:tcBorders>
            <w:shd w:val="clear" w:color="auto" w:fill="auto"/>
            <w:vAlign w:val="bottom"/>
          </w:tcPr>
          <w:p w14:paraId="4FFB2DD6" w14:textId="57A89CEB" w:rsidR="00B56E9C" w:rsidRPr="00DB762A" w:rsidRDefault="007A6E87" w:rsidP="000F23E3">
            <w:pPr>
              <w:suppressAutoHyphens w:val="0"/>
              <w:spacing w:after="20"/>
              <w:jc w:val="right"/>
            </w:pPr>
            <w:r w:rsidRPr="00DB762A">
              <w:rPr>
                <w:sz w:val="40"/>
              </w:rPr>
              <w:t>ECE</w:t>
            </w:r>
            <w:r w:rsidRPr="00DB762A">
              <w:t>/TRANS/WP.15/AC.1/</w:t>
            </w:r>
            <w:r w:rsidR="00793BB3" w:rsidRPr="00DB762A">
              <w:t>1</w:t>
            </w:r>
            <w:r w:rsidR="009E1335" w:rsidRPr="00DB762A">
              <w:t>52</w:t>
            </w:r>
          </w:p>
        </w:tc>
      </w:tr>
      <w:tr w:rsidR="00B56E9C" w:rsidRPr="00DB762A" w14:paraId="1663DBF9" w14:textId="77777777" w:rsidTr="001707B7">
        <w:trPr>
          <w:cantSplit/>
          <w:trHeight w:hRule="exact" w:val="2835"/>
        </w:trPr>
        <w:tc>
          <w:tcPr>
            <w:tcW w:w="1276" w:type="dxa"/>
            <w:tcBorders>
              <w:top w:val="single" w:sz="4" w:space="0" w:color="auto"/>
              <w:bottom w:val="single" w:sz="12" w:space="0" w:color="auto"/>
            </w:tcBorders>
            <w:shd w:val="clear" w:color="auto" w:fill="auto"/>
          </w:tcPr>
          <w:p w14:paraId="7760BBCB" w14:textId="77777777" w:rsidR="00B56E9C" w:rsidRPr="00DB762A" w:rsidRDefault="00210708" w:rsidP="001707B7">
            <w:pPr>
              <w:spacing w:before="120"/>
            </w:pPr>
            <w:r w:rsidRPr="00DB762A">
              <w:rPr>
                <w:noProof/>
                <w:lang w:val="de-DE" w:eastAsia="de-DE"/>
              </w:rPr>
              <w:drawing>
                <wp:inline distT="0" distB="0" distL="0" distR="0" wp14:anchorId="3A1B00B4" wp14:editId="38F6CE0F">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5115DA5" w14:textId="77777777" w:rsidR="00B56E9C" w:rsidRPr="00DB762A" w:rsidRDefault="00D773DF" w:rsidP="001707B7">
            <w:pPr>
              <w:spacing w:before="120" w:line="420" w:lineRule="exact"/>
              <w:rPr>
                <w:sz w:val="40"/>
                <w:szCs w:val="40"/>
              </w:rPr>
            </w:pPr>
            <w:r w:rsidRPr="00DB762A">
              <w:rPr>
                <w:b/>
                <w:sz w:val="40"/>
                <w:szCs w:val="40"/>
              </w:rPr>
              <w:t>Economic and Social Council</w:t>
            </w:r>
          </w:p>
        </w:tc>
        <w:tc>
          <w:tcPr>
            <w:tcW w:w="2835" w:type="dxa"/>
            <w:tcBorders>
              <w:top w:val="single" w:sz="4" w:space="0" w:color="auto"/>
              <w:bottom w:val="single" w:sz="12" w:space="0" w:color="auto"/>
            </w:tcBorders>
            <w:shd w:val="clear" w:color="auto" w:fill="auto"/>
          </w:tcPr>
          <w:p w14:paraId="1642695F" w14:textId="77777777" w:rsidR="007A6E87" w:rsidRPr="00DB762A" w:rsidRDefault="007A6E87" w:rsidP="001707B7">
            <w:pPr>
              <w:suppressAutoHyphens w:val="0"/>
              <w:spacing w:before="240" w:line="240" w:lineRule="exact"/>
            </w:pPr>
            <w:r w:rsidRPr="00DB762A">
              <w:t>Distr.: General</w:t>
            </w:r>
          </w:p>
          <w:p w14:paraId="0CD1209B" w14:textId="328C7CA7" w:rsidR="007A6E87" w:rsidRPr="00DB762A" w:rsidRDefault="00CA348D" w:rsidP="001707B7">
            <w:pPr>
              <w:suppressAutoHyphens w:val="0"/>
            </w:pPr>
            <w:r>
              <w:t>18 October 2018</w:t>
            </w:r>
          </w:p>
          <w:p w14:paraId="4DDC8B89" w14:textId="24885F9F" w:rsidR="007A6E87" w:rsidRPr="00DB762A" w:rsidRDefault="00BE54F3" w:rsidP="001707B7">
            <w:pPr>
              <w:suppressAutoHyphens w:val="0"/>
            </w:pPr>
            <w:r w:rsidRPr="00DB762A">
              <w:t>English</w:t>
            </w:r>
          </w:p>
          <w:p w14:paraId="20E1ED93" w14:textId="0CB452CD" w:rsidR="00B56E9C" w:rsidRPr="00DB762A" w:rsidRDefault="007A6E87" w:rsidP="001707B7">
            <w:pPr>
              <w:suppressAutoHyphens w:val="0"/>
            </w:pPr>
            <w:r w:rsidRPr="00DB762A">
              <w:t xml:space="preserve">Original: </w:t>
            </w:r>
            <w:r w:rsidR="003F27B6" w:rsidRPr="00DB762A">
              <w:t>English</w:t>
            </w:r>
            <w:r w:rsidR="00BE54F3" w:rsidRPr="00DB762A">
              <w:t xml:space="preserve"> and French</w:t>
            </w:r>
          </w:p>
        </w:tc>
      </w:tr>
    </w:tbl>
    <w:p w14:paraId="0FFAA272" w14:textId="77777777" w:rsidR="00F67911" w:rsidRPr="00DB762A" w:rsidRDefault="00F67911">
      <w:pPr>
        <w:spacing w:before="120"/>
        <w:rPr>
          <w:b/>
          <w:sz w:val="28"/>
          <w:szCs w:val="28"/>
        </w:rPr>
      </w:pPr>
      <w:r w:rsidRPr="00DB762A">
        <w:rPr>
          <w:b/>
          <w:sz w:val="28"/>
          <w:szCs w:val="28"/>
        </w:rPr>
        <w:t>Economic Commission for Europe</w:t>
      </w:r>
    </w:p>
    <w:p w14:paraId="1D36B1BA" w14:textId="77777777" w:rsidR="00F67911" w:rsidRPr="00DB762A" w:rsidRDefault="00F67911" w:rsidP="00E92F5D">
      <w:pPr>
        <w:spacing w:before="120"/>
        <w:outlineLvl w:val="0"/>
        <w:rPr>
          <w:sz w:val="28"/>
          <w:szCs w:val="28"/>
        </w:rPr>
      </w:pPr>
      <w:r w:rsidRPr="00DB762A">
        <w:rPr>
          <w:sz w:val="28"/>
          <w:szCs w:val="28"/>
        </w:rPr>
        <w:t>Inland Transport Committee</w:t>
      </w:r>
    </w:p>
    <w:p w14:paraId="564CFCE4" w14:textId="77777777" w:rsidR="00F67911" w:rsidRPr="00DB762A" w:rsidRDefault="00F67911" w:rsidP="00E92F5D">
      <w:pPr>
        <w:spacing w:before="120"/>
        <w:outlineLvl w:val="0"/>
        <w:rPr>
          <w:b/>
          <w:sz w:val="24"/>
          <w:szCs w:val="24"/>
        </w:rPr>
      </w:pPr>
      <w:r w:rsidRPr="00DB762A">
        <w:rPr>
          <w:b/>
          <w:sz w:val="24"/>
          <w:szCs w:val="24"/>
        </w:rPr>
        <w:t>Working Party on the Transport of Dangerous Goods</w:t>
      </w:r>
    </w:p>
    <w:p w14:paraId="628EAC3D" w14:textId="77777777" w:rsidR="007A6E87" w:rsidRPr="00DB762A" w:rsidRDefault="007D629E" w:rsidP="00F67911">
      <w:pPr>
        <w:spacing w:before="120"/>
        <w:rPr>
          <w:b/>
        </w:rPr>
      </w:pPr>
      <w:r w:rsidRPr="00DB762A">
        <w:rPr>
          <w:b/>
        </w:rPr>
        <w:t>Joint M</w:t>
      </w:r>
      <w:r w:rsidR="00F67911" w:rsidRPr="00DB762A">
        <w:rPr>
          <w:b/>
        </w:rPr>
        <w:t>eeting of the RID Committee of Experts and the</w:t>
      </w:r>
      <w:r w:rsidR="00F67911" w:rsidRPr="00DB762A">
        <w:rPr>
          <w:b/>
        </w:rPr>
        <w:br/>
        <w:t>Working Party on the Transport of Dangerous Goods</w:t>
      </w:r>
    </w:p>
    <w:p w14:paraId="16729234" w14:textId="44BD44C1" w:rsidR="00F67911" w:rsidRPr="00DB762A" w:rsidRDefault="00F67911" w:rsidP="009C737B">
      <w:pPr>
        <w:pStyle w:val="HChG"/>
        <w:rPr>
          <w:lang w:val="en-GB"/>
        </w:rPr>
      </w:pPr>
      <w:r w:rsidRPr="00DB762A">
        <w:rPr>
          <w:lang w:val="en-GB"/>
        </w:rPr>
        <w:tab/>
      </w:r>
      <w:r w:rsidRPr="00DB762A">
        <w:rPr>
          <w:lang w:val="en-GB"/>
        </w:rPr>
        <w:tab/>
        <w:t xml:space="preserve">Report of the Joint Meeting of the RID Committee of Experts and the Working Party on the Transport of Dangerous Goods on its </w:t>
      </w:r>
      <w:r w:rsidR="001C1B54" w:rsidRPr="00DB762A">
        <w:rPr>
          <w:lang w:val="en-GB"/>
        </w:rPr>
        <w:t>a</w:t>
      </w:r>
      <w:r w:rsidR="00E62A4C" w:rsidRPr="00DB762A">
        <w:rPr>
          <w:lang w:val="en-GB"/>
        </w:rPr>
        <w:t>utumn</w:t>
      </w:r>
      <w:r w:rsidR="00A638D7" w:rsidRPr="00DB762A">
        <w:rPr>
          <w:lang w:val="en-GB"/>
        </w:rPr>
        <w:t xml:space="preserve"> 201</w:t>
      </w:r>
      <w:r w:rsidR="009E1335" w:rsidRPr="00DB762A">
        <w:rPr>
          <w:lang w:val="en-GB"/>
        </w:rPr>
        <w:t>8</w:t>
      </w:r>
      <w:r w:rsidR="00A638D7" w:rsidRPr="00DB762A">
        <w:rPr>
          <w:lang w:val="en-GB"/>
        </w:rPr>
        <w:t xml:space="preserve"> session</w:t>
      </w:r>
      <w:r w:rsidR="005D5932" w:rsidRPr="00DB762A">
        <w:rPr>
          <w:rStyle w:val="FootnoteReference"/>
          <w:sz w:val="20"/>
          <w:lang w:val="en-GB"/>
        </w:rPr>
        <w:footnoteReference w:customMarkFollows="1" w:id="2"/>
        <w:t>*</w:t>
      </w:r>
    </w:p>
    <w:p w14:paraId="445F99E6" w14:textId="720226BD" w:rsidR="00F67911" w:rsidRPr="00DB762A" w:rsidRDefault="00671767" w:rsidP="00671767">
      <w:pPr>
        <w:pStyle w:val="H56G"/>
      </w:pPr>
      <w:r w:rsidRPr="00DB762A">
        <w:tab/>
      </w:r>
      <w:r w:rsidRPr="00DB762A">
        <w:tab/>
      </w:r>
      <w:r w:rsidR="007D629E" w:rsidRPr="00DB762A">
        <w:t>h</w:t>
      </w:r>
      <w:r w:rsidR="00800004" w:rsidRPr="00DB762A">
        <w:t xml:space="preserve">eld </w:t>
      </w:r>
      <w:r w:rsidR="00F67911" w:rsidRPr="00DB762A">
        <w:t xml:space="preserve">in </w:t>
      </w:r>
      <w:r w:rsidR="009673BC" w:rsidRPr="00DB762A">
        <w:t>Geneva</w:t>
      </w:r>
      <w:r w:rsidR="00F67911" w:rsidRPr="00DB762A">
        <w:t xml:space="preserve"> from </w:t>
      </w:r>
      <w:r w:rsidR="009673BC" w:rsidRPr="00DB762A">
        <w:t>1</w:t>
      </w:r>
      <w:r w:rsidR="00321D51" w:rsidRPr="00DB762A">
        <w:t>7</w:t>
      </w:r>
      <w:r w:rsidR="00845E55" w:rsidRPr="00DB762A">
        <w:t xml:space="preserve"> to </w:t>
      </w:r>
      <w:r w:rsidR="000E2040" w:rsidRPr="00DB762A">
        <w:t>2</w:t>
      </w:r>
      <w:r w:rsidR="00321D51" w:rsidRPr="00DB762A">
        <w:t>1</w:t>
      </w:r>
      <w:r w:rsidR="00F0775A" w:rsidRPr="00DB762A">
        <w:t xml:space="preserve"> </w:t>
      </w:r>
      <w:r w:rsidR="009673BC" w:rsidRPr="00DB762A">
        <w:t>September</w:t>
      </w:r>
      <w:r w:rsidR="00BF32BE" w:rsidRPr="00DB762A">
        <w:t xml:space="preserve"> 201</w:t>
      </w:r>
      <w:r w:rsidR="005D092D" w:rsidRPr="00DB762A">
        <w:t>8</w:t>
      </w:r>
    </w:p>
    <w:p w14:paraId="229FF18F" w14:textId="77777777" w:rsidR="001A3E62" w:rsidRPr="00D4632B" w:rsidRDefault="001A3E62" w:rsidP="00845E55">
      <w:pPr>
        <w:spacing w:after="120"/>
        <w:ind w:firstLine="567"/>
        <w:outlineLvl w:val="0"/>
        <w:rPr>
          <w:sz w:val="28"/>
          <w:lang w:val="fr-FR"/>
        </w:rPr>
      </w:pPr>
      <w:r w:rsidRPr="00D4632B">
        <w:rPr>
          <w:sz w:val="28"/>
          <w:lang w:val="fr-FR"/>
        </w:rPr>
        <w:t>Contents</w:t>
      </w:r>
    </w:p>
    <w:p w14:paraId="6D02CF17" w14:textId="77777777" w:rsidR="001A3E62" w:rsidRPr="00D4632B" w:rsidRDefault="001A3E62" w:rsidP="001A3E62">
      <w:pPr>
        <w:tabs>
          <w:tab w:val="right" w:pos="8929"/>
          <w:tab w:val="right" w:pos="9638"/>
        </w:tabs>
        <w:spacing w:after="120"/>
        <w:ind w:left="283"/>
        <w:rPr>
          <w:lang w:val="fr-FR"/>
        </w:rPr>
      </w:pPr>
      <w:r w:rsidRPr="00D4632B">
        <w:rPr>
          <w:i/>
          <w:sz w:val="18"/>
          <w:lang w:val="fr-FR"/>
        </w:rPr>
        <w:tab/>
      </w:r>
      <w:proofErr w:type="spellStart"/>
      <w:r w:rsidRPr="00D4632B">
        <w:rPr>
          <w:i/>
          <w:sz w:val="18"/>
          <w:lang w:val="fr-FR"/>
        </w:rPr>
        <w:t>Paragraphs</w:t>
      </w:r>
      <w:proofErr w:type="spellEnd"/>
      <w:r w:rsidRPr="00D4632B">
        <w:rPr>
          <w:i/>
          <w:sz w:val="18"/>
          <w:lang w:val="fr-FR"/>
        </w:rPr>
        <w:tab/>
        <w:t>Page</w:t>
      </w:r>
    </w:p>
    <w:p w14:paraId="1FCFA4E3" w14:textId="03A50BA4" w:rsidR="00201168" w:rsidRPr="00D4632B" w:rsidRDefault="00201168" w:rsidP="00201168">
      <w:pPr>
        <w:tabs>
          <w:tab w:val="right" w:pos="850"/>
          <w:tab w:val="left" w:pos="1134"/>
          <w:tab w:val="left" w:pos="1559"/>
          <w:tab w:val="left" w:pos="1984"/>
          <w:tab w:val="left" w:leader="dot" w:pos="7654"/>
          <w:tab w:val="right" w:pos="8929"/>
          <w:tab w:val="right" w:pos="9638"/>
        </w:tabs>
        <w:spacing w:after="120"/>
        <w:rPr>
          <w:lang w:val="fr-FR"/>
        </w:rPr>
      </w:pPr>
      <w:r w:rsidRPr="00D4632B">
        <w:rPr>
          <w:lang w:val="fr-FR"/>
        </w:rPr>
        <w:tab/>
        <w:t>I.</w:t>
      </w:r>
      <w:r w:rsidRPr="00D4632B">
        <w:rPr>
          <w:lang w:val="fr-FR"/>
        </w:rPr>
        <w:tab/>
      </w:r>
      <w:r w:rsidR="008A739E" w:rsidRPr="00D4632B">
        <w:rPr>
          <w:lang w:val="fr-FR"/>
        </w:rPr>
        <w:t>Attendance</w:t>
      </w:r>
      <w:r w:rsidR="00AC0BF0" w:rsidRPr="00D4632B">
        <w:rPr>
          <w:lang w:val="fr-FR"/>
        </w:rPr>
        <w:tab/>
      </w:r>
      <w:r w:rsidR="00AC0BF0" w:rsidRPr="00D4632B">
        <w:rPr>
          <w:lang w:val="fr-FR"/>
        </w:rPr>
        <w:tab/>
      </w:r>
      <w:r w:rsidR="004E30F6" w:rsidRPr="00D4632B">
        <w:rPr>
          <w:lang w:val="fr-FR"/>
        </w:rPr>
        <w:t>1-3</w:t>
      </w:r>
      <w:r w:rsidRPr="00D4632B">
        <w:rPr>
          <w:lang w:val="fr-FR"/>
        </w:rPr>
        <w:tab/>
      </w:r>
      <w:r w:rsidR="004E30F6" w:rsidRPr="00D4632B">
        <w:rPr>
          <w:lang w:val="fr-FR"/>
        </w:rPr>
        <w:t>4</w:t>
      </w:r>
    </w:p>
    <w:p w14:paraId="7BF551EE" w14:textId="6B5F72AD" w:rsidR="00201168" w:rsidRPr="00DB762A" w:rsidRDefault="00201168" w:rsidP="00201168">
      <w:pPr>
        <w:tabs>
          <w:tab w:val="right" w:pos="850"/>
          <w:tab w:val="left" w:pos="1134"/>
          <w:tab w:val="left" w:pos="1559"/>
          <w:tab w:val="left" w:pos="1984"/>
          <w:tab w:val="left" w:leader="dot" w:pos="7654"/>
          <w:tab w:val="right" w:pos="8929"/>
          <w:tab w:val="right" w:pos="9638"/>
        </w:tabs>
        <w:spacing w:after="120"/>
      </w:pPr>
      <w:r w:rsidRPr="00D4632B">
        <w:rPr>
          <w:lang w:val="fr-FR"/>
        </w:rPr>
        <w:tab/>
      </w:r>
      <w:r w:rsidRPr="00DB762A">
        <w:t>II.</w:t>
      </w:r>
      <w:r w:rsidRPr="00DB762A">
        <w:tab/>
      </w:r>
      <w:r w:rsidR="008A739E" w:rsidRPr="00DB762A">
        <w:t>Adoption of the agenda (agenda item 1)</w:t>
      </w:r>
      <w:r w:rsidRPr="00DB762A">
        <w:tab/>
      </w:r>
      <w:r w:rsidRPr="00DB762A">
        <w:tab/>
      </w:r>
      <w:r w:rsidR="004E30F6">
        <w:t>4</w:t>
      </w:r>
      <w:r w:rsidRPr="00DB762A">
        <w:tab/>
      </w:r>
      <w:r w:rsidR="004E30F6">
        <w:t>4</w:t>
      </w:r>
    </w:p>
    <w:p w14:paraId="0D5523E1" w14:textId="1FF81AAA" w:rsidR="00201168" w:rsidRDefault="00201168" w:rsidP="00201168">
      <w:pPr>
        <w:tabs>
          <w:tab w:val="right" w:pos="850"/>
          <w:tab w:val="left" w:pos="1134"/>
          <w:tab w:val="left" w:pos="1984"/>
          <w:tab w:val="left" w:leader="dot" w:pos="7654"/>
          <w:tab w:val="right" w:pos="8929"/>
          <w:tab w:val="right" w:pos="9638"/>
        </w:tabs>
        <w:spacing w:after="120"/>
        <w:ind w:left="1134" w:hanging="534"/>
      </w:pPr>
      <w:r w:rsidRPr="00DB762A">
        <w:t>III.</w:t>
      </w:r>
      <w:r w:rsidRPr="00DB762A">
        <w:tab/>
      </w:r>
      <w:r w:rsidRPr="00DB762A">
        <w:tab/>
      </w:r>
      <w:r w:rsidR="008A739E" w:rsidRPr="00DB762A">
        <w:t>Tanks (agenda item 2)</w:t>
      </w:r>
      <w:r w:rsidRPr="00DB762A">
        <w:tab/>
      </w:r>
      <w:r w:rsidRPr="00DB762A">
        <w:tab/>
      </w:r>
      <w:r w:rsidR="004E30F6">
        <w:t>5-6</w:t>
      </w:r>
      <w:r w:rsidRPr="00DB762A">
        <w:tab/>
      </w:r>
      <w:r w:rsidR="004E30F6">
        <w:t>4</w:t>
      </w:r>
    </w:p>
    <w:p w14:paraId="71DBB88D" w14:textId="133DD0F0" w:rsidR="002217E2" w:rsidRPr="00DB762A" w:rsidRDefault="002217E2" w:rsidP="00201168">
      <w:pPr>
        <w:tabs>
          <w:tab w:val="right" w:pos="850"/>
          <w:tab w:val="left" w:pos="1134"/>
          <w:tab w:val="left" w:pos="1984"/>
          <w:tab w:val="left" w:leader="dot" w:pos="7654"/>
          <w:tab w:val="right" w:pos="8929"/>
          <w:tab w:val="right" w:pos="9638"/>
        </w:tabs>
        <w:spacing w:after="120"/>
        <w:ind w:left="1134" w:hanging="534"/>
      </w:pPr>
      <w:r>
        <w:tab/>
      </w:r>
      <w:r>
        <w:tab/>
      </w:r>
      <w:r w:rsidRPr="00DB762A">
        <w:t>Report of the Working Group on Tanks</w:t>
      </w:r>
      <w:r>
        <w:tab/>
      </w:r>
      <w:r w:rsidR="004E30F6">
        <w:tab/>
        <w:t>6</w:t>
      </w:r>
      <w:r w:rsidR="004E30F6">
        <w:tab/>
        <w:t>5</w:t>
      </w:r>
    </w:p>
    <w:p w14:paraId="50CDCF45" w14:textId="51F0B95A" w:rsidR="00201168" w:rsidRPr="00DB762A" w:rsidRDefault="00201168" w:rsidP="00201168">
      <w:pPr>
        <w:tabs>
          <w:tab w:val="right" w:pos="850"/>
          <w:tab w:val="left" w:pos="1134"/>
          <w:tab w:val="left" w:pos="1559"/>
          <w:tab w:val="left" w:pos="1984"/>
          <w:tab w:val="left" w:leader="dot" w:pos="7654"/>
          <w:tab w:val="right" w:pos="8929"/>
          <w:tab w:val="right" w:pos="9638"/>
        </w:tabs>
        <w:spacing w:after="120"/>
        <w:ind w:left="1980" w:hanging="1380"/>
      </w:pPr>
      <w:r w:rsidRPr="00DB762A">
        <w:tab/>
        <w:t>IV.</w:t>
      </w:r>
      <w:r w:rsidRPr="00DB762A">
        <w:tab/>
      </w:r>
      <w:r w:rsidR="008A739E" w:rsidRPr="00DB762A">
        <w:t>Standards (agenda item 3)</w:t>
      </w:r>
      <w:r w:rsidRPr="00DB762A">
        <w:tab/>
      </w:r>
      <w:r w:rsidRPr="00DB762A">
        <w:tab/>
      </w:r>
      <w:r w:rsidR="004E30F6">
        <w:t>7-14</w:t>
      </w:r>
      <w:r w:rsidR="004E30F6">
        <w:tab/>
        <w:t>5</w:t>
      </w:r>
    </w:p>
    <w:p w14:paraId="5B306896" w14:textId="076D34E2" w:rsidR="002217E2" w:rsidRDefault="002217E2" w:rsidP="00321DE3">
      <w:pPr>
        <w:tabs>
          <w:tab w:val="right" w:pos="850"/>
          <w:tab w:val="left" w:pos="1134"/>
          <w:tab w:val="left" w:pos="1559"/>
          <w:tab w:val="left" w:leader="dot" w:pos="7654"/>
          <w:tab w:val="right" w:pos="8929"/>
          <w:tab w:val="right" w:pos="9638"/>
        </w:tabs>
        <w:spacing w:after="120"/>
        <w:ind w:left="1134" w:hanging="1134"/>
      </w:pPr>
      <w:r>
        <w:tab/>
      </w:r>
      <w:r>
        <w:tab/>
      </w:r>
      <w:r w:rsidRPr="00DB762A">
        <w:t>Report of the Working Group on Standards</w:t>
      </w:r>
      <w:r>
        <w:tab/>
      </w:r>
      <w:r>
        <w:tab/>
      </w:r>
      <w:r w:rsidR="004E30F6">
        <w:t>13-14</w:t>
      </w:r>
      <w:r w:rsidR="004E30F6">
        <w:tab/>
        <w:t>6</w:t>
      </w:r>
    </w:p>
    <w:p w14:paraId="029566C2" w14:textId="05222C66" w:rsidR="00201168" w:rsidRPr="00DB762A" w:rsidRDefault="00201168" w:rsidP="00321DE3">
      <w:pPr>
        <w:tabs>
          <w:tab w:val="right" w:pos="850"/>
          <w:tab w:val="left" w:pos="1134"/>
          <w:tab w:val="left" w:pos="1559"/>
          <w:tab w:val="left" w:leader="dot" w:pos="7654"/>
          <w:tab w:val="right" w:pos="8929"/>
          <w:tab w:val="right" w:pos="9638"/>
        </w:tabs>
        <w:spacing w:after="120"/>
        <w:ind w:left="1134" w:hanging="1134"/>
      </w:pPr>
      <w:r w:rsidRPr="00DB762A">
        <w:tab/>
        <w:t>V.</w:t>
      </w:r>
      <w:r w:rsidRPr="00DB762A">
        <w:tab/>
      </w:r>
      <w:r w:rsidR="00737451" w:rsidRPr="00DB762A">
        <w:t>Interpretation of RID/ADR/ADN</w:t>
      </w:r>
      <w:r w:rsidR="00737451" w:rsidRPr="00DB762A" w:rsidDel="00737451">
        <w:t xml:space="preserve"> </w:t>
      </w:r>
      <w:r w:rsidR="00954311" w:rsidRPr="00DB762A">
        <w:t>(agenda item 4)</w:t>
      </w:r>
      <w:r w:rsidRPr="00DB762A">
        <w:tab/>
      </w:r>
      <w:r w:rsidRPr="00DB762A">
        <w:tab/>
      </w:r>
      <w:r w:rsidR="004E30F6">
        <w:t>15</w:t>
      </w:r>
      <w:r w:rsidR="004E30F6">
        <w:tab/>
        <w:t>6</w:t>
      </w:r>
    </w:p>
    <w:p w14:paraId="06D92206" w14:textId="53B247A8" w:rsidR="00201168" w:rsidRPr="00DB762A" w:rsidRDefault="00201168">
      <w:pPr>
        <w:tabs>
          <w:tab w:val="right" w:pos="850"/>
          <w:tab w:val="left" w:pos="1134"/>
          <w:tab w:val="left" w:pos="1559"/>
          <w:tab w:val="left" w:pos="1984"/>
          <w:tab w:val="left" w:leader="dot" w:pos="7654"/>
          <w:tab w:val="right" w:pos="8929"/>
          <w:tab w:val="right" w:pos="9638"/>
        </w:tabs>
        <w:spacing w:after="120"/>
        <w:ind w:left="1980" w:hanging="1980"/>
      </w:pPr>
      <w:r w:rsidRPr="00DB762A">
        <w:tab/>
        <w:t>VI.</w:t>
      </w:r>
      <w:r w:rsidR="00415F59" w:rsidRPr="00DB762A">
        <w:tab/>
      </w:r>
      <w:r w:rsidR="008A739E" w:rsidRPr="00DB762A">
        <w:t>Proposals for amendments to RID/ADR/ADN (agenda item 5)</w:t>
      </w:r>
      <w:r w:rsidRPr="00DB762A">
        <w:tab/>
      </w:r>
      <w:r w:rsidRPr="00DB762A">
        <w:tab/>
      </w:r>
      <w:r w:rsidR="004E30F6">
        <w:t>16-41</w:t>
      </w:r>
      <w:r w:rsidR="004E30F6">
        <w:tab/>
        <w:t>6</w:t>
      </w:r>
    </w:p>
    <w:p w14:paraId="52FB05DD" w14:textId="6F003688" w:rsidR="00201168" w:rsidRPr="00DB762A" w:rsidRDefault="00201168" w:rsidP="00201168">
      <w:pPr>
        <w:tabs>
          <w:tab w:val="right" w:pos="850"/>
          <w:tab w:val="left" w:pos="1134"/>
          <w:tab w:val="left" w:pos="1559"/>
          <w:tab w:val="left" w:leader="dot" w:pos="7654"/>
          <w:tab w:val="right" w:pos="8929"/>
          <w:tab w:val="right" w:pos="9638"/>
        </w:tabs>
        <w:spacing w:after="120"/>
        <w:ind w:left="1560" w:hanging="1980"/>
      </w:pPr>
      <w:r w:rsidRPr="00DB762A">
        <w:tab/>
      </w:r>
      <w:r w:rsidRPr="00DB762A">
        <w:tab/>
        <w:t>A.</w:t>
      </w:r>
      <w:r w:rsidRPr="00DB762A">
        <w:tab/>
      </w:r>
      <w:r w:rsidR="008A739E" w:rsidRPr="00DB762A">
        <w:t>Pending issues</w:t>
      </w:r>
      <w:r w:rsidRPr="00DB762A">
        <w:tab/>
      </w:r>
      <w:r w:rsidRPr="00DB762A">
        <w:tab/>
      </w:r>
      <w:r w:rsidR="004E30F6">
        <w:t>16-20</w:t>
      </w:r>
      <w:r w:rsidR="004E30F6">
        <w:tab/>
        <w:t>6</w:t>
      </w:r>
    </w:p>
    <w:p w14:paraId="55374EA4" w14:textId="102C55B3" w:rsidR="002217E2" w:rsidRDefault="002217E2" w:rsidP="002217E2">
      <w:pPr>
        <w:tabs>
          <w:tab w:val="right" w:pos="850"/>
          <w:tab w:val="left" w:pos="1134"/>
          <w:tab w:val="left" w:pos="1559"/>
          <w:tab w:val="left" w:leader="dot" w:pos="7654"/>
          <w:tab w:val="right" w:pos="8929"/>
          <w:tab w:val="right" w:pos="9638"/>
        </w:tabs>
        <w:spacing w:after="120"/>
        <w:ind w:left="1985" w:hanging="425"/>
      </w:pPr>
      <w:r w:rsidRPr="00DB762A">
        <w:t>1.</w:t>
      </w:r>
      <w:r>
        <w:t xml:space="preserve"> </w:t>
      </w:r>
      <w:r>
        <w:tab/>
      </w:r>
      <w:r w:rsidRPr="00DB762A">
        <w:t xml:space="preserve">Status of publication of standards which were not published in time </w:t>
      </w:r>
      <w:r>
        <w:br/>
      </w:r>
      <w:r w:rsidRPr="00DB762A">
        <w:t xml:space="preserve">to be included in the list of amendments to be notified to </w:t>
      </w:r>
      <w:r>
        <w:br/>
      </w:r>
      <w:r w:rsidRPr="00DB762A">
        <w:t>Contracting Parties for entry into force on 1 January 2019</w:t>
      </w:r>
      <w:r>
        <w:tab/>
      </w:r>
      <w:r>
        <w:tab/>
      </w:r>
      <w:r w:rsidR="004E30F6">
        <w:t>16-19</w:t>
      </w:r>
      <w:r>
        <w:tab/>
      </w:r>
      <w:r w:rsidR="004E30F6">
        <w:t>6</w:t>
      </w:r>
    </w:p>
    <w:p w14:paraId="713D41D2" w14:textId="01571471" w:rsidR="002217E2" w:rsidRDefault="002217E2" w:rsidP="002217E2">
      <w:pPr>
        <w:tabs>
          <w:tab w:val="right" w:pos="850"/>
          <w:tab w:val="left" w:pos="1134"/>
          <w:tab w:val="left" w:pos="1559"/>
          <w:tab w:val="left" w:leader="dot" w:pos="7654"/>
          <w:tab w:val="right" w:pos="8929"/>
          <w:tab w:val="right" w:pos="9638"/>
        </w:tabs>
        <w:spacing w:after="120"/>
        <w:ind w:left="1985" w:hanging="425"/>
      </w:pPr>
      <w:r>
        <w:lastRenderedPageBreak/>
        <w:t>2.</w:t>
      </w:r>
      <w:r>
        <w:tab/>
      </w:r>
      <w:r w:rsidRPr="00DB762A">
        <w:t>Hazard identification number 836</w:t>
      </w:r>
      <w:r>
        <w:tab/>
      </w:r>
      <w:r>
        <w:tab/>
      </w:r>
      <w:r w:rsidR="004E30F6">
        <w:t>20</w:t>
      </w:r>
      <w:r w:rsidR="004E30F6">
        <w:tab/>
        <w:t>7</w:t>
      </w:r>
    </w:p>
    <w:p w14:paraId="7B52B417" w14:textId="7F79F1B2" w:rsidR="00201168" w:rsidRDefault="00201168" w:rsidP="00C827CF">
      <w:pPr>
        <w:tabs>
          <w:tab w:val="right" w:pos="850"/>
          <w:tab w:val="left" w:pos="1134"/>
          <w:tab w:val="left" w:pos="1559"/>
          <w:tab w:val="left" w:leader="dot" w:pos="7654"/>
          <w:tab w:val="right" w:pos="8929"/>
          <w:tab w:val="right" w:pos="9638"/>
        </w:tabs>
        <w:spacing w:after="120"/>
        <w:ind w:left="1560" w:hanging="1980"/>
      </w:pPr>
      <w:r w:rsidRPr="00DB762A">
        <w:tab/>
      </w:r>
      <w:r w:rsidRPr="00DB762A">
        <w:tab/>
        <w:t>B.</w:t>
      </w:r>
      <w:r w:rsidR="00C827CF">
        <w:t xml:space="preserve"> </w:t>
      </w:r>
      <w:r w:rsidR="00C827CF">
        <w:tab/>
      </w:r>
      <w:r w:rsidR="008A739E" w:rsidRPr="00DB762A">
        <w:t>New proposals</w:t>
      </w:r>
      <w:r w:rsidRPr="00DB762A">
        <w:tab/>
      </w:r>
      <w:r w:rsidRPr="00DB762A">
        <w:tab/>
      </w:r>
      <w:r w:rsidR="004E30F6">
        <w:t>21-41</w:t>
      </w:r>
      <w:r w:rsidR="004E30F6">
        <w:tab/>
        <w:t>7</w:t>
      </w:r>
    </w:p>
    <w:p w14:paraId="28C992B9" w14:textId="188531ED" w:rsidR="002217E2" w:rsidRDefault="002217E2" w:rsidP="002217E2">
      <w:pPr>
        <w:tabs>
          <w:tab w:val="right" w:pos="850"/>
          <w:tab w:val="left" w:pos="1134"/>
          <w:tab w:val="left" w:pos="1559"/>
          <w:tab w:val="left" w:leader="dot" w:pos="7654"/>
          <w:tab w:val="right" w:pos="8929"/>
          <w:tab w:val="right" w:pos="9638"/>
        </w:tabs>
        <w:spacing w:after="120"/>
        <w:ind w:left="1985" w:hanging="425"/>
      </w:pPr>
      <w:r w:rsidRPr="002217E2">
        <w:t>1.</w:t>
      </w:r>
      <w:r w:rsidRPr="002217E2">
        <w:tab/>
        <w:t xml:space="preserve">Mixed loading prohibitions for packages for which no danger labels </w:t>
      </w:r>
      <w:r w:rsidRPr="002217E2">
        <w:br/>
        <w:t>are prescribed (7.5.2.1)</w:t>
      </w:r>
      <w:r>
        <w:tab/>
      </w:r>
      <w:r>
        <w:tab/>
      </w:r>
      <w:r w:rsidR="004E30F6">
        <w:t>21</w:t>
      </w:r>
      <w:r w:rsidR="004E30F6">
        <w:tab/>
        <w:t>7</w:t>
      </w:r>
    </w:p>
    <w:p w14:paraId="5996EC07" w14:textId="45823EC4" w:rsidR="002217E2" w:rsidRDefault="002217E2" w:rsidP="002217E2">
      <w:pPr>
        <w:tabs>
          <w:tab w:val="right" w:pos="850"/>
          <w:tab w:val="left" w:pos="1134"/>
          <w:tab w:val="left" w:pos="1559"/>
          <w:tab w:val="left" w:leader="dot" w:pos="7654"/>
          <w:tab w:val="right" w:pos="8929"/>
          <w:tab w:val="right" w:pos="9638"/>
        </w:tabs>
        <w:spacing w:after="120"/>
        <w:ind w:left="1985" w:hanging="425"/>
      </w:pPr>
      <w:r w:rsidRPr="00DB762A">
        <w:t>2.</w:t>
      </w:r>
      <w:r w:rsidRPr="00DB762A">
        <w:tab/>
        <w:t>Deletion of special provision 556 in Chapter 3.3 of RID/ADR/</w:t>
      </w:r>
      <w:r>
        <w:t>ADN</w:t>
      </w:r>
      <w:r>
        <w:tab/>
      </w:r>
      <w:r>
        <w:tab/>
      </w:r>
      <w:r w:rsidR="004E30F6">
        <w:t>22</w:t>
      </w:r>
      <w:r w:rsidR="004E30F6">
        <w:tab/>
        <w:t>8</w:t>
      </w:r>
    </w:p>
    <w:p w14:paraId="1EECCD63" w14:textId="722CF03A"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t>3.</w:t>
      </w:r>
      <w:r>
        <w:tab/>
      </w:r>
      <w:r w:rsidRPr="00DB762A">
        <w:t xml:space="preserve">Increase of the maximum allowed internal pressure for </w:t>
      </w:r>
      <w:r>
        <w:br/>
      </w:r>
      <w:r w:rsidRPr="00DB762A">
        <w:t>aerosol dispensers</w:t>
      </w:r>
      <w:r>
        <w:tab/>
      </w:r>
      <w:r>
        <w:tab/>
      </w:r>
      <w:r w:rsidR="004E30F6">
        <w:t>23-24</w:t>
      </w:r>
      <w:r w:rsidR="004E30F6">
        <w:tab/>
        <w:t>8</w:t>
      </w:r>
    </w:p>
    <w:p w14:paraId="12779EBB" w14:textId="0B4C9475" w:rsidR="002217E2" w:rsidRPr="002217E2" w:rsidRDefault="002217E2" w:rsidP="002217E2">
      <w:pPr>
        <w:tabs>
          <w:tab w:val="right" w:pos="850"/>
          <w:tab w:val="left" w:pos="1134"/>
          <w:tab w:val="left" w:pos="1559"/>
          <w:tab w:val="left" w:leader="dot" w:pos="7654"/>
          <w:tab w:val="right" w:pos="8929"/>
          <w:tab w:val="right" w:pos="9638"/>
        </w:tabs>
        <w:spacing w:after="120"/>
        <w:ind w:left="1985" w:hanging="425"/>
      </w:pPr>
      <w:r w:rsidRPr="00DB762A">
        <w:t>4.</w:t>
      </w:r>
      <w:r w:rsidRPr="00DB762A">
        <w:tab/>
        <w:t>Name and description of UN No.</w:t>
      </w:r>
      <w:r w:rsidR="00E1206D">
        <w:t> </w:t>
      </w:r>
      <w:r w:rsidRPr="00DB762A">
        <w:t>1010 (</w:t>
      </w:r>
      <w:proofErr w:type="spellStart"/>
      <w:r w:rsidRPr="00DB762A">
        <w:t>Butadienes</w:t>
      </w:r>
      <w:proofErr w:type="spellEnd"/>
      <w:r w:rsidRPr="00DB762A">
        <w:t>, stabilized)</w:t>
      </w:r>
      <w:r>
        <w:tab/>
      </w:r>
      <w:r w:rsidR="004544E9">
        <w:tab/>
        <w:t>25-27</w:t>
      </w:r>
      <w:r w:rsidR="004544E9">
        <w:tab/>
        <w:t>8</w:t>
      </w:r>
    </w:p>
    <w:p w14:paraId="68D44BF7" w14:textId="4FE54141" w:rsidR="002217E2" w:rsidRDefault="002217E2" w:rsidP="002217E2">
      <w:pPr>
        <w:tabs>
          <w:tab w:val="right" w:pos="850"/>
          <w:tab w:val="left" w:pos="1134"/>
          <w:tab w:val="left" w:pos="1559"/>
          <w:tab w:val="left" w:leader="dot" w:pos="7654"/>
          <w:tab w:val="right" w:pos="8929"/>
          <w:tab w:val="right" w:pos="9638"/>
        </w:tabs>
        <w:spacing w:after="120"/>
        <w:ind w:left="1985" w:hanging="425"/>
      </w:pPr>
      <w:r w:rsidRPr="00DB762A">
        <w:t>5.</w:t>
      </w:r>
      <w:r w:rsidRPr="00DB762A">
        <w:tab/>
        <w:t>Display packs of limited quantities</w:t>
      </w:r>
      <w:r>
        <w:tab/>
      </w:r>
      <w:r>
        <w:tab/>
      </w:r>
      <w:r w:rsidR="004544E9">
        <w:t>28-30</w:t>
      </w:r>
      <w:r w:rsidR="004544E9">
        <w:tab/>
        <w:t>8</w:t>
      </w:r>
    </w:p>
    <w:p w14:paraId="7E740169" w14:textId="4E37A1DC"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rsidRPr="00DB762A">
        <w:t>6.</w:t>
      </w:r>
      <w:r w:rsidRPr="00DB762A">
        <w:tab/>
        <w:t xml:space="preserve">Status of the annexes to directives 84/525/EEC, 84/526/EEC and </w:t>
      </w:r>
      <w:r>
        <w:br/>
      </w:r>
      <w:r w:rsidRPr="00DB762A">
        <w:t>84/527/EEC referred to in 6.2.4 of RID/ADR</w:t>
      </w:r>
      <w:r>
        <w:tab/>
      </w:r>
      <w:r>
        <w:tab/>
      </w:r>
      <w:r w:rsidR="004544E9">
        <w:t>31-33</w:t>
      </w:r>
      <w:r w:rsidR="004544E9">
        <w:tab/>
        <w:t>9</w:t>
      </w:r>
    </w:p>
    <w:p w14:paraId="2F677560" w14:textId="79DBC68D"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rsidRPr="00DB762A">
        <w:t>7.</w:t>
      </w:r>
      <w:r w:rsidRPr="00DB762A">
        <w:tab/>
        <w:t>Alignment of 1.8.5.1 with 1.4.2 and 1.4.3 in RID/ADR/</w:t>
      </w:r>
      <w:r>
        <w:t>ADN</w:t>
      </w:r>
      <w:r>
        <w:tab/>
      </w:r>
      <w:r w:rsidR="004544E9">
        <w:tab/>
        <w:t>34-35</w:t>
      </w:r>
      <w:r w:rsidR="004544E9">
        <w:tab/>
        <w:t>9</w:t>
      </w:r>
    </w:p>
    <w:p w14:paraId="5C5DDD9C" w14:textId="54C31198"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rsidRPr="00DB762A">
        <w:t>8.</w:t>
      </w:r>
      <w:r w:rsidRPr="00DB762A">
        <w:tab/>
        <w:t xml:space="preserve">Carriage of articles containing PCBs that are contaminated with </w:t>
      </w:r>
      <w:r>
        <w:br/>
      </w:r>
      <w:r w:rsidRPr="00DB762A">
        <w:t>dioxins and furans</w:t>
      </w:r>
      <w:r>
        <w:tab/>
      </w:r>
      <w:r>
        <w:tab/>
      </w:r>
      <w:r w:rsidR="004544E9">
        <w:t>36</w:t>
      </w:r>
      <w:r w:rsidR="004544E9">
        <w:tab/>
        <w:t>10</w:t>
      </w:r>
    </w:p>
    <w:p w14:paraId="5F985E93" w14:textId="6C1C7EFB"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rsidRPr="00DB762A">
        <w:t>9.</w:t>
      </w:r>
      <w:r w:rsidRPr="00DB762A">
        <w:tab/>
        <w:t>Amendments to 5.2.2.2.1.3 and 5.2.2.2.1.5 of RID/ADR/</w:t>
      </w:r>
      <w:r>
        <w:t>ADN</w:t>
      </w:r>
      <w:r>
        <w:tab/>
      </w:r>
      <w:r w:rsidR="004544E9">
        <w:tab/>
        <w:t>37</w:t>
      </w:r>
      <w:r w:rsidR="004544E9">
        <w:tab/>
        <w:t>10</w:t>
      </w:r>
    </w:p>
    <w:p w14:paraId="41E13578" w14:textId="6055A275"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rsidRPr="00DB762A">
        <w:t>10.</w:t>
      </w:r>
      <w:r w:rsidRPr="00DB762A">
        <w:tab/>
        <w:t>Special provision 386 in ADR/</w:t>
      </w:r>
      <w:r>
        <w:t>ADN</w:t>
      </w:r>
      <w:r>
        <w:tab/>
      </w:r>
      <w:r>
        <w:tab/>
      </w:r>
      <w:r w:rsidR="004544E9">
        <w:t>38</w:t>
      </w:r>
      <w:r w:rsidR="004544E9">
        <w:tab/>
        <w:t>10</w:t>
      </w:r>
    </w:p>
    <w:p w14:paraId="2F086BA0" w14:textId="159E48AD"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rsidRPr="00DB762A">
        <w:t>11.</w:t>
      </w:r>
      <w:r w:rsidRPr="00DB762A">
        <w:tab/>
        <w:t xml:space="preserve">Separate assessment of valves and other demountable accessories </w:t>
      </w:r>
      <w:r>
        <w:br/>
      </w:r>
      <w:r w:rsidRPr="00DB762A">
        <w:t>having a direct safety function of UN pressure receptacles</w:t>
      </w:r>
      <w:r>
        <w:tab/>
      </w:r>
      <w:r>
        <w:tab/>
      </w:r>
      <w:r w:rsidR="004544E9">
        <w:t>39-40</w:t>
      </w:r>
      <w:r w:rsidR="004544E9">
        <w:tab/>
        <w:t>10</w:t>
      </w:r>
    </w:p>
    <w:p w14:paraId="0A713AC2" w14:textId="1765DF2F" w:rsidR="002217E2" w:rsidRPr="00DB762A" w:rsidRDefault="002217E2" w:rsidP="002217E2">
      <w:pPr>
        <w:tabs>
          <w:tab w:val="right" w:pos="850"/>
          <w:tab w:val="left" w:pos="1134"/>
          <w:tab w:val="left" w:pos="1559"/>
          <w:tab w:val="left" w:leader="dot" w:pos="7654"/>
          <w:tab w:val="right" w:pos="8929"/>
          <w:tab w:val="right" w:pos="9638"/>
        </w:tabs>
        <w:spacing w:after="120"/>
        <w:ind w:left="1985" w:hanging="425"/>
      </w:pPr>
      <w:r w:rsidRPr="00DB762A">
        <w:t>12.</w:t>
      </w:r>
      <w:r w:rsidRPr="00DB762A">
        <w:tab/>
        <w:t xml:space="preserve">Carriage of pressure receptacles approved by the Department of </w:t>
      </w:r>
      <w:r>
        <w:br/>
      </w:r>
      <w:r w:rsidRPr="00DB762A">
        <w:t>Transportation of the United States of America (DOT)</w:t>
      </w:r>
      <w:r>
        <w:tab/>
      </w:r>
      <w:r>
        <w:tab/>
      </w:r>
      <w:r w:rsidR="004544E9">
        <w:t>41</w:t>
      </w:r>
      <w:r w:rsidR="004544E9">
        <w:tab/>
        <w:t>11</w:t>
      </w:r>
    </w:p>
    <w:p w14:paraId="39B83393" w14:textId="07FD841D" w:rsidR="00415F59" w:rsidRDefault="00201168" w:rsidP="00201168">
      <w:pPr>
        <w:tabs>
          <w:tab w:val="right" w:pos="850"/>
          <w:tab w:val="left" w:pos="1134"/>
          <w:tab w:val="left" w:leader="dot" w:pos="7654"/>
          <w:tab w:val="right" w:pos="8929"/>
          <w:tab w:val="right" w:pos="9638"/>
        </w:tabs>
        <w:spacing w:after="120"/>
        <w:ind w:left="1980" w:hanging="1980"/>
      </w:pPr>
      <w:r w:rsidRPr="00DB762A">
        <w:tab/>
        <w:t>VII.</w:t>
      </w:r>
      <w:r w:rsidRPr="00DB762A">
        <w:tab/>
      </w:r>
      <w:r w:rsidR="00415F59" w:rsidRPr="00DB762A">
        <w:t xml:space="preserve">Reports of informal working groups (agenda item </w:t>
      </w:r>
      <w:r w:rsidR="00954311" w:rsidRPr="00DB762A">
        <w:t>6</w:t>
      </w:r>
      <w:r w:rsidR="00415F59" w:rsidRPr="00DB762A">
        <w:t>)</w:t>
      </w:r>
      <w:r w:rsidR="00C827CF">
        <w:tab/>
      </w:r>
      <w:r w:rsidR="002217E2">
        <w:tab/>
      </w:r>
      <w:r w:rsidR="004544E9">
        <w:t>42-51</w:t>
      </w:r>
      <w:r w:rsidR="004544E9">
        <w:tab/>
        <w:t>1</w:t>
      </w:r>
      <w:r w:rsidR="00403D2A">
        <w:t>1</w:t>
      </w:r>
    </w:p>
    <w:p w14:paraId="5AFC814E" w14:textId="03C1FEDA" w:rsidR="002217E2" w:rsidRDefault="002217E2" w:rsidP="002217E2">
      <w:pPr>
        <w:tabs>
          <w:tab w:val="right" w:pos="850"/>
          <w:tab w:val="left" w:pos="1134"/>
          <w:tab w:val="left" w:leader="dot" w:pos="7654"/>
          <w:tab w:val="right" w:pos="8929"/>
          <w:tab w:val="right" w:pos="9638"/>
        </w:tabs>
        <w:spacing w:after="120"/>
        <w:ind w:left="1560" w:hanging="1560"/>
      </w:pPr>
      <w:r>
        <w:tab/>
      </w:r>
      <w:r>
        <w:tab/>
      </w:r>
      <w:r w:rsidRPr="00DB762A">
        <w:t>A.</w:t>
      </w:r>
      <w:r w:rsidRPr="00DB762A">
        <w:tab/>
        <w:t>Informal working group on telematics</w:t>
      </w:r>
      <w:r>
        <w:tab/>
      </w:r>
      <w:r>
        <w:tab/>
      </w:r>
      <w:r w:rsidR="004544E9">
        <w:t>42-46</w:t>
      </w:r>
      <w:r w:rsidR="004544E9">
        <w:tab/>
        <w:t>11</w:t>
      </w:r>
    </w:p>
    <w:p w14:paraId="435D3168" w14:textId="3898CE96" w:rsidR="002217E2" w:rsidRDefault="002217E2" w:rsidP="002217E2">
      <w:pPr>
        <w:tabs>
          <w:tab w:val="right" w:pos="850"/>
          <w:tab w:val="left" w:pos="1134"/>
          <w:tab w:val="left" w:leader="dot" w:pos="7654"/>
          <w:tab w:val="right" w:pos="8929"/>
          <w:tab w:val="right" w:pos="9638"/>
        </w:tabs>
        <w:spacing w:after="120"/>
        <w:ind w:left="1560" w:hanging="1560"/>
      </w:pPr>
      <w:r>
        <w:tab/>
      </w:r>
      <w:r>
        <w:tab/>
      </w:r>
      <w:r w:rsidRPr="00DB762A">
        <w:t>B.</w:t>
      </w:r>
      <w:r w:rsidRPr="00DB762A">
        <w:tab/>
      </w:r>
      <w:r>
        <w:t>I</w:t>
      </w:r>
      <w:r w:rsidRPr="00DB762A">
        <w:t xml:space="preserve">nformal working group on the definitions of “risk” and “hazard/danger” </w:t>
      </w:r>
      <w:r>
        <w:br/>
      </w:r>
      <w:r w:rsidRPr="00DB762A">
        <w:t>in the context of RID/ADR/</w:t>
      </w:r>
      <w:r>
        <w:t>ADN</w:t>
      </w:r>
      <w:r>
        <w:tab/>
      </w:r>
      <w:r>
        <w:tab/>
      </w:r>
      <w:r w:rsidR="004544E9">
        <w:t>47-50</w:t>
      </w:r>
      <w:r w:rsidR="004544E9">
        <w:tab/>
        <w:t>12</w:t>
      </w:r>
    </w:p>
    <w:p w14:paraId="43EF694D" w14:textId="635C6697" w:rsidR="000B7D12" w:rsidRPr="00DB762A" w:rsidRDefault="000B7D12" w:rsidP="002217E2">
      <w:pPr>
        <w:tabs>
          <w:tab w:val="right" w:pos="850"/>
          <w:tab w:val="left" w:pos="1134"/>
          <w:tab w:val="left" w:leader="dot" w:pos="7654"/>
          <w:tab w:val="right" w:pos="8929"/>
          <w:tab w:val="right" w:pos="9638"/>
        </w:tabs>
        <w:spacing w:after="120"/>
        <w:ind w:left="1560" w:hanging="1560"/>
      </w:pPr>
      <w:r>
        <w:tab/>
      </w:r>
      <w:r>
        <w:tab/>
        <w:t>C.</w:t>
      </w:r>
      <w:r>
        <w:tab/>
      </w:r>
      <w:r w:rsidRPr="00DB762A">
        <w:t xml:space="preserve">Informal </w:t>
      </w:r>
      <w:r>
        <w:t>w</w:t>
      </w:r>
      <w:r w:rsidRPr="00DB762A">
        <w:t xml:space="preserve">orking </w:t>
      </w:r>
      <w:r>
        <w:t>g</w:t>
      </w:r>
      <w:r w:rsidRPr="00DB762A">
        <w:t xml:space="preserve">roup on the reduction of the risk of a </w:t>
      </w:r>
      <w:r>
        <w:t xml:space="preserve">boiling liquid </w:t>
      </w:r>
      <w:r>
        <w:br/>
        <w:t>expanding vapour explosion (</w:t>
      </w:r>
      <w:r w:rsidRPr="00DB762A">
        <w:t>BLEVE</w:t>
      </w:r>
      <w:r>
        <w:t>)</w:t>
      </w:r>
      <w:r w:rsidRPr="00DB762A">
        <w:t xml:space="preserve"> during transport of dangerous goods</w:t>
      </w:r>
      <w:r>
        <w:tab/>
      </w:r>
      <w:r>
        <w:tab/>
      </w:r>
      <w:r w:rsidR="004544E9">
        <w:t>51</w:t>
      </w:r>
      <w:r w:rsidR="004544E9">
        <w:tab/>
        <w:t>12</w:t>
      </w:r>
    </w:p>
    <w:p w14:paraId="1DC79849" w14:textId="1B74B0C8" w:rsidR="00201168" w:rsidRDefault="00415F59" w:rsidP="00201168">
      <w:pPr>
        <w:tabs>
          <w:tab w:val="right" w:pos="850"/>
          <w:tab w:val="left" w:pos="1134"/>
          <w:tab w:val="left" w:leader="dot" w:pos="7654"/>
          <w:tab w:val="right" w:pos="8929"/>
          <w:tab w:val="right" w:pos="9638"/>
        </w:tabs>
        <w:spacing w:after="120"/>
        <w:ind w:left="1980" w:hanging="1980"/>
      </w:pPr>
      <w:r w:rsidRPr="00DB762A">
        <w:tab/>
        <w:t>VIII</w:t>
      </w:r>
      <w:r w:rsidRPr="00DB762A">
        <w:tab/>
        <w:t xml:space="preserve">Accidents and risk management (agenda item </w:t>
      </w:r>
      <w:r w:rsidR="00954311" w:rsidRPr="00DB762A">
        <w:t>7</w:t>
      </w:r>
      <w:r w:rsidRPr="00DB762A">
        <w:t xml:space="preserve">) </w:t>
      </w:r>
      <w:r w:rsidR="00201168" w:rsidRPr="00DB762A">
        <w:tab/>
      </w:r>
      <w:r w:rsidR="00201168" w:rsidRPr="00DB762A">
        <w:tab/>
      </w:r>
      <w:r w:rsidR="004544E9">
        <w:t>52-54</w:t>
      </w:r>
      <w:r w:rsidR="004544E9">
        <w:tab/>
        <w:t>12</w:t>
      </w:r>
    </w:p>
    <w:p w14:paraId="2276A15C" w14:textId="54814059" w:rsidR="000B7D12" w:rsidRDefault="000B7D12" w:rsidP="000B7D12">
      <w:pPr>
        <w:tabs>
          <w:tab w:val="right" w:pos="850"/>
          <w:tab w:val="left" w:pos="1134"/>
          <w:tab w:val="left" w:leader="dot" w:pos="7654"/>
          <w:tab w:val="right" w:pos="8929"/>
          <w:tab w:val="right" w:pos="9638"/>
        </w:tabs>
        <w:spacing w:after="120"/>
        <w:ind w:left="1560" w:hanging="1560"/>
      </w:pPr>
      <w:r>
        <w:tab/>
      </w:r>
      <w:r>
        <w:tab/>
        <w:t>A.</w:t>
      </w:r>
      <w:r>
        <w:tab/>
      </w:r>
      <w:r w:rsidRPr="00DB762A">
        <w:t>Accident involving molten aluminium</w:t>
      </w:r>
      <w:r>
        <w:tab/>
      </w:r>
      <w:r>
        <w:tab/>
      </w:r>
      <w:r w:rsidR="004544E9">
        <w:t>52-53</w:t>
      </w:r>
      <w:r w:rsidR="004544E9">
        <w:tab/>
        <w:t>12</w:t>
      </w:r>
    </w:p>
    <w:p w14:paraId="6C01F2DD" w14:textId="6BF02E5C" w:rsidR="000B7D12" w:rsidRPr="00DB762A" w:rsidRDefault="000B7D12" w:rsidP="000B7D12">
      <w:pPr>
        <w:tabs>
          <w:tab w:val="right" w:pos="850"/>
          <w:tab w:val="left" w:pos="1134"/>
          <w:tab w:val="left" w:leader="dot" w:pos="7654"/>
          <w:tab w:val="right" w:pos="8929"/>
          <w:tab w:val="right" w:pos="9638"/>
        </w:tabs>
        <w:spacing w:after="120"/>
        <w:ind w:left="1560" w:hanging="1560"/>
      </w:pPr>
      <w:r>
        <w:tab/>
      </w:r>
      <w:r>
        <w:tab/>
        <w:t>B.</w:t>
      </w:r>
      <w:r>
        <w:tab/>
        <w:t>I</w:t>
      </w:r>
      <w:r w:rsidRPr="00DB762A">
        <w:t>mprovement of the accident report</w:t>
      </w:r>
      <w:r>
        <w:tab/>
      </w:r>
      <w:r w:rsidR="004544E9">
        <w:tab/>
        <w:t>54</w:t>
      </w:r>
      <w:r w:rsidR="004544E9">
        <w:tab/>
        <w:t>13</w:t>
      </w:r>
    </w:p>
    <w:p w14:paraId="2DB707C9" w14:textId="2536F6E8" w:rsidR="00201168" w:rsidRPr="00DB762A" w:rsidRDefault="00201168">
      <w:pPr>
        <w:tabs>
          <w:tab w:val="right" w:pos="850"/>
          <w:tab w:val="left" w:pos="1134"/>
          <w:tab w:val="left" w:leader="dot" w:pos="7654"/>
          <w:tab w:val="right" w:pos="8929"/>
          <w:tab w:val="right" w:pos="9638"/>
        </w:tabs>
        <w:spacing w:after="120"/>
        <w:ind w:left="1980" w:hanging="1980"/>
      </w:pPr>
      <w:r w:rsidRPr="00DB762A">
        <w:tab/>
      </w:r>
      <w:r w:rsidR="00954311" w:rsidRPr="00DB762A">
        <w:t>IX</w:t>
      </w:r>
      <w:r w:rsidRPr="00DB762A">
        <w:t>.</w:t>
      </w:r>
      <w:r w:rsidRPr="00DB762A">
        <w:tab/>
      </w:r>
      <w:r w:rsidR="00415F59" w:rsidRPr="00DB762A">
        <w:t xml:space="preserve">Election of officers for 2019 </w:t>
      </w:r>
      <w:r w:rsidR="00954311" w:rsidRPr="00DB762A">
        <w:t>(agenda item 8)</w:t>
      </w:r>
      <w:r w:rsidR="003F27B6" w:rsidRPr="00DB762A">
        <w:tab/>
      </w:r>
      <w:r w:rsidRPr="00DB762A">
        <w:tab/>
      </w:r>
      <w:r w:rsidR="004544E9">
        <w:t>55</w:t>
      </w:r>
      <w:r w:rsidR="004544E9">
        <w:tab/>
        <w:t>13</w:t>
      </w:r>
    </w:p>
    <w:p w14:paraId="1EDF9AFE" w14:textId="0B7522A0" w:rsidR="00201168" w:rsidRPr="00DB762A" w:rsidRDefault="00201168" w:rsidP="00201168">
      <w:pPr>
        <w:tabs>
          <w:tab w:val="right" w:pos="850"/>
          <w:tab w:val="left" w:pos="1134"/>
          <w:tab w:val="left" w:leader="dot" w:pos="7654"/>
          <w:tab w:val="right" w:pos="8929"/>
          <w:tab w:val="right" w:pos="9638"/>
        </w:tabs>
        <w:spacing w:after="120"/>
        <w:ind w:left="1980" w:hanging="1980"/>
      </w:pPr>
      <w:r w:rsidRPr="00DB762A">
        <w:tab/>
        <w:t>X.</w:t>
      </w:r>
      <w:r w:rsidRPr="00DB762A">
        <w:tab/>
      </w:r>
      <w:r w:rsidR="00415F59" w:rsidRPr="00DB762A">
        <w:t>Future work</w:t>
      </w:r>
      <w:r w:rsidR="001E6B06" w:rsidRPr="00DB762A">
        <w:t xml:space="preserve"> (agenda item 9)</w:t>
      </w:r>
      <w:r w:rsidRPr="00DB762A">
        <w:tab/>
      </w:r>
      <w:r w:rsidRPr="00DB762A">
        <w:tab/>
      </w:r>
      <w:r w:rsidR="004544E9">
        <w:t>56</w:t>
      </w:r>
      <w:r w:rsidR="004544E9">
        <w:tab/>
        <w:t>13</w:t>
      </w:r>
    </w:p>
    <w:p w14:paraId="3F8ECE7E" w14:textId="1D6DB22D" w:rsidR="00201168" w:rsidRDefault="00201168" w:rsidP="00201168">
      <w:pPr>
        <w:tabs>
          <w:tab w:val="right" w:pos="850"/>
          <w:tab w:val="left" w:pos="1134"/>
          <w:tab w:val="left" w:leader="dot" w:pos="7654"/>
          <w:tab w:val="right" w:pos="8929"/>
          <w:tab w:val="right" w:pos="9638"/>
        </w:tabs>
        <w:spacing w:after="120"/>
        <w:ind w:left="1980" w:hanging="1980"/>
      </w:pPr>
      <w:r w:rsidRPr="00DB762A">
        <w:tab/>
        <w:t>X</w:t>
      </w:r>
      <w:r w:rsidR="00954311" w:rsidRPr="00DB762A">
        <w:t>I</w:t>
      </w:r>
      <w:r w:rsidRPr="00DB762A">
        <w:t>.</w:t>
      </w:r>
      <w:r w:rsidRPr="00DB762A">
        <w:tab/>
      </w:r>
      <w:r w:rsidR="00415F59" w:rsidRPr="00DB762A">
        <w:t>Any other business</w:t>
      </w:r>
      <w:r w:rsidR="00953931" w:rsidRPr="00DB762A">
        <w:t xml:space="preserve"> (agenda item 10)</w:t>
      </w:r>
      <w:r w:rsidRPr="00DB762A">
        <w:tab/>
      </w:r>
      <w:r w:rsidR="00953931" w:rsidRPr="00DB762A">
        <w:tab/>
      </w:r>
      <w:r w:rsidR="004544E9">
        <w:t>57-63</w:t>
      </w:r>
      <w:r w:rsidR="004544E9">
        <w:tab/>
        <w:t>13</w:t>
      </w:r>
    </w:p>
    <w:p w14:paraId="53A64E96" w14:textId="60FE5E34" w:rsidR="000B7D12" w:rsidRDefault="000B7D12" w:rsidP="000B7D12">
      <w:pPr>
        <w:tabs>
          <w:tab w:val="right" w:pos="850"/>
          <w:tab w:val="left" w:pos="1134"/>
          <w:tab w:val="left" w:leader="dot" w:pos="7654"/>
          <w:tab w:val="right" w:pos="8929"/>
          <w:tab w:val="right" w:pos="9638"/>
        </w:tabs>
        <w:spacing w:after="120"/>
        <w:ind w:left="1560" w:hanging="1560"/>
      </w:pPr>
      <w:r>
        <w:tab/>
      </w:r>
      <w:r>
        <w:tab/>
      </w:r>
      <w:r w:rsidRPr="00DB762A">
        <w:t>A.</w:t>
      </w:r>
      <w:r w:rsidRPr="00DB762A">
        <w:tab/>
        <w:t>References to “competent authority” in ADR</w:t>
      </w:r>
      <w:r>
        <w:tab/>
      </w:r>
      <w:r>
        <w:tab/>
      </w:r>
      <w:r w:rsidR="004544E9">
        <w:t>57-59</w:t>
      </w:r>
      <w:r w:rsidR="004544E9">
        <w:tab/>
        <w:t>13</w:t>
      </w:r>
    </w:p>
    <w:p w14:paraId="131573EC" w14:textId="71362148" w:rsidR="000B7D12" w:rsidRDefault="000B7D12" w:rsidP="000B7D12">
      <w:pPr>
        <w:tabs>
          <w:tab w:val="right" w:pos="850"/>
          <w:tab w:val="left" w:pos="1134"/>
          <w:tab w:val="left" w:leader="dot" w:pos="7654"/>
          <w:tab w:val="right" w:pos="8929"/>
          <w:tab w:val="right" w:pos="9638"/>
        </w:tabs>
        <w:spacing w:after="120"/>
        <w:ind w:left="1560" w:hanging="1560"/>
      </w:pPr>
      <w:r>
        <w:tab/>
      </w:r>
      <w:r>
        <w:tab/>
        <w:t>B.</w:t>
      </w:r>
      <w:r>
        <w:tab/>
      </w:r>
      <w:r w:rsidRPr="00DB762A">
        <w:t>E-learning for transport operators</w:t>
      </w:r>
      <w:r>
        <w:tab/>
      </w:r>
      <w:r>
        <w:tab/>
      </w:r>
      <w:r w:rsidR="004544E9">
        <w:t>60-61</w:t>
      </w:r>
      <w:r w:rsidR="004544E9">
        <w:tab/>
        <w:t>14</w:t>
      </w:r>
    </w:p>
    <w:p w14:paraId="134A0541" w14:textId="4C41F3E5" w:rsidR="000B7D12" w:rsidRDefault="000B7D12" w:rsidP="000B7D12">
      <w:pPr>
        <w:tabs>
          <w:tab w:val="right" w:pos="850"/>
          <w:tab w:val="left" w:pos="1134"/>
          <w:tab w:val="left" w:leader="dot" w:pos="7654"/>
          <w:tab w:val="right" w:pos="8929"/>
          <w:tab w:val="right" w:pos="9638"/>
        </w:tabs>
        <w:spacing w:after="120"/>
        <w:ind w:left="1560" w:hanging="1560"/>
      </w:pPr>
      <w:r>
        <w:tab/>
      </w:r>
      <w:r>
        <w:tab/>
      </w:r>
      <w:r w:rsidRPr="00DB762A">
        <w:t>C.</w:t>
      </w:r>
      <w:r w:rsidRPr="00DB762A">
        <w:tab/>
        <w:t>Transport of hazardous waste</w:t>
      </w:r>
      <w:r>
        <w:tab/>
      </w:r>
      <w:r>
        <w:tab/>
      </w:r>
      <w:r w:rsidR="004544E9">
        <w:t>62</w:t>
      </w:r>
      <w:r w:rsidR="004544E9">
        <w:tab/>
        <w:t>14</w:t>
      </w:r>
    </w:p>
    <w:p w14:paraId="2573369F" w14:textId="23C2076E" w:rsidR="000B7D12" w:rsidRPr="00DB762A" w:rsidRDefault="000B7D12" w:rsidP="000B7D12">
      <w:pPr>
        <w:tabs>
          <w:tab w:val="right" w:pos="850"/>
          <w:tab w:val="left" w:pos="1134"/>
          <w:tab w:val="left" w:leader="dot" w:pos="7654"/>
          <w:tab w:val="right" w:pos="8929"/>
          <w:tab w:val="right" w:pos="9638"/>
        </w:tabs>
        <w:spacing w:after="120"/>
        <w:ind w:left="1560" w:hanging="1560"/>
      </w:pPr>
      <w:r>
        <w:tab/>
      </w:r>
      <w:r>
        <w:tab/>
      </w:r>
      <w:r w:rsidRPr="00DB762A">
        <w:t>D.</w:t>
      </w:r>
      <w:r w:rsidRPr="00DB762A">
        <w:tab/>
        <w:t>Tribute to Mr. H</w:t>
      </w:r>
      <w:r w:rsidR="00403D2A">
        <w:t>.</w:t>
      </w:r>
      <w:r w:rsidRPr="00DB762A">
        <w:t xml:space="preserve"> Rein (Germany)</w:t>
      </w:r>
      <w:r>
        <w:tab/>
      </w:r>
      <w:r>
        <w:tab/>
      </w:r>
      <w:r w:rsidR="004544E9">
        <w:t>63</w:t>
      </w:r>
      <w:r w:rsidR="004544E9">
        <w:tab/>
        <w:t>14</w:t>
      </w:r>
    </w:p>
    <w:p w14:paraId="64949342" w14:textId="0D2727DA" w:rsidR="00953931" w:rsidRPr="00DB762A" w:rsidRDefault="00953931" w:rsidP="00201168">
      <w:pPr>
        <w:tabs>
          <w:tab w:val="right" w:pos="850"/>
          <w:tab w:val="left" w:pos="1134"/>
          <w:tab w:val="left" w:leader="dot" w:pos="7654"/>
          <w:tab w:val="right" w:pos="8929"/>
          <w:tab w:val="right" w:pos="9638"/>
        </w:tabs>
        <w:spacing w:after="120"/>
        <w:ind w:left="1980" w:hanging="1980"/>
      </w:pPr>
      <w:r w:rsidRPr="00DB762A">
        <w:tab/>
        <w:t>XI</w:t>
      </w:r>
      <w:r w:rsidR="00954311" w:rsidRPr="00DB762A">
        <w:t>I</w:t>
      </w:r>
      <w:r w:rsidRPr="00DB762A">
        <w:t>.</w:t>
      </w:r>
      <w:r w:rsidRPr="00DB762A">
        <w:tab/>
      </w:r>
      <w:r w:rsidR="00737451" w:rsidRPr="00DB762A">
        <w:rPr>
          <w:spacing w:val="-2"/>
          <w:w w:val="103"/>
          <w:kern w:val="14"/>
          <w:lang w:eastAsia="zh-CN"/>
        </w:rPr>
        <w:t>Adoption of the report</w:t>
      </w:r>
      <w:r w:rsidR="00737451" w:rsidRPr="00DB762A" w:rsidDel="00737451">
        <w:t xml:space="preserve"> </w:t>
      </w:r>
      <w:r w:rsidRPr="00DB762A">
        <w:t>(agenda item 11)</w:t>
      </w:r>
      <w:r w:rsidRPr="00DB762A">
        <w:tab/>
      </w:r>
      <w:r w:rsidRPr="00DB762A">
        <w:tab/>
      </w:r>
      <w:r w:rsidR="004544E9">
        <w:t>64</w:t>
      </w:r>
      <w:r w:rsidR="004544E9">
        <w:tab/>
        <w:t>14</w:t>
      </w:r>
    </w:p>
    <w:p w14:paraId="03731283" w14:textId="77777777" w:rsidR="008C5A59" w:rsidRDefault="008C5A59" w:rsidP="00201168">
      <w:pPr>
        <w:tabs>
          <w:tab w:val="right" w:pos="850"/>
          <w:tab w:val="left" w:pos="1134"/>
          <w:tab w:val="left" w:pos="1559"/>
          <w:tab w:val="left" w:pos="1984"/>
          <w:tab w:val="left" w:leader="dot" w:pos="7654"/>
          <w:tab w:val="right" w:pos="8929"/>
          <w:tab w:val="right" w:pos="9638"/>
        </w:tabs>
        <w:spacing w:after="120"/>
      </w:pPr>
    </w:p>
    <w:p w14:paraId="59E86E97" w14:textId="44C98EAB" w:rsidR="00201168" w:rsidRPr="00DB762A" w:rsidRDefault="00201168" w:rsidP="00201168">
      <w:pPr>
        <w:tabs>
          <w:tab w:val="right" w:pos="850"/>
          <w:tab w:val="left" w:pos="1134"/>
          <w:tab w:val="left" w:pos="1559"/>
          <w:tab w:val="left" w:pos="1984"/>
          <w:tab w:val="left" w:leader="dot" w:pos="7654"/>
          <w:tab w:val="right" w:pos="8929"/>
          <w:tab w:val="right" w:pos="9638"/>
        </w:tabs>
        <w:spacing w:after="120"/>
      </w:pPr>
      <w:r w:rsidRPr="00DB762A">
        <w:lastRenderedPageBreak/>
        <w:t>Annexes</w:t>
      </w:r>
    </w:p>
    <w:p w14:paraId="2E19BF43" w14:textId="151DD22D" w:rsidR="004938CD" w:rsidRPr="00DB762A" w:rsidRDefault="004938CD" w:rsidP="00BC6E4D">
      <w:pPr>
        <w:tabs>
          <w:tab w:val="right" w:pos="850"/>
          <w:tab w:val="left" w:pos="1134"/>
          <w:tab w:val="left" w:pos="1559"/>
          <w:tab w:val="left" w:pos="1984"/>
          <w:tab w:val="left" w:leader="dot" w:pos="8222"/>
          <w:tab w:val="right" w:pos="8929"/>
          <w:tab w:val="right" w:pos="9638"/>
        </w:tabs>
        <w:spacing w:after="120"/>
      </w:pPr>
      <w:r w:rsidRPr="00DB762A">
        <w:tab/>
        <w:t>I.</w:t>
      </w:r>
      <w:r w:rsidRPr="00DB762A">
        <w:tab/>
      </w:r>
      <w:r w:rsidR="00BC6E4D" w:rsidRPr="00DB762A">
        <w:t>Report of the Working Group on Tanks</w:t>
      </w:r>
      <w:r w:rsidR="0069753F">
        <w:rPr>
          <w:rStyle w:val="FootnoteReference"/>
        </w:rPr>
        <w:footnoteReference w:customMarkFollows="1" w:id="3"/>
        <w:t>**</w:t>
      </w:r>
      <w:r w:rsidR="00BC6E4D" w:rsidRPr="00DB762A">
        <w:tab/>
      </w:r>
      <w:r w:rsidR="00BC6E4D" w:rsidRPr="00DB762A">
        <w:tab/>
      </w:r>
      <w:r w:rsidR="004544E9">
        <w:t>15</w:t>
      </w:r>
    </w:p>
    <w:p w14:paraId="416CDB00" w14:textId="427617B6" w:rsidR="00BC6E4D" w:rsidRPr="00DB762A" w:rsidRDefault="00DA0272" w:rsidP="00BC6E4D">
      <w:pPr>
        <w:tabs>
          <w:tab w:val="right" w:pos="850"/>
          <w:tab w:val="left" w:pos="1134"/>
          <w:tab w:val="left" w:pos="1559"/>
          <w:tab w:val="left" w:pos="1984"/>
          <w:tab w:val="left" w:leader="dot" w:pos="8222"/>
          <w:tab w:val="right" w:pos="8929"/>
          <w:tab w:val="right" w:pos="9638"/>
        </w:tabs>
        <w:spacing w:after="120"/>
      </w:pPr>
      <w:r w:rsidRPr="00DB762A">
        <w:tab/>
      </w:r>
      <w:r w:rsidR="00BC6E4D" w:rsidRPr="00DB762A">
        <w:t>I</w:t>
      </w:r>
      <w:r w:rsidR="00FA1F9F" w:rsidRPr="00DB762A">
        <w:t>I.</w:t>
      </w:r>
      <w:r w:rsidR="00FA1F9F" w:rsidRPr="00DB762A">
        <w:tab/>
        <w:t xml:space="preserve">Draft amendments to RID, ADR and ADN for entry into force on 1 January </w:t>
      </w:r>
      <w:r w:rsidR="00CD2894">
        <w:t>2021</w:t>
      </w:r>
      <w:r w:rsidR="0007643F" w:rsidRPr="00DB762A">
        <w:tab/>
      </w:r>
      <w:r w:rsidR="00BC6E4D" w:rsidRPr="00DB762A">
        <w:tab/>
      </w:r>
      <w:r w:rsidR="004544E9">
        <w:t>16</w:t>
      </w:r>
    </w:p>
    <w:p w14:paraId="20986CAE" w14:textId="73B18EF8" w:rsidR="00FA1F9F" w:rsidRPr="00DB762A" w:rsidRDefault="00BC6E4D" w:rsidP="00BC6E4D">
      <w:pPr>
        <w:tabs>
          <w:tab w:val="right" w:pos="850"/>
          <w:tab w:val="left" w:pos="1134"/>
          <w:tab w:val="left" w:pos="1559"/>
          <w:tab w:val="left" w:pos="1984"/>
          <w:tab w:val="left" w:leader="dot" w:pos="8222"/>
          <w:tab w:val="right" w:pos="8929"/>
          <w:tab w:val="right" w:pos="9638"/>
        </w:tabs>
        <w:spacing w:after="120"/>
      </w:pPr>
      <w:r w:rsidRPr="00DB762A">
        <w:tab/>
        <w:t>III.</w:t>
      </w:r>
      <w:r w:rsidRPr="00DB762A">
        <w:tab/>
        <w:t xml:space="preserve">Guideline for the application of EN 12972 (Tanks for the transport of dangerous </w:t>
      </w:r>
      <w:r w:rsidRPr="00DB762A">
        <w:br/>
      </w:r>
      <w:r w:rsidRPr="00DB762A">
        <w:tab/>
      </w:r>
      <w:r w:rsidRPr="00DB762A">
        <w:tab/>
        <w:t xml:space="preserve">Goods – Testing, inspection and marking of metallic tanks) to achieve compliance </w:t>
      </w:r>
      <w:r w:rsidRPr="00DB762A">
        <w:br/>
      </w:r>
      <w:r w:rsidRPr="00DB762A">
        <w:tab/>
      </w:r>
      <w:r w:rsidRPr="00DB762A">
        <w:tab/>
        <w:t>with RID/ADR</w:t>
      </w:r>
      <w:r w:rsidR="0007643F" w:rsidRPr="00DB762A">
        <w:tab/>
      </w:r>
      <w:r w:rsidRPr="00DB762A">
        <w:tab/>
      </w:r>
      <w:r w:rsidR="004544E9">
        <w:t>22</w:t>
      </w:r>
    </w:p>
    <w:p w14:paraId="10D42C36" w14:textId="49E656B9" w:rsidR="00BC6E4D" w:rsidRPr="00DB762A" w:rsidRDefault="00BC6E4D" w:rsidP="00BC6E4D">
      <w:pPr>
        <w:tabs>
          <w:tab w:val="right" w:pos="850"/>
          <w:tab w:val="left" w:pos="1134"/>
          <w:tab w:val="left" w:pos="1559"/>
          <w:tab w:val="left" w:pos="1984"/>
          <w:tab w:val="left" w:leader="dot" w:pos="8222"/>
          <w:tab w:val="right" w:pos="8929"/>
          <w:tab w:val="right" w:pos="9638"/>
        </w:tabs>
        <w:spacing w:after="120"/>
        <w:ind w:left="1134" w:hanging="1134"/>
      </w:pPr>
      <w:r w:rsidRPr="00DB762A">
        <w:tab/>
        <w:t>IV.</w:t>
      </w:r>
      <w:r w:rsidRPr="00DB762A">
        <w:tab/>
        <w:t xml:space="preserve">Terms of reference for the informal working group on the improvement </w:t>
      </w:r>
      <w:r w:rsidRPr="00DB762A">
        <w:br/>
        <w:t>of accident reporting</w:t>
      </w:r>
      <w:r w:rsidRPr="00DB762A">
        <w:tab/>
      </w:r>
      <w:r w:rsidRPr="00DB762A">
        <w:tab/>
      </w:r>
      <w:r w:rsidR="004544E9">
        <w:t>23</w:t>
      </w:r>
    </w:p>
    <w:p w14:paraId="0EDD3307" w14:textId="0DEBBE9A" w:rsidR="00947812" w:rsidRPr="00DB762A" w:rsidRDefault="00FA1F9F" w:rsidP="00BC6E4D">
      <w:pPr>
        <w:tabs>
          <w:tab w:val="right" w:pos="850"/>
          <w:tab w:val="left" w:pos="1134"/>
          <w:tab w:val="left" w:leader="dot" w:pos="7654"/>
          <w:tab w:val="right" w:pos="8929"/>
          <w:tab w:val="right" w:pos="9638"/>
        </w:tabs>
        <w:ind w:left="1980" w:hanging="1980"/>
        <w:rPr>
          <w:color w:val="FF0000"/>
        </w:rPr>
      </w:pPr>
      <w:r w:rsidRPr="00DB762A">
        <w:tab/>
      </w:r>
      <w:r w:rsidR="00201168" w:rsidRPr="00DB762A">
        <w:rPr>
          <w:color w:val="FF0000"/>
        </w:rPr>
        <w:tab/>
      </w:r>
      <w:r w:rsidR="00A05F6A" w:rsidRPr="00DB762A">
        <w:rPr>
          <w:color w:val="FF0000"/>
        </w:rPr>
        <w:br w:type="page"/>
      </w:r>
    </w:p>
    <w:p w14:paraId="76693A4D" w14:textId="2DB80AFD" w:rsidR="00D279F5" w:rsidRPr="00DB762A" w:rsidRDefault="00C94D8F" w:rsidP="00D279F5">
      <w:pPr>
        <w:pStyle w:val="HChG"/>
        <w:rPr>
          <w:lang w:val="en-GB"/>
        </w:rPr>
      </w:pPr>
      <w:r w:rsidRPr="00DB762A">
        <w:rPr>
          <w:lang w:val="en-GB"/>
        </w:rPr>
        <w:lastRenderedPageBreak/>
        <w:tab/>
      </w:r>
      <w:r w:rsidR="00D279F5" w:rsidRPr="00DB762A">
        <w:rPr>
          <w:lang w:val="en-GB"/>
        </w:rPr>
        <w:t>I.</w:t>
      </w:r>
      <w:r w:rsidR="00D279F5" w:rsidRPr="00DB762A">
        <w:rPr>
          <w:lang w:val="en-GB"/>
        </w:rPr>
        <w:tab/>
        <w:t>Attendance</w:t>
      </w:r>
    </w:p>
    <w:p w14:paraId="3DEE90A3" w14:textId="02CAD0FD" w:rsidR="00D279F5" w:rsidRPr="00DB762A" w:rsidRDefault="00D279F5" w:rsidP="00C62C2A">
      <w:pPr>
        <w:pStyle w:val="SingleTxtG"/>
      </w:pPr>
      <w:r w:rsidRPr="00DB762A">
        <w:t>1.</w:t>
      </w:r>
      <w:r w:rsidRPr="00DB762A">
        <w:tab/>
        <w:t>The Joint Meeting of the RID Committee of Experts and the Working Party on the Transport of Dangerous Goods of the United Nations Economic Commission for Europe was held in Geneva from 17 to 21 September 2018, with Mr. C. Pfauvadel (France) as Chair and Mr. H. Rein (Germany) as Vice-Chair.</w:t>
      </w:r>
    </w:p>
    <w:p w14:paraId="042F9004" w14:textId="50179879" w:rsidR="00D279F5" w:rsidRPr="00DB762A" w:rsidRDefault="00D279F5" w:rsidP="00C62C2A">
      <w:pPr>
        <w:pStyle w:val="SingleTxtG"/>
      </w:pPr>
      <w:r w:rsidRPr="00DB762A">
        <w:t>2.</w:t>
      </w:r>
      <w:r w:rsidRPr="00DB762A">
        <w:tab/>
        <w:t xml:space="preserve">In accordance with rule 1 (a) of the rules of procedure of the Joint Meeting, (ECE/TRANS/WP.15/AC.1/112/Add.2), representatives of the following countries participated as full members at the session: Austria, Belgium, Croatia, Czechia, Denmark, Finland, France, Germany, Italy, Latvia, Luxembourg, Netherlands, Norway, Poland, Romania, Russian Federation, Slovakia, Spain, Sweden, Switzerland, Turkey, United Kingdom and United States of America. </w:t>
      </w:r>
    </w:p>
    <w:p w14:paraId="2FB491EA" w14:textId="77777777" w:rsidR="00D279F5" w:rsidRPr="00DB762A" w:rsidRDefault="00D279F5" w:rsidP="00C62C2A">
      <w:pPr>
        <w:pStyle w:val="SingleTxtG"/>
      </w:pPr>
      <w:r w:rsidRPr="00DB762A">
        <w:t>3.</w:t>
      </w:r>
      <w:r w:rsidRPr="00DB762A">
        <w:tab/>
        <w:t>In accordance with rule 1 (c) and (d) of the rules of procedure, the following were represented in a consultative capacity:</w:t>
      </w:r>
    </w:p>
    <w:p w14:paraId="3D4E9B25" w14:textId="5EBEF2D4" w:rsidR="00D279F5" w:rsidRPr="00DB762A" w:rsidRDefault="00D279F5" w:rsidP="0095261E">
      <w:pPr>
        <w:pStyle w:val="SingleTxtG"/>
        <w:ind w:firstLine="567"/>
      </w:pPr>
      <w:r w:rsidRPr="00DB762A">
        <w:t>(a)</w:t>
      </w:r>
      <w:r w:rsidRPr="00DB762A">
        <w:tab/>
        <w:t>European Union (European Commission and European Union Agency for Railways) and Organization for Cooperation between Railways (OSJD);</w:t>
      </w:r>
    </w:p>
    <w:p w14:paraId="0BA2ABD1" w14:textId="238E1B7E" w:rsidR="00D279F5" w:rsidRPr="00DB762A" w:rsidRDefault="00D279F5" w:rsidP="0095261E">
      <w:pPr>
        <w:pStyle w:val="SingleTxtG"/>
        <w:ind w:firstLine="567"/>
      </w:pPr>
      <w:r w:rsidRPr="00DB762A">
        <w:t>(b)</w:t>
      </w:r>
      <w:r w:rsidRPr="00DB762A">
        <w:tab/>
        <w:t xml:space="preserve">The following international non-governmental organizations: European Chemical Industry Council (CEFIC), European Committee for Standardization (CEN), Council on Safe Transportation of Hazardous Articles (COSTHA), European Conference of Fuel Distributors (ECFD), European Cylinder Makers Association (ECMA), </w:t>
      </w:r>
      <w:r w:rsidR="00D609BE" w:rsidRPr="00DB762A">
        <w:t xml:space="preserve">European Federation of Waste Management and Environmental Services (FEAD), </w:t>
      </w:r>
      <w:r w:rsidRPr="00DB762A">
        <w:t>European Industrial Gases Association (EIGA), European Liquefied Petroleum Gas Association (AEGPL), International Association of the Body and Trailer Building Industry (CLCCR), International Road Transport Union (IRU), International Tank Container Organisation (ITCO), International Union of Private Wagons (UIP), and International Union of Railways (UIC).</w:t>
      </w:r>
    </w:p>
    <w:p w14:paraId="7AA62E70" w14:textId="77777777" w:rsidR="00D279F5" w:rsidRPr="00DB762A" w:rsidRDefault="00D279F5" w:rsidP="00D279F5">
      <w:pPr>
        <w:pStyle w:val="HChG"/>
        <w:rPr>
          <w:lang w:val="en-GB"/>
        </w:rPr>
      </w:pPr>
      <w:r w:rsidRPr="00DB762A">
        <w:rPr>
          <w:lang w:val="en-GB"/>
        </w:rPr>
        <w:tab/>
        <w:t>II.</w:t>
      </w:r>
      <w:r w:rsidRPr="00DB762A">
        <w:rPr>
          <w:lang w:val="en-GB"/>
        </w:rPr>
        <w:tab/>
        <w:t>Adoption of the agenda (agenda item 1)</w:t>
      </w:r>
    </w:p>
    <w:p w14:paraId="545083C2" w14:textId="7BB15940" w:rsidR="00D279F5" w:rsidRPr="00D4632B" w:rsidRDefault="00D279F5" w:rsidP="00D279F5">
      <w:pPr>
        <w:pStyle w:val="SingleTxtG"/>
        <w:spacing w:after="0"/>
        <w:ind w:left="3289" w:hanging="2155"/>
        <w:rPr>
          <w:lang w:val="fr-FR"/>
        </w:rPr>
      </w:pPr>
      <w:r w:rsidRPr="00D4632B">
        <w:rPr>
          <w:i/>
          <w:lang w:val="fr-FR"/>
        </w:rPr>
        <w:t>Document</w:t>
      </w:r>
      <w:r w:rsidRPr="00D4632B">
        <w:rPr>
          <w:lang w:val="fr-FR"/>
        </w:rPr>
        <w:t>:</w:t>
      </w:r>
      <w:r w:rsidRPr="00D4632B">
        <w:rPr>
          <w:lang w:val="fr-FR"/>
        </w:rPr>
        <w:tab/>
      </w:r>
      <w:r w:rsidR="0095261E" w:rsidRPr="00D4632B">
        <w:rPr>
          <w:lang w:val="fr-FR"/>
        </w:rPr>
        <w:tab/>
      </w:r>
      <w:r w:rsidRPr="00D4632B">
        <w:rPr>
          <w:lang w:val="fr-FR"/>
        </w:rPr>
        <w:t>ECE/TRANS/WP.15/AC.1/151</w:t>
      </w:r>
    </w:p>
    <w:p w14:paraId="3DD5BDFC" w14:textId="3C69FE8B" w:rsidR="00F12319" w:rsidRPr="00DB762A" w:rsidRDefault="00D279F5" w:rsidP="00F12319">
      <w:pPr>
        <w:pStyle w:val="SingleTxtG"/>
      </w:pPr>
      <w:r w:rsidRPr="00D4632B">
        <w:rPr>
          <w:lang w:val="fr-FR"/>
        </w:rPr>
        <w:tab/>
      </w:r>
      <w:r w:rsidRPr="00D4632B">
        <w:rPr>
          <w:lang w:val="fr-FR"/>
        </w:rPr>
        <w:tab/>
      </w:r>
      <w:r w:rsidRPr="00D4632B">
        <w:rPr>
          <w:lang w:val="fr-FR"/>
        </w:rPr>
        <w:tab/>
      </w:r>
      <w:r w:rsidRPr="00D4632B">
        <w:rPr>
          <w:lang w:val="fr-FR"/>
        </w:rPr>
        <w:tab/>
      </w:r>
      <w:r w:rsidRPr="00D4632B">
        <w:rPr>
          <w:lang w:val="fr-FR"/>
        </w:rPr>
        <w:tab/>
      </w:r>
      <w:r w:rsidRPr="00DB762A">
        <w:t>ECE/TRANS/WP.15/AC.1/151/Add.1</w:t>
      </w:r>
      <w:r w:rsidR="00F12319">
        <w:br/>
      </w:r>
      <w:r w:rsidR="00F12319">
        <w:tab/>
      </w:r>
      <w:r w:rsidR="00F12319">
        <w:tab/>
      </w:r>
      <w:r w:rsidR="00F12319">
        <w:tab/>
      </w:r>
      <w:r w:rsidR="00F12319">
        <w:tab/>
      </w:r>
      <w:r w:rsidR="00F12319">
        <w:tab/>
        <w:t>RID-18001-RC</w:t>
      </w:r>
    </w:p>
    <w:p w14:paraId="16B364C9" w14:textId="77777777" w:rsidR="00D279F5" w:rsidRPr="00DB762A" w:rsidRDefault="00D279F5" w:rsidP="00D279F5">
      <w:pPr>
        <w:pStyle w:val="SingleTxtG"/>
        <w:rPr>
          <w:iCs/>
        </w:rPr>
      </w:pPr>
      <w:r w:rsidRPr="00DB762A">
        <w:rPr>
          <w:i/>
        </w:rPr>
        <w:t>Informal documents</w:t>
      </w:r>
      <w:r w:rsidRPr="00DB762A">
        <w:t xml:space="preserve">: </w:t>
      </w:r>
      <w:r w:rsidRPr="00DB762A">
        <w:tab/>
      </w:r>
      <w:r w:rsidRPr="00DB762A">
        <w:rPr>
          <w:iCs/>
        </w:rPr>
        <w:t>INF.1 and INF.2 (Secretariat)</w:t>
      </w:r>
    </w:p>
    <w:p w14:paraId="7B2E333B" w14:textId="1DC17CFA" w:rsidR="00D279F5" w:rsidRPr="00DB762A" w:rsidRDefault="00D279F5" w:rsidP="00C62C2A">
      <w:pPr>
        <w:pStyle w:val="SingleTxtG"/>
      </w:pPr>
      <w:r w:rsidRPr="00DB762A">
        <w:t>4.</w:t>
      </w:r>
      <w:r w:rsidRPr="00DB762A">
        <w:tab/>
        <w:t>The Joint Meeting adopted the agenda proposed by the secretariat in documents ECE/TRANS/WP.15/AC.1/151 and Add.1 (document RID-18001-RC from OTIF) as updated by informal document INF.2 after amending it to take account of informal documents INF.1 to INF.</w:t>
      </w:r>
      <w:r w:rsidR="0095261E" w:rsidRPr="00DB762A">
        <w:t>32</w:t>
      </w:r>
      <w:r w:rsidRPr="00DB762A">
        <w:t xml:space="preserve">. </w:t>
      </w:r>
    </w:p>
    <w:p w14:paraId="367051D3" w14:textId="77777777" w:rsidR="00D279F5" w:rsidRPr="00DB762A" w:rsidRDefault="00D279F5" w:rsidP="00D279F5">
      <w:pPr>
        <w:pStyle w:val="HChG"/>
        <w:rPr>
          <w:lang w:val="en-GB"/>
        </w:rPr>
      </w:pPr>
      <w:r w:rsidRPr="00DB762A">
        <w:rPr>
          <w:lang w:val="en-GB"/>
        </w:rPr>
        <w:tab/>
        <w:t>III.</w:t>
      </w:r>
      <w:r w:rsidRPr="00DB762A">
        <w:rPr>
          <w:lang w:val="en-GB"/>
        </w:rPr>
        <w:tab/>
        <w:t>Tanks (agenda item 2)</w:t>
      </w:r>
    </w:p>
    <w:p w14:paraId="39134BC5" w14:textId="77777777" w:rsidR="00881080" w:rsidRPr="00DB762A" w:rsidRDefault="00D279F5" w:rsidP="00D279F5">
      <w:pPr>
        <w:pStyle w:val="SingleTxtG"/>
        <w:spacing w:after="0"/>
        <w:ind w:left="3289" w:hanging="2155"/>
      </w:pPr>
      <w:r w:rsidRPr="00DB762A">
        <w:rPr>
          <w:i/>
        </w:rPr>
        <w:t>Documents</w:t>
      </w:r>
      <w:r w:rsidRPr="00DB762A">
        <w:t xml:space="preserve">: </w:t>
      </w:r>
      <w:r w:rsidRPr="00DB762A">
        <w:tab/>
        <w:t>ECE/TRANS/WP.15/AC.1/2018/27 (France)</w:t>
      </w:r>
    </w:p>
    <w:p w14:paraId="0DFFDB01" w14:textId="2417D257" w:rsidR="00D279F5" w:rsidRPr="00DB762A" w:rsidRDefault="00D279F5" w:rsidP="00D279F5">
      <w:pPr>
        <w:pStyle w:val="SingleTxtG"/>
        <w:spacing w:after="0"/>
        <w:ind w:left="3289" w:hanging="2155"/>
      </w:pPr>
      <w:r w:rsidRPr="00DB762A">
        <w:t xml:space="preserve"> </w:t>
      </w:r>
      <w:r w:rsidR="00881080" w:rsidRPr="00DB762A">
        <w:tab/>
        <w:t>ECE/TRANS/WP.15/AC.1/2018/29 (France)</w:t>
      </w:r>
    </w:p>
    <w:p w14:paraId="2B81768D" w14:textId="77777777" w:rsidR="00D279F5" w:rsidRPr="00DB762A" w:rsidRDefault="00D279F5" w:rsidP="00D279F5">
      <w:pPr>
        <w:pStyle w:val="SingleTxtG"/>
        <w:ind w:left="3289" w:hanging="2155"/>
      </w:pPr>
      <w:r w:rsidRPr="00DB762A">
        <w:tab/>
        <w:t xml:space="preserve">ECE/TRANS/WP.15/AC.1/2018/31 (Netherlands) </w:t>
      </w:r>
    </w:p>
    <w:p w14:paraId="20ADDA1D" w14:textId="77777777" w:rsidR="00D279F5" w:rsidRPr="00DB762A" w:rsidRDefault="00D279F5" w:rsidP="00D279F5">
      <w:pPr>
        <w:pStyle w:val="SingleTxtG"/>
        <w:spacing w:after="0"/>
        <w:ind w:left="3289" w:hanging="2155"/>
      </w:pPr>
      <w:r w:rsidRPr="00DB762A">
        <w:rPr>
          <w:i/>
        </w:rPr>
        <w:t>Informal documents</w:t>
      </w:r>
      <w:r w:rsidRPr="00DB762A">
        <w:t>:</w:t>
      </w:r>
      <w:r w:rsidRPr="00DB762A">
        <w:tab/>
        <w:t xml:space="preserve">INF.3 (Netherlands) </w:t>
      </w:r>
    </w:p>
    <w:p w14:paraId="48954AAC" w14:textId="77777777" w:rsidR="00D279F5" w:rsidRPr="00DB762A" w:rsidRDefault="00D279F5" w:rsidP="00D279F5">
      <w:pPr>
        <w:pStyle w:val="SingleTxtG"/>
        <w:spacing w:after="0"/>
        <w:ind w:left="3289" w:hanging="2155"/>
      </w:pPr>
      <w:r w:rsidRPr="00DB762A">
        <w:tab/>
        <w:t xml:space="preserve">INF.7 (ITCO) </w:t>
      </w:r>
    </w:p>
    <w:p w14:paraId="225E94E8" w14:textId="77777777" w:rsidR="00D279F5" w:rsidRPr="00DB762A" w:rsidRDefault="00D279F5" w:rsidP="00D279F5">
      <w:pPr>
        <w:pStyle w:val="SingleTxtG"/>
        <w:spacing w:after="0"/>
        <w:ind w:left="3289" w:hanging="2155"/>
      </w:pPr>
      <w:r w:rsidRPr="00DB762A">
        <w:tab/>
        <w:t xml:space="preserve">INF.9 (United Kingdom) </w:t>
      </w:r>
    </w:p>
    <w:p w14:paraId="4763BBED" w14:textId="77777777" w:rsidR="00D279F5" w:rsidRPr="00DB762A" w:rsidRDefault="00D279F5" w:rsidP="00D609BE">
      <w:pPr>
        <w:pStyle w:val="SingleTxtG"/>
        <w:spacing w:after="0"/>
        <w:ind w:left="3289" w:hanging="2155"/>
      </w:pPr>
      <w:r w:rsidRPr="00DB762A">
        <w:tab/>
        <w:t xml:space="preserve">INF.11 (Switzerland) </w:t>
      </w:r>
    </w:p>
    <w:p w14:paraId="582D5182" w14:textId="77777777" w:rsidR="00D279F5" w:rsidRPr="00DB762A" w:rsidRDefault="00D279F5" w:rsidP="00D279F5">
      <w:pPr>
        <w:pStyle w:val="SingleTxtG"/>
        <w:spacing w:after="0"/>
        <w:ind w:left="3289" w:hanging="2155"/>
      </w:pPr>
      <w:r w:rsidRPr="00DB762A">
        <w:tab/>
        <w:t xml:space="preserve">INF.17 (United Kingdom) </w:t>
      </w:r>
    </w:p>
    <w:p w14:paraId="5D9CBCF8" w14:textId="77777777" w:rsidR="00D279F5" w:rsidRPr="00DB762A" w:rsidRDefault="00D279F5" w:rsidP="00D279F5">
      <w:pPr>
        <w:pStyle w:val="SingleTxtG"/>
        <w:spacing w:after="0"/>
        <w:ind w:left="3289" w:hanging="2155"/>
      </w:pPr>
      <w:r w:rsidRPr="00DB762A">
        <w:tab/>
        <w:t xml:space="preserve">INF.18 (France) </w:t>
      </w:r>
    </w:p>
    <w:p w14:paraId="6FBD03DB" w14:textId="77777777" w:rsidR="0095261E" w:rsidRPr="00DB762A" w:rsidRDefault="00D279F5" w:rsidP="00D279F5">
      <w:pPr>
        <w:pStyle w:val="SingleTxtG"/>
        <w:spacing w:after="0"/>
        <w:ind w:left="3289" w:hanging="2155"/>
      </w:pPr>
      <w:r w:rsidRPr="00DB762A">
        <w:lastRenderedPageBreak/>
        <w:tab/>
        <w:t>INF.20 (Poland)</w:t>
      </w:r>
    </w:p>
    <w:p w14:paraId="610A60A4" w14:textId="4149E1A5" w:rsidR="00D279F5" w:rsidRPr="00DB762A" w:rsidRDefault="0095261E" w:rsidP="0095261E">
      <w:pPr>
        <w:pStyle w:val="SingleTxtG"/>
        <w:spacing w:after="0"/>
        <w:ind w:left="3289"/>
      </w:pPr>
      <w:r w:rsidRPr="00DB762A">
        <w:t xml:space="preserve">INF.23 (European Union) </w:t>
      </w:r>
      <w:r w:rsidR="00D279F5" w:rsidRPr="00DB762A">
        <w:t xml:space="preserve"> </w:t>
      </w:r>
    </w:p>
    <w:p w14:paraId="662A58A8" w14:textId="77777777" w:rsidR="00D279F5" w:rsidRPr="00DB762A" w:rsidRDefault="00D279F5" w:rsidP="00D279F5">
      <w:pPr>
        <w:pStyle w:val="SingleTxtG"/>
        <w:ind w:left="3289"/>
      </w:pPr>
      <w:r w:rsidRPr="00DB762A">
        <w:t xml:space="preserve">INF.25 (Poland) </w:t>
      </w:r>
    </w:p>
    <w:p w14:paraId="01980026" w14:textId="73298577" w:rsidR="00D279F5" w:rsidRPr="00DB762A" w:rsidRDefault="00D279F5" w:rsidP="00D279F5">
      <w:pPr>
        <w:pStyle w:val="SingleTxtG"/>
      </w:pPr>
      <w:r w:rsidRPr="00DB762A">
        <w:t>5.</w:t>
      </w:r>
      <w:r w:rsidRPr="00DB762A">
        <w:tab/>
        <w:t xml:space="preserve">Consideration of the documents was entrusted to the Working Group on Tanks that met from 17 to 19 </w:t>
      </w:r>
      <w:r w:rsidR="0095261E" w:rsidRPr="00DB762A">
        <w:t xml:space="preserve">September </w:t>
      </w:r>
      <w:r w:rsidRPr="00DB762A">
        <w:t>with Mr. A. Bale (United Kingdom) as Chair.</w:t>
      </w:r>
    </w:p>
    <w:p w14:paraId="08D72A87" w14:textId="3CC5E1F4" w:rsidR="00155058" w:rsidRPr="00DB762A" w:rsidRDefault="00155058" w:rsidP="00155058">
      <w:pPr>
        <w:pStyle w:val="H1G"/>
      </w:pPr>
      <w:r w:rsidRPr="00DB762A">
        <w:tab/>
      </w:r>
      <w:r w:rsidRPr="00DB762A">
        <w:tab/>
        <w:t>Report of the Working Group on Tanks</w:t>
      </w:r>
    </w:p>
    <w:p w14:paraId="58A2CF97" w14:textId="1FF9061C" w:rsidR="002116C5" w:rsidRPr="00DB762A" w:rsidRDefault="002116C5" w:rsidP="002116C5">
      <w:pPr>
        <w:pStyle w:val="SingleTxtG"/>
        <w:tabs>
          <w:tab w:val="left" w:pos="3402"/>
        </w:tabs>
      </w:pPr>
      <w:r w:rsidRPr="00DB762A">
        <w:rPr>
          <w:i/>
        </w:rPr>
        <w:t>Informal document:</w:t>
      </w:r>
      <w:r w:rsidRPr="00DB762A">
        <w:tab/>
        <w:t>INF.30 (Report of the Working Group</w:t>
      </w:r>
      <w:r w:rsidR="004C47F0" w:rsidRPr="00DB762A">
        <w:t xml:space="preserve"> on Tanks</w:t>
      </w:r>
      <w:r w:rsidRPr="00DB762A">
        <w:t xml:space="preserve">) </w:t>
      </w:r>
    </w:p>
    <w:p w14:paraId="7DDB561A" w14:textId="26ACBDC3" w:rsidR="002116C5" w:rsidRPr="00DB762A" w:rsidRDefault="001415CE" w:rsidP="00C62C2A">
      <w:pPr>
        <w:pStyle w:val="SingleTxtG"/>
      </w:pPr>
      <w:r w:rsidRPr="00DB762A">
        <w:t>6</w:t>
      </w:r>
      <w:r w:rsidR="002116C5" w:rsidRPr="00DB762A">
        <w:t>.</w:t>
      </w:r>
      <w:r w:rsidR="002116C5" w:rsidRPr="00DB762A">
        <w:tab/>
      </w:r>
      <w:r w:rsidR="006A716E" w:rsidRPr="00DB762A">
        <w:t xml:space="preserve">The Joint Meeting endorsed the conclusions and recommendations of the Working </w:t>
      </w:r>
      <w:proofErr w:type="gramStart"/>
      <w:r w:rsidR="006A716E" w:rsidRPr="00DB762A">
        <w:t>Group,</w:t>
      </w:r>
      <w:proofErr w:type="gramEnd"/>
      <w:r w:rsidR="006A716E" w:rsidRPr="00DB762A">
        <w:t xml:space="preserve"> whose report appears in annex I as addendum 1 to this report</w:t>
      </w:r>
      <w:r w:rsidR="002116C5" w:rsidRPr="00DB762A">
        <w:t>. It adopted proposals 2 and 3, as amended, as well as 4 and 5 and agreed to the introduction of a reference to the type 3.1 certificate in 6.8.2.6.1 for EN 14025:2018 (see annex</w:t>
      </w:r>
      <w:r w:rsidR="00C4318D" w:rsidRPr="00DB762A">
        <w:t xml:space="preserve"> II</w:t>
      </w:r>
      <w:r w:rsidR="002116C5" w:rsidRPr="00DB762A">
        <w:t>) and to the proposed guideline in proposal 1, as amended (see annex</w:t>
      </w:r>
      <w:r w:rsidR="00C4318D" w:rsidRPr="00DB762A">
        <w:t xml:space="preserve"> III</w:t>
      </w:r>
      <w:r w:rsidR="002116C5" w:rsidRPr="00DB762A">
        <w:t xml:space="preserve">).  </w:t>
      </w:r>
    </w:p>
    <w:p w14:paraId="3F4A607C" w14:textId="77777777" w:rsidR="00D279F5" w:rsidRPr="00D4632B" w:rsidRDefault="00D279F5" w:rsidP="00D279F5">
      <w:pPr>
        <w:pStyle w:val="HChG"/>
        <w:rPr>
          <w:lang w:val="fr-FR"/>
        </w:rPr>
      </w:pPr>
      <w:r w:rsidRPr="00DB762A">
        <w:rPr>
          <w:lang w:val="en-GB"/>
        </w:rPr>
        <w:tab/>
      </w:r>
      <w:r w:rsidRPr="00D4632B">
        <w:rPr>
          <w:lang w:val="fr-FR"/>
        </w:rPr>
        <w:t>IV.</w:t>
      </w:r>
      <w:r w:rsidRPr="00D4632B">
        <w:rPr>
          <w:lang w:val="fr-FR"/>
        </w:rPr>
        <w:tab/>
        <w:t>Standards (agenda item 3)</w:t>
      </w:r>
    </w:p>
    <w:p w14:paraId="2364551C" w14:textId="4E833C71" w:rsidR="00D279F5" w:rsidRPr="00D4632B" w:rsidRDefault="00D279F5" w:rsidP="00D279F5">
      <w:pPr>
        <w:pStyle w:val="SingleTxtG"/>
        <w:ind w:left="2268" w:hanging="1134"/>
        <w:jc w:val="left"/>
        <w:rPr>
          <w:lang w:val="fr-FR"/>
        </w:rPr>
      </w:pPr>
      <w:r w:rsidRPr="00D4632B">
        <w:rPr>
          <w:i/>
          <w:lang w:val="fr-FR"/>
        </w:rPr>
        <w:t>Document:</w:t>
      </w:r>
      <w:r w:rsidRPr="00D4632B">
        <w:rPr>
          <w:lang w:val="fr-FR"/>
        </w:rPr>
        <w:tab/>
      </w:r>
      <w:r w:rsidRPr="00D4632B">
        <w:rPr>
          <w:lang w:val="fr-FR"/>
        </w:rPr>
        <w:tab/>
      </w:r>
      <w:r w:rsidRPr="00D4632B">
        <w:rPr>
          <w:lang w:val="fr-FR"/>
        </w:rPr>
        <w:tab/>
      </w:r>
      <w:r w:rsidRPr="00D4632B">
        <w:rPr>
          <w:lang w:val="fr-FR"/>
        </w:rPr>
        <w:tab/>
        <w:t xml:space="preserve">ECE/TRANS/WP.15/AC.1/2018/28 (CEN) </w:t>
      </w:r>
    </w:p>
    <w:p w14:paraId="5B21CCDE" w14:textId="77777777" w:rsidR="00D279F5" w:rsidRPr="00D4632B" w:rsidRDefault="00D279F5" w:rsidP="00D279F5">
      <w:pPr>
        <w:pStyle w:val="SingleTxtG"/>
        <w:rPr>
          <w:lang w:val="fr-FR"/>
        </w:rPr>
      </w:pPr>
      <w:r w:rsidRPr="00D4632B">
        <w:rPr>
          <w:i/>
          <w:lang w:val="fr-FR"/>
        </w:rPr>
        <w:t>Informal document:</w:t>
      </w:r>
      <w:r w:rsidRPr="00D4632B">
        <w:rPr>
          <w:lang w:val="fr-FR"/>
        </w:rPr>
        <w:tab/>
      </w:r>
      <w:r w:rsidRPr="00D4632B">
        <w:rPr>
          <w:lang w:val="fr-FR"/>
        </w:rPr>
        <w:tab/>
        <w:t xml:space="preserve">INF.15 (CEN) </w:t>
      </w:r>
    </w:p>
    <w:p w14:paraId="3ABD353E" w14:textId="4BF8A32D" w:rsidR="00D279F5" w:rsidRPr="00DB762A" w:rsidRDefault="00D609BE" w:rsidP="00C62C2A">
      <w:pPr>
        <w:pStyle w:val="SingleTxtG"/>
      </w:pPr>
      <w:r w:rsidRPr="00DB762A">
        <w:t>7</w:t>
      </w:r>
      <w:r w:rsidR="00D279F5" w:rsidRPr="00DB762A">
        <w:t>.</w:t>
      </w:r>
      <w:r w:rsidR="00D279F5" w:rsidRPr="00DB762A">
        <w:tab/>
        <w:t xml:space="preserve">The Joint Meeting was informed that the new system of harmonized standard consultants (HAS) created by the European Commission was applicable since 1 April 2018 and noted that, to date, no HAS consultant with suitable experience in the matters addressed by the standards relevant to the work of the Joint Meeting has been identified. </w:t>
      </w:r>
    </w:p>
    <w:p w14:paraId="07B06823" w14:textId="1C98DE2D" w:rsidR="00D279F5" w:rsidRPr="00DB762A" w:rsidRDefault="00D609BE" w:rsidP="00C62C2A">
      <w:pPr>
        <w:pStyle w:val="SingleTxtG"/>
      </w:pPr>
      <w:r w:rsidRPr="00DB762A">
        <w:t>8</w:t>
      </w:r>
      <w:r w:rsidR="00D279F5" w:rsidRPr="00DB762A">
        <w:t>.</w:t>
      </w:r>
      <w:r w:rsidR="00D279F5" w:rsidRPr="00DB762A">
        <w:tab/>
        <w:t xml:space="preserve">The HAS consultant would provide assistance to the European Commission on standards where such standards could be incorporated by reference into European Union (EU) acts and where they could have a legal effect. The main task of the consultant would be to assess: </w:t>
      </w:r>
    </w:p>
    <w:p w14:paraId="1597CDAD" w14:textId="6D7B8AA7" w:rsidR="00D279F5" w:rsidRPr="00DB762A" w:rsidRDefault="00D279F5" w:rsidP="00C62C2A">
      <w:pPr>
        <w:pStyle w:val="SingleTxtG"/>
        <w:ind w:firstLine="567"/>
      </w:pPr>
      <w:r w:rsidRPr="00DB762A">
        <w:t>(a)</w:t>
      </w:r>
      <w:r w:rsidRPr="00DB762A">
        <w:tab/>
        <w:t xml:space="preserve"> to which extent the standards (or parts thereof) drafted by European standardisation organisations (CEN, European Committee for Electrotechnical Standardisation (</w:t>
      </w:r>
      <w:r w:rsidR="00C4318D" w:rsidRPr="00DB762A">
        <w:t>CENELEC</w:t>
      </w:r>
      <w:r w:rsidRPr="00DB762A">
        <w:t>) and European Telecommunications Standards Institute (ETSI)</w:t>
      </w:r>
      <w:r w:rsidR="00D4632B">
        <w:t>)</w:t>
      </w:r>
      <w:r w:rsidRPr="00DB762A">
        <w:t xml:space="preserve"> comply with the Commission requests and; </w:t>
      </w:r>
    </w:p>
    <w:p w14:paraId="7BBA19D8" w14:textId="77777777" w:rsidR="00D279F5" w:rsidRPr="00DB762A" w:rsidRDefault="00D279F5" w:rsidP="00C62C2A">
      <w:pPr>
        <w:pStyle w:val="SingleTxtG"/>
        <w:ind w:firstLine="567"/>
      </w:pPr>
      <w:r w:rsidRPr="00DB762A">
        <w:t xml:space="preserve">(b) </w:t>
      </w:r>
      <w:r w:rsidRPr="00DB762A">
        <w:tab/>
        <w:t xml:space="preserve">to which extent they deal with and support relevant essential or other requirements set by the relevant EU legislation.  </w:t>
      </w:r>
    </w:p>
    <w:p w14:paraId="2D7E75EC" w14:textId="469863B2" w:rsidR="00D279F5" w:rsidRPr="00DB762A" w:rsidRDefault="00D609BE" w:rsidP="00C62C2A">
      <w:pPr>
        <w:pStyle w:val="SingleTxtG"/>
      </w:pPr>
      <w:r w:rsidRPr="00DB762A">
        <w:t>9</w:t>
      </w:r>
      <w:r w:rsidR="00D279F5" w:rsidRPr="00DB762A">
        <w:t>.</w:t>
      </w:r>
      <w:r w:rsidR="00D279F5" w:rsidRPr="00DB762A">
        <w:tab/>
        <w:t>The Joint Meeting noted that the HAS consultant would not be allowed to receive advice from third parties nor to share his/her findings outside the European Commission. In addition, several delegations pointed out that the scope of the work of the HAS consultant did not address the assessment of the suitability of a given standard for the purposes of RID/ADR/ADN regulations and therefore considered that a new arrangement for consultative services, outside the HAS framework</w:t>
      </w:r>
      <w:r w:rsidR="00F53186">
        <w:t>,</w:t>
      </w:r>
      <w:r w:rsidR="00D279F5" w:rsidRPr="00DB762A">
        <w:t xml:space="preserve"> was necessary. </w:t>
      </w:r>
    </w:p>
    <w:p w14:paraId="677E9B59" w14:textId="5F357017" w:rsidR="00D279F5" w:rsidRPr="00DB762A" w:rsidRDefault="00D609BE" w:rsidP="00C62C2A">
      <w:pPr>
        <w:pStyle w:val="SingleTxtG"/>
      </w:pPr>
      <w:r w:rsidRPr="00DB762A">
        <w:t>10</w:t>
      </w:r>
      <w:r w:rsidR="00D279F5" w:rsidRPr="00DB762A">
        <w:t>.</w:t>
      </w:r>
      <w:r w:rsidR="00D279F5" w:rsidRPr="00DB762A">
        <w:tab/>
        <w:t xml:space="preserve">In view of the above, and after an exchange of views on possible ways forward, the Joint Meeting invited the representative of CEN to check whether a CEN consultant (selected among its staff or among representatives of its Members states or industry associations) could continue to do the work as it was done prior to the applicability of the new HAS consultants framework to verify the compatibility of draft standards with the requirements of RID/ADR/ADN. The representative of CEN said he would update the Joint Meeting on this matter at its spring 2019 session. </w:t>
      </w:r>
    </w:p>
    <w:p w14:paraId="7F1AA382" w14:textId="217F49BC" w:rsidR="00D279F5" w:rsidRPr="00DB762A" w:rsidRDefault="00D609BE" w:rsidP="00C62C2A">
      <w:pPr>
        <w:pStyle w:val="SingleTxtG"/>
      </w:pPr>
      <w:r w:rsidRPr="00DB762A">
        <w:lastRenderedPageBreak/>
        <w:t>11</w:t>
      </w:r>
      <w:r w:rsidR="00D279F5" w:rsidRPr="00DB762A">
        <w:t>.</w:t>
      </w:r>
      <w:r w:rsidR="00D279F5" w:rsidRPr="00DB762A">
        <w:tab/>
        <w:t xml:space="preserve">The Joint Meeting invited the working group </w:t>
      </w:r>
      <w:r w:rsidR="0095261E" w:rsidRPr="00DB762A">
        <w:t xml:space="preserve">on </w:t>
      </w:r>
      <w:r w:rsidR="00D279F5" w:rsidRPr="00DB762A">
        <w:t xml:space="preserve">standards to consider the comments made during the discussion in plenary and provide, to the extent possible, some advice before the end of the session. </w:t>
      </w:r>
    </w:p>
    <w:p w14:paraId="60E0344F" w14:textId="2B3C62D3" w:rsidR="00C62C2A" w:rsidRPr="00DB762A" w:rsidRDefault="00D609BE" w:rsidP="00C62C2A">
      <w:pPr>
        <w:pStyle w:val="SingleTxtG"/>
      </w:pPr>
      <w:r w:rsidRPr="00DB762A">
        <w:t>12</w:t>
      </w:r>
      <w:r w:rsidR="00D279F5" w:rsidRPr="00DB762A">
        <w:t>.</w:t>
      </w:r>
      <w:r w:rsidR="00D279F5" w:rsidRPr="00DB762A">
        <w:tab/>
        <w:t>Consideration of all documents under agenda item 3 was entrusted to the Working Group on Standards, which met during the lunch breaks.</w:t>
      </w:r>
    </w:p>
    <w:p w14:paraId="3AA3196B" w14:textId="46A814F7" w:rsidR="00155058" w:rsidRPr="00DB762A" w:rsidRDefault="00C62C2A" w:rsidP="00155058">
      <w:pPr>
        <w:pStyle w:val="H1G"/>
        <w:ind w:firstLine="0"/>
        <w:rPr>
          <w:i/>
        </w:rPr>
      </w:pPr>
      <w:r w:rsidRPr="00DB762A">
        <w:t>Report of the Working Group on Standards</w:t>
      </w:r>
    </w:p>
    <w:p w14:paraId="0F6660B1" w14:textId="18985EC1" w:rsidR="002116C5" w:rsidRPr="00DB762A" w:rsidRDefault="002116C5" w:rsidP="00155058">
      <w:pPr>
        <w:pStyle w:val="SingleTxtG"/>
      </w:pPr>
      <w:r w:rsidRPr="00DB762A">
        <w:rPr>
          <w:i/>
        </w:rPr>
        <w:tab/>
        <w:t xml:space="preserve">Informal document: </w:t>
      </w:r>
      <w:r w:rsidRPr="00DB762A">
        <w:rPr>
          <w:i/>
        </w:rPr>
        <w:tab/>
      </w:r>
      <w:r w:rsidRPr="00DB762A">
        <w:t xml:space="preserve">INF.29 (Report of the </w:t>
      </w:r>
      <w:r w:rsidR="00C4318D" w:rsidRPr="00DB762A">
        <w:t xml:space="preserve">Working Group </w:t>
      </w:r>
      <w:r w:rsidRPr="00DB762A">
        <w:t xml:space="preserve">on </w:t>
      </w:r>
      <w:r w:rsidR="00C4318D" w:rsidRPr="00DB762A">
        <w:t>Standards</w:t>
      </w:r>
      <w:r w:rsidRPr="00DB762A">
        <w:t>)</w:t>
      </w:r>
    </w:p>
    <w:p w14:paraId="659816B4" w14:textId="2877DCBE" w:rsidR="002116C5" w:rsidRPr="00DB762A" w:rsidRDefault="00D609BE" w:rsidP="00C62C2A">
      <w:pPr>
        <w:pStyle w:val="SingleTxtG"/>
      </w:pPr>
      <w:r w:rsidRPr="00DB762A">
        <w:t>13</w:t>
      </w:r>
      <w:r w:rsidR="002116C5" w:rsidRPr="00DB762A">
        <w:t>.</w:t>
      </w:r>
      <w:r w:rsidR="002116C5" w:rsidRPr="00DB762A">
        <w:tab/>
        <w:t>The Joint Meeting adopted the proposals made by the Working Group as follows:</w:t>
      </w:r>
    </w:p>
    <w:p w14:paraId="16ABDE45" w14:textId="195C3B91" w:rsidR="002116C5" w:rsidRPr="00DB762A" w:rsidRDefault="002116C5" w:rsidP="002116C5">
      <w:pPr>
        <w:pStyle w:val="SingleTxtG"/>
        <w:ind w:left="2268" w:hanging="567"/>
      </w:pPr>
      <w:r w:rsidRPr="00DB762A">
        <w:t>(a)</w:t>
      </w:r>
      <w:r w:rsidRPr="00DB762A">
        <w:tab/>
        <w:t>proposals 1 and 2: adopted without changes (see annex</w:t>
      </w:r>
      <w:r w:rsidR="00BB33CF" w:rsidRPr="00DB762A">
        <w:t xml:space="preserve"> II</w:t>
      </w:r>
      <w:r w:rsidRPr="00DB762A">
        <w:t>);</w:t>
      </w:r>
    </w:p>
    <w:p w14:paraId="5A7ABF9A" w14:textId="22C12B8B" w:rsidR="002116C5" w:rsidRPr="00DB762A" w:rsidRDefault="002116C5" w:rsidP="002116C5">
      <w:pPr>
        <w:pStyle w:val="SingleTxtG"/>
        <w:ind w:left="2268" w:hanging="567"/>
      </w:pPr>
      <w:r w:rsidRPr="00DB762A">
        <w:t>(b)</w:t>
      </w:r>
      <w:r w:rsidRPr="00DB762A">
        <w:tab/>
        <w:t>proposal 3: adopted, with the additional deletion of the existing note addressing the concept of “road tankers” under column (2) for EN 12493:2013</w:t>
      </w:r>
      <w:r w:rsidR="00D4632B">
        <w:t xml:space="preserve"> </w:t>
      </w:r>
      <w:r w:rsidRPr="00DB762A">
        <w:t>+</w:t>
      </w:r>
      <w:r w:rsidR="00D4632B">
        <w:t xml:space="preserve"> </w:t>
      </w:r>
      <w:r w:rsidRPr="00DB762A">
        <w:t>A1:2014</w:t>
      </w:r>
      <w:r w:rsidR="00D4632B">
        <w:t xml:space="preserve"> </w:t>
      </w:r>
      <w:r w:rsidRPr="00DB762A">
        <w:t>+</w:t>
      </w:r>
      <w:r w:rsidR="00D4632B">
        <w:t xml:space="preserve"> </w:t>
      </w:r>
      <w:r w:rsidRPr="00DB762A">
        <w:t>AC</w:t>
      </w:r>
      <w:r w:rsidR="00F53186">
        <w:t>:</w:t>
      </w:r>
      <w:r w:rsidRPr="00DB762A">
        <w:t xml:space="preserve">2015 </w:t>
      </w:r>
      <w:r w:rsidR="006A716E" w:rsidRPr="00DB762A">
        <w:t xml:space="preserve">and a consequential amendment to 6.8.4 (d), special provision TT11 </w:t>
      </w:r>
      <w:r w:rsidRPr="00DB762A">
        <w:t>(see annex</w:t>
      </w:r>
      <w:r w:rsidR="00BB33CF" w:rsidRPr="00DB762A">
        <w:t xml:space="preserve"> II</w:t>
      </w:r>
      <w:r w:rsidRPr="00DB762A">
        <w:t>)</w:t>
      </w:r>
      <w:r w:rsidR="00BB33CF" w:rsidRPr="00DB762A">
        <w:t>;</w:t>
      </w:r>
    </w:p>
    <w:p w14:paraId="32155C2D" w14:textId="7F016C03" w:rsidR="002116C5" w:rsidRPr="00DB762A" w:rsidRDefault="002116C5" w:rsidP="002116C5">
      <w:pPr>
        <w:pStyle w:val="SingleTxtG"/>
        <w:ind w:left="2268" w:hanging="567"/>
      </w:pPr>
      <w:r w:rsidRPr="00DB762A">
        <w:t>(c)</w:t>
      </w:r>
      <w:r w:rsidRPr="00DB762A">
        <w:tab/>
        <w:t>proposal under item 5.3.1: adopted, with an additional amendment to the note under the title of EN 14205:2018 (see annex</w:t>
      </w:r>
      <w:r w:rsidR="00BB33CF" w:rsidRPr="00DB762A">
        <w:t xml:space="preserve"> II</w:t>
      </w:r>
      <w:r w:rsidRPr="00DB762A">
        <w:t>)</w:t>
      </w:r>
      <w:r w:rsidR="00BB33CF" w:rsidRPr="00DB762A">
        <w:t>;</w:t>
      </w:r>
    </w:p>
    <w:p w14:paraId="787DED08" w14:textId="7499BCED" w:rsidR="002116C5" w:rsidRPr="00DB762A" w:rsidRDefault="002116C5" w:rsidP="002116C5">
      <w:pPr>
        <w:pStyle w:val="SingleTxtG"/>
        <w:ind w:left="2268" w:hanging="567"/>
      </w:pPr>
      <w:r w:rsidRPr="00DB762A">
        <w:t>(d)</w:t>
      </w:r>
      <w:r w:rsidRPr="00DB762A">
        <w:tab/>
        <w:t>proposals under items 5.3.2, 5.3.3, 5.3.4, 5.3.5 and 5.3.6: adopted without changes (see annex</w:t>
      </w:r>
      <w:r w:rsidR="00BB33CF" w:rsidRPr="00DB762A">
        <w:t xml:space="preserve"> II</w:t>
      </w:r>
      <w:r w:rsidRPr="00DB762A">
        <w:t>).</w:t>
      </w:r>
    </w:p>
    <w:p w14:paraId="11FB3F13" w14:textId="7EF0B5CE" w:rsidR="002116C5" w:rsidRPr="00DB762A" w:rsidRDefault="00D609BE" w:rsidP="00C62C2A">
      <w:pPr>
        <w:pStyle w:val="SingleTxtG"/>
      </w:pPr>
      <w:r w:rsidRPr="00DB762A">
        <w:t>14</w:t>
      </w:r>
      <w:r w:rsidR="002116C5" w:rsidRPr="00DB762A">
        <w:t>.</w:t>
      </w:r>
      <w:r w:rsidR="002116C5" w:rsidRPr="00DB762A">
        <w:tab/>
        <w:t xml:space="preserve">The Joint Meeting also noted </w:t>
      </w:r>
      <w:r w:rsidR="004C47F0" w:rsidRPr="00DB762A">
        <w:t xml:space="preserve">the </w:t>
      </w:r>
      <w:r w:rsidR="002116C5" w:rsidRPr="00DB762A">
        <w:t>outcome of the discussions of the working group on the problems associated with the absence of a suitable consultant. The Joint Meeting concurred with the working group on the importance of having the necessary expertise to assist with the review of the standards for the purposes of RID/ADR/ADN and reiterated its wish that a solution could be identified as soon as possible.</w:t>
      </w:r>
      <w:r w:rsidR="004C47F0" w:rsidRPr="00DB762A">
        <w:t xml:space="preserve"> It invited delegations to contact their national standardisation bodies and explore means to finance a consultant by CEN/CENELEC.</w:t>
      </w:r>
    </w:p>
    <w:p w14:paraId="2233481E" w14:textId="77777777" w:rsidR="00040393" w:rsidRPr="00DB762A" w:rsidRDefault="000F23E3" w:rsidP="00040393">
      <w:pPr>
        <w:pStyle w:val="HChG"/>
        <w:rPr>
          <w:lang w:val="en-GB"/>
        </w:rPr>
      </w:pPr>
      <w:r w:rsidRPr="00DB762A">
        <w:rPr>
          <w:lang w:val="en-GB"/>
        </w:rPr>
        <w:tab/>
      </w:r>
      <w:r w:rsidR="00040393" w:rsidRPr="00DB762A">
        <w:rPr>
          <w:lang w:val="en-GB"/>
        </w:rPr>
        <w:t>V.</w:t>
      </w:r>
      <w:r w:rsidR="00040393" w:rsidRPr="00DB762A">
        <w:rPr>
          <w:lang w:val="en-GB"/>
        </w:rPr>
        <w:tab/>
        <w:t>Interpretation of RID/ADR/ADN (agenda item 4)</w:t>
      </w:r>
    </w:p>
    <w:p w14:paraId="246265B1" w14:textId="661F6F2D" w:rsidR="00040393" w:rsidRPr="00DB762A" w:rsidRDefault="00D609BE" w:rsidP="00040393">
      <w:pPr>
        <w:ind w:left="1134" w:firstLine="6"/>
      </w:pPr>
      <w:r w:rsidRPr="00DB762A">
        <w:t>15</w:t>
      </w:r>
      <w:r w:rsidR="00040393" w:rsidRPr="00DB762A">
        <w:t>.</w:t>
      </w:r>
      <w:r w:rsidR="00040393" w:rsidRPr="00DB762A">
        <w:tab/>
        <w:t>As no document had been submitted under this agenda item, no discussion took place on this subject.</w:t>
      </w:r>
    </w:p>
    <w:p w14:paraId="326A2A0C" w14:textId="77777777" w:rsidR="002116C5" w:rsidRPr="00DB762A" w:rsidRDefault="002116C5" w:rsidP="002116C5">
      <w:pPr>
        <w:pStyle w:val="HChG"/>
        <w:ind w:hanging="567"/>
        <w:rPr>
          <w:lang w:val="en-GB"/>
        </w:rPr>
      </w:pPr>
      <w:r w:rsidRPr="00DB762A">
        <w:rPr>
          <w:lang w:val="en-GB"/>
        </w:rPr>
        <w:t>VI.</w:t>
      </w:r>
      <w:r w:rsidRPr="00DB762A">
        <w:rPr>
          <w:lang w:val="en-GB"/>
        </w:rPr>
        <w:tab/>
        <w:t>Proposals for amendments to RID/ADR/ADN (agenda item 5)</w:t>
      </w:r>
    </w:p>
    <w:p w14:paraId="2DDBDC36" w14:textId="77777777" w:rsidR="002116C5" w:rsidRPr="00DB762A" w:rsidRDefault="002116C5" w:rsidP="002116C5">
      <w:pPr>
        <w:pStyle w:val="H1G"/>
      </w:pPr>
      <w:r w:rsidRPr="00DB762A">
        <w:tab/>
        <w:t>A.</w:t>
      </w:r>
      <w:r w:rsidRPr="00DB762A">
        <w:tab/>
        <w:t>Pending issues</w:t>
      </w:r>
    </w:p>
    <w:p w14:paraId="669BD2E4" w14:textId="77777777" w:rsidR="002116C5" w:rsidRPr="00DB762A" w:rsidRDefault="002116C5" w:rsidP="002116C5">
      <w:pPr>
        <w:pStyle w:val="H23G"/>
      </w:pPr>
      <w:r w:rsidRPr="00DB762A">
        <w:tab/>
        <w:t>1.</w:t>
      </w:r>
      <w:r w:rsidRPr="00DB762A">
        <w:tab/>
        <w:t xml:space="preserve">Status of publication of standards which were not published in time to be included in the list of amendments to be notified to Contracting Parties for entry into force on 1 January 2019 </w:t>
      </w:r>
    </w:p>
    <w:p w14:paraId="02F6556A" w14:textId="7D5057CF" w:rsidR="002116C5" w:rsidRPr="00DB762A" w:rsidRDefault="002116C5" w:rsidP="00DB762A">
      <w:pPr>
        <w:pStyle w:val="SingleTxtG"/>
        <w:spacing w:after="0" w:line="240" w:lineRule="auto"/>
        <w:ind w:left="2410" w:hanging="1276"/>
      </w:pPr>
      <w:r w:rsidRPr="00DB762A">
        <w:rPr>
          <w:i/>
        </w:rPr>
        <w:t>Documents</w:t>
      </w:r>
      <w:r w:rsidRPr="00DB762A">
        <w:t>:</w:t>
      </w:r>
      <w:r w:rsidRPr="00DB762A">
        <w:tab/>
        <w:t>ECE/TRANS/WP.15/242, paragraphs 13 and 43 and annexes III and IV (Secretariat)</w:t>
      </w:r>
    </w:p>
    <w:p w14:paraId="7E082ED4" w14:textId="0B004E2A" w:rsidR="0095261E" w:rsidRPr="00DB762A" w:rsidRDefault="00DB762A" w:rsidP="00DB762A">
      <w:pPr>
        <w:pStyle w:val="SingleTxtG"/>
        <w:tabs>
          <w:tab w:val="left" w:pos="5206"/>
        </w:tabs>
        <w:spacing w:after="0" w:line="240" w:lineRule="auto"/>
        <w:ind w:left="2410" w:hanging="1276"/>
        <w:jc w:val="left"/>
      </w:pPr>
      <w:r w:rsidRPr="00DB762A">
        <w:tab/>
      </w:r>
      <w:r w:rsidR="002116C5" w:rsidRPr="00DB762A">
        <w:t>OTIF/RID/CE/GTP/2018-A, paragraph 8 and annex II (OTIF Secretariat)</w:t>
      </w:r>
    </w:p>
    <w:p w14:paraId="3F377C27" w14:textId="089543AA" w:rsidR="002116C5" w:rsidRPr="00D4632B" w:rsidRDefault="00DB762A" w:rsidP="00DB762A">
      <w:pPr>
        <w:pStyle w:val="SingleTxtG"/>
        <w:tabs>
          <w:tab w:val="left" w:pos="5206"/>
        </w:tabs>
        <w:spacing w:after="0" w:line="240" w:lineRule="auto"/>
        <w:ind w:left="2410" w:hanging="1276"/>
        <w:jc w:val="left"/>
        <w:rPr>
          <w:lang w:val="fr-FR"/>
        </w:rPr>
      </w:pPr>
      <w:r w:rsidRPr="00DB762A">
        <w:tab/>
      </w:r>
      <w:r w:rsidR="00F53186" w:rsidRPr="00D4632B">
        <w:rPr>
          <w:lang w:val="fr-FR"/>
        </w:rPr>
        <w:t>OTIF/RID/CE/2018-A,</w:t>
      </w:r>
      <w:r w:rsidR="0095261E" w:rsidRPr="00D4632B">
        <w:rPr>
          <w:lang w:val="fr-FR"/>
        </w:rPr>
        <w:t xml:space="preserve"> </w:t>
      </w:r>
      <w:proofErr w:type="spellStart"/>
      <w:r w:rsidR="0095261E" w:rsidRPr="00D4632B">
        <w:rPr>
          <w:lang w:val="fr-FR"/>
        </w:rPr>
        <w:t>paragraphs</w:t>
      </w:r>
      <w:proofErr w:type="spellEnd"/>
      <w:r w:rsidR="0095261E" w:rsidRPr="00D4632B">
        <w:rPr>
          <w:lang w:val="fr-FR"/>
        </w:rPr>
        <w:t xml:space="preserve"> 6-8</w:t>
      </w:r>
      <w:r w:rsidR="002116C5" w:rsidRPr="00D4632B">
        <w:rPr>
          <w:lang w:val="fr-FR"/>
        </w:rPr>
        <w:t xml:space="preserve"> </w:t>
      </w:r>
      <w:r w:rsidR="00F53186" w:rsidRPr="00D4632B">
        <w:rPr>
          <w:lang w:val="fr-FR"/>
        </w:rPr>
        <w:t xml:space="preserve">(OTIF </w:t>
      </w:r>
      <w:proofErr w:type="spellStart"/>
      <w:r w:rsidR="00F53186" w:rsidRPr="00D4632B">
        <w:rPr>
          <w:lang w:val="fr-FR"/>
        </w:rPr>
        <w:t>Secretariat</w:t>
      </w:r>
      <w:proofErr w:type="spellEnd"/>
      <w:r w:rsidR="00F53186" w:rsidRPr="00D4632B">
        <w:rPr>
          <w:lang w:val="fr-FR"/>
        </w:rPr>
        <w:t>)</w:t>
      </w:r>
    </w:p>
    <w:p w14:paraId="4EA2CA4C" w14:textId="50B92BED" w:rsidR="002116C5" w:rsidRPr="00D4632B" w:rsidRDefault="00DB762A" w:rsidP="00DB762A">
      <w:pPr>
        <w:pStyle w:val="SingleTxtG"/>
        <w:tabs>
          <w:tab w:val="left" w:pos="5206"/>
        </w:tabs>
        <w:spacing w:after="240" w:line="240" w:lineRule="auto"/>
        <w:ind w:left="2410" w:hanging="1276"/>
        <w:jc w:val="left"/>
        <w:rPr>
          <w:lang w:val="fr-FR" w:eastAsia="ru-RU"/>
        </w:rPr>
      </w:pPr>
      <w:r w:rsidRPr="00D4632B">
        <w:rPr>
          <w:lang w:val="fr-FR"/>
        </w:rPr>
        <w:tab/>
      </w:r>
      <w:r w:rsidR="002116C5" w:rsidRPr="00D4632B">
        <w:rPr>
          <w:lang w:val="fr-FR"/>
        </w:rPr>
        <w:t xml:space="preserve">ECE/TRANS/WP.15/AC.1/2018/29 (France) </w:t>
      </w:r>
    </w:p>
    <w:p w14:paraId="5637A631" w14:textId="77777777" w:rsidR="002116C5" w:rsidRPr="00D4632B" w:rsidRDefault="002116C5" w:rsidP="00DB762A">
      <w:pPr>
        <w:pStyle w:val="SingleTxtG"/>
        <w:keepNext/>
        <w:keepLines/>
        <w:spacing w:after="0" w:line="240" w:lineRule="auto"/>
        <w:rPr>
          <w:lang w:val="fr-FR"/>
        </w:rPr>
      </w:pPr>
      <w:r w:rsidRPr="00D4632B">
        <w:rPr>
          <w:i/>
          <w:iCs/>
          <w:lang w:val="fr-FR"/>
        </w:rPr>
        <w:lastRenderedPageBreak/>
        <w:t>Informal documents:</w:t>
      </w:r>
      <w:r w:rsidRPr="00D4632B">
        <w:rPr>
          <w:i/>
          <w:iCs/>
          <w:lang w:val="fr-FR"/>
        </w:rPr>
        <w:tab/>
      </w:r>
      <w:r w:rsidRPr="00D4632B">
        <w:rPr>
          <w:i/>
          <w:iCs/>
          <w:lang w:val="fr-FR"/>
        </w:rPr>
        <w:tab/>
      </w:r>
      <w:r w:rsidRPr="00D4632B">
        <w:rPr>
          <w:lang w:val="fr-FR"/>
        </w:rPr>
        <w:t>INF.12 (France)</w:t>
      </w:r>
    </w:p>
    <w:p w14:paraId="2FEF84D0" w14:textId="77777777" w:rsidR="002116C5" w:rsidRPr="00DB762A" w:rsidRDefault="002116C5" w:rsidP="00DB762A">
      <w:pPr>
        <w:pStyle w:val="SingleTxtG"/>
        <w:keepNext/>
        <w:keepLines/>
        <w:spacing w:after="240" w:line="240" w:lineRule="auto"/>
      </w:pPr>
      <w:r w:rsidRPr="00D4632B">
        <w:rPr>
          <w:lang w:val="fr-FR"/>
        </w:rPr>
        <w:tab/>
      </w:r>
      <w:r w:rsidRPr="00D4632B">
        <w:rPr>
          <w:lang w:val="fr-FR"/>
        </w:rPr>
        <w:tab/>
      </w:r>
      <w:r w:rsidRPr="00D4632B">
        <w:rPr>
          <w:lang w:val="fr-FR"/>
        </w:rPr>
        <w:tab/>
      </w:r>
      <w:r w:rsidRPr="00D4632B">
        <w:rPr>
          <w:lang w:val="fr-FR"/>
        </w:rPr>
        <w:tab/>
      </w:r>
      <w:r w:rsidRPr="00D4632B">
        <w:rPr>
          <w:lang w:val="fr-FR"/>
        </w:rPr>
        <w:tab/>
      </w:r>
      <w:r w:rsidRPr="00DB762A">
        <w:t>INF.16 (AEGPL)</w:t>
      </w:r>
    </w:p>
    <w:p w14:paraId="12C6DF54" w14:textId="0D3AE921" w:rsidR="002116C5" w:rsidRPr="00DB762A" w:rsidRDefault="00D609BE" w:rsidP="002116C5">
      <w:pPr>
        <w:pStyle w:val="SingleTxtG"/>
      </w:pPr>
      <w:r w:rsidRPr="00DB762A">
        <w:t>16</w:t>
      </w:r>
      <w:r w:rsidR="002116C5" w:rsidRPr="00DB762A">
        <w:t>.</w:t>
      </w:r>
      <w:r w:rsidR="002116C5" w:rsidRPr="00DB762A">
        <w:tab/>
        <w:t xml:space="preserve">The Joint Meeting noted that the amendments concerning references to new standards or </w:t>
      </w:r>
      <w:r w:rsidR="0095261E" w:rsidRPr="00DB762A">
        <w:t xml:space="preserve">modifications </w:t>
      </w:r>
      <w:r w:rsidR="002116C5" w:rsidRPr="00DB762A">
        <w:t xml:space="preserve">to referenced standards which were adopted by the Working Party on the Transport of Dangerous Goods (WP.15) at its 103rd and 104th sessions and by the Joint Meeting at its spring  2018 session, and which were still unpublished on 1 June 2018 could not be included in the list of amendments to be notified to the Contracting Parties on 1 July 2018 for entry into force on 1 January 2019. Consequently, the amendments relating to standards EN ISO 17871:2015 + A1:2018, EN 1440:2016 + A1:2018, EN 16728:2016 + A1:2018, EN 13317:2018, EN 14025:2018 and EN 12972:2018 had been listed separately in annexes III and IV of the report of WP.15 on its 104th session, as draft amendments adopted by WP.15 for entry into force as soon as possible following their publication. </w:t>
      </w:r>
    </w:p>
    <w:p w14:paraId="72726318" w14:textId="280E5987" w:rsidR="002116C5" w:rsidRPr="00DB762A" w:rsidRDefault="00D609BE" w:rsidP="002116C5">
      <w:pPr>
        <w:pStyle w:val="SingleTxtG"/>
      </w:pPr>
      <w:r w:rsidRPr="00DB762A">
        <w:t>17</w:t>
      </w:r>
      <w:r w:rsidR="002116C5" w:rsidRPr="00DB762A">
        <w:t>.</w:t>
      </w:r>
      <w:r w:rsidR="002116C5" w:rsidRPr="00DB762A">
        <w:tab/>
        <w:t xml:space="preserve">Noting that this procedure would require a separate notification to Contracting Parties, several delegations recalled that, due to European Union and national procedural requirements for transposition into national law of amendments notified following this procedure, their timely implementation could not be ensured. On these grounds, the Joint Meeting agreed that it would be preferable to consider their adoption for the 2021 edition of RID/ADR. </w:t>
      </w:r>
    </w:p>
    <w:p w14:paraId="295077CC" w14:textId="7A9E1404" w:rsidR="002116C5" w:rsidRPr="00DB762A" w:rsidRDefault="00D609BE" w:rsidP="002116C5">
      <w:pPr>
        <w:pStyle w:val="SingleTxtG"/>
      </w:pPr>
      <w:r w:rsidRPr="00DB762A">
        <w:t>18</w:t>
      </w:r>
      <w:r w:rsidR="002116C5" w:rsidRPr="00DB762A">
        <w:t>.</w:t>
      </w:r>
      <w:r w:rsidR="002116C5" w:rsidRPr="00DB762A">
        <w:tab/>
        <w:t xml:space="preserve">The Joint Meeting recognized however that in the case of EN 12972, the scientific and technical progress achieved since the 2007 edition (currently referred to in RID/ADR) and the 2018 edition justified the application of the provisions of the latter as soon as possible. It was noted that 6.8.2.7 of RID/ADR allowed competent authorities to </w:t>
      </w:r>
      <w:r w:rsidR="002006D0" w:rsidRPr="00DB762A">
        <w:t xml:space="preserve">approve </w:t>
      </w:r>
      <w:r w:rsidR="002116C5" w:rsidRPr="00DB762A">
        <w:t xml:space="preserve">the use of standards adopted for reference in a future edition of </w:t>
      </w:r>
      <w:r w:rsidR="00C16C92">
        <w:t>RID/</w:t>
      </w:r>
      <w:r w:rsidR="002116C5" w:rsidRPr="00DB762A">
        <w:t>ADR. There was agreement that a possible way to ensure the harmonized application of these provisions in all Contracting Parties/</w:t>
      </w:r>
      <w:r w:rsidR="00C16C92">
        <w:t>Contracting</w:t>
      </w:r>
      <w:r w:rsidR="00C16C92" w:rsidRPr="00DB762A">
        <w:t xml:space="preserve"> </w:t>
      </w:r>
      <w:r w:rsidR="002116C5" w:rsidRPr="00DB762A">
        <w:t>States, could be to encourage inspection bodies to apply the provisions of EN 12972:2018 as from a commonly agreed date, on the understanding that after that date, only the 2018 edition of the standard should be used.</w:t>
      </w:r>
    </w:p>
    <w:p w14:paraId="0F108C21" w14:textId="58D6DCFC" w:rsidR="002116C5" w:rsidRPr="00DB762A" w:rsidRDefault="00D609BE" w:rsidP="002116C5">
      <w:pPr>
        <w:pStyle w:val="SingleTxtG"/>
      </w:pPr>
      <w:r w:rsidRPr="00DB762A">
        <w:t>19</w:t>
      </w:r>
      <w:r w:rsidR="002116C5" w:rsidRPr="00DB762A">
        <w:t>.</w:t>
      </w:r>
      <w:r w:rsidR="002116C5" w:rsidRPr="00DB762A">
        <w:tab/>
        <w:t xml:space="preserve">The Joint Meeting welcomed a proposal for the 2021 edition of RID/ADR, detailing the amendments relating to the standards referred to in paragraph </w:t>
      </w:r>
      <w:r w:rsidR="00F53186">
        <w:t>16</w:t>
      </w:r>
      <w:r w:rsidR="00F53186" w:rsidRPr="00DB762A">
        <w:t xml:space="preserve"> </w:t>
      </w:r>
      <w:r w:rsidR="002116C5" w:rsidRPr="00DB762A">
        <w:t>above and including the dates of application for each of them.</w:t>
      </w:r>
    </w:p>
    <w:p w14:paraId="08DC7840" w14:textId="77777777" w:rsidR="002116C5" w:rsidRPr="00DB762A" w:rsidRDefault="002116C5" w:rsidP="002116C5">
      <w:pPr>
        <w:pStyle w:val="H23G"/>
      </w:pPr>
      <w:r w:rsidRPr="00DB762A">
        <w:tab/>
        <w:t>2.</w:t>
      </w:r>
      <w:r w:rsidRPr="00DB762A">
        <w:tab/>
        <w:t>Hazard identification number 836</w:t>
      </w:r>
    </w:p>
    <w:p w14:paraId="0CFDF3D0" w14:textId="45E8A795" w:rsidR="002116C5" w:rsidRPr="00DB762A" w:rsidRDefault="002116C5" w:rsidP="002116C5">
      <w:pPr>
        <w:pStyle w:val="SingleTxtG"/>
      </w:pPr>
      <w:r w:rsidRPr="00DB762A">
        <w:rPr>
          <w:i/>
          <w:iCs/>
        </w:rPr>
        <w:t>Document:</w:t>
      </w:r>
      <w:r w:rsidRPr="00DB762A">
        <w:rPr>
          <w:i/>
          <w:iCs/>
        </w:rPr>
        <w:tab/>
      </w:r>
      <w:r w:rsidR="00DB762A" w:rsidRPr="00DB762A">
        <w:rPr>
          <w:i/>
          <w:iCs/>
        </w:rPr>
        <w:tab/>
      </w:r>
      <w:r w:rsidRPr="00DB762A">
        <w:t>ECE/TRANS/WP.15/AC.1/2018/18 (Spain)</w:t>
      </w:r>
    </w:p>
    <w:p w14:paraId="057F2DC2" w14:textId="6F8C348A" w:rsidR="002116C5" w:rsidRPr="00DB762A" w:rsidRDefault="00D609BE" w:rsidP="002116C5">
      <w:pPr>
        <w:pStyle w:val="SingleTxtG"/>
      </w:pPr>
      <w:r w:rsidRPr="00DB762A">
        <w:t>20</w:t>
      </w:r>
      <w:r w:rsidR="002116C5" w:rsidRPr="00DB762A">
        <w:t>.</w:t>
      </w:r>
      <w:r w:rsidR="002116C5" w:rsidRPr="00DB762A">
        <w:tab/>
        <w:t>The proposal to assign hazard identification number 836 to UN No.2683 was adopted (see annex</w:t>
      </w:r>
      <w:r w:rsidRPr="00DB762A">
        <w:t xml:space="preserve"> II). </w:t>
      </w:r>
      <w:r w:rsidR="002116C5" w:rsidRPr="00DB762A">
        <w:t>On a question from the representative of Belgium regarding the rationale for the order of the hazards, the representative of Spain explained that the proposed hazard identification number conformed to the order of precedence of hazards in Chapter 2.1.</w:t>
      </w:r>
    </w:p>
    <w:p w14:paraId="7B0B31FB" w14:textId="77777777" w:rsidR="002116C5" w:rsidRPr="00DB762A" w:rsidRDefault="002116C5" w:rsidP="002116C5">
      <w:pPr>
        <w:pStyle w:val="H1G"/>
        <w:keepNext w:val="0"/>
        <w:keepLines w:val="0"/>
      </w:pPr>
      <w:r w:rsidRPr="00DB762A">
        <w:tab/>
        <w:t>B.</w:t>
      </w:r>
      <w:r w:rsidRPr="00DB762A">
        <w:tab/>
        <w:t>New proposals</w:t>
      </w:r>
    </w:p>
    <w:p w14:paraId="77896776" w14:textId="70C8843F" w:rsidR="002116C5" w:rsidRPr="00DB762A" w:rsidRDefault="002116C5" w:rsidP="002116C5">
      <w:pPr>
        <w:pStyle w:val="H23G"/>
      </w:pPr>
      <w:r w:rsidRPr="00DB762A">
        <w:tab/>
        <w:t>1.</w:t>
      </w:r>
      <w:r w:rsidRPr="00DB762A">
        <w:tab/>
        <w:t>Mixed loading prohibitions for packages for which no danger labels are prescribed (7.5.2.1)</w:t>
      </w:r>
    </w:p>
    <w:p w14:paraId="6D530EAE" w14:textId="77777777" w:rsidR="002116C5" w:rsidRPr="00DB762A" w:rsidRDefault="002116C5" w:rsidP="002116C5">
      <w:pPr>
        <w:pStyle w:val="H23G"/>
        <w:keepNext w:val="0"/>
        <w:keepLines w:val="0"/>
        <w:suppressAutoHyphens w:val="0"/>
        <w:rPr>
          <w:bCs/>
        </w:rPr>
      </w:pPr>
      <w:r w:rsidRPr="00DB762A">
        <w:rPr>
          <w:b w:val="0"/>
          <w:bCs/>
          <w:i/>
          <w:iCs/>
        </w:rPr>
        <w:tab/>
      </w:r>
      <w:r w:rsidRPr="00DB762A">
        <w:rPr>
          <w:b w:val="0"/>
          <w:bCs/>
          <w:i/>
          <w:iCs/>
        </w:rPr>
        <w:tab/>
        <w:t xml:space="preserve">Document: </w:t>
      </w:r>
      <w:r w:rsidRPr="00DB762A">
        <w:rPr>
          <w:b w:val="0"/>
          <w:bCs/>
          <w:i/>
          <w:iCs/>
        </w:rPr>
        <w:tab/>
      </w:r>
      <w:r w:rsidRPr="00DB762A">
        <w:rPr>
          <w:b w:val="0"/>
          <w:bCs/>
          <w:i/>
          <w:iCs/>
        </w:rPr>
        <w:tab/>
      </w:r>
      <w:r w:rsidRPr="00DB762A">
        <w:rPr>
          <w:b w:val="0"/>
          <w:bCs/>
        </w:rPr>
        <w:t>ECE/TRANS/WP.15/AC.1/2018/15 (Germany)</w:t>
      </w:r>
      <w:r w:rsidRPr="00DB762A">
        <w:rPr>
          <w:b w:val="0"/>
          <w:bCs/>
        </w:rPr>
        <w:tab/>
      </w:r>
    </w:p>
    <w:p w14:paraId="266709F2" w14:textId="57D00CE6" w:rsidR="002116C5" w:rsidRPr="00DB762A" w:rsidRDefault="00D609BE" w:rsidP="002116C5">
      <w:pPr>
        <w:pStyle w:val="SingleTxtG"/>
      </w:pPr>
      <w:r w:rsidRPr="00DB762A">
        <w:t>21</w:t>
      </w:r>
      <w:r w:rsidR="002116C5" w:rsidRPr="00DB762A">
        <w:t>.</w:t>
      </w:r>
      <w:r w:rsidR="002116C5" w:rsidRPr="00DB762A">
        <w:tab/>
        <w:t xml:space="preserve">The Joint Meeting agreed that mixed loading of UN Nos. 2211 and 3314 with goods of Class 1 (with the exception of 1.4S), when carried in packages for which no labels were prescribed should be prohibited. It was pointed out that the provisions in 7.5.2.1 were broader in scope and addressed packages bearing different labels. To avoid misinterpretations and to ensure application of the proposed prohibition for mixed loading to UN Nos. 2211 and 3314 </w:t>
      </w:r>
      <w:r w:rsidR="002116C5" w:rsidRPr="00DB762A">
        <w:lastRenderedPageBreak/>
        <w:t>only, the Joint Meeting decided to adopt the text proposed in paragraph 3 of the document, with some amendments, as a new special provision applicable to these UN numbers (see annex</w:t>
      </w:r>
      <w:r w:rsidR="00BB33CF" w:rsidRPr="00DB762A">
        <w:t xml:space="preserve"> II</w:t>
      </w:r>
      <w:r w:rsidR="002116C5" w:rsidRPr="00DB762A">
        <w:t xml:space="preserve">). </w:t>
      </w:r>
    </w:p>
    <w:p w14:paraId="59F54F92" w14:textId="77777777" w:rsidR="002116C5" w:rsidRPr="00DB762A" w:rsidRDefault="002116C5" w:rsidP="002116C5">
      <w:pPr>
        <w:pStyle w:val="H23G"/>
      </w:pPr>
      <w:r w:rsidRPr="00DB762A">
        <w:tab/>
        <w:t>2.</w:t>
      </w:r>
      <w:r w:rsidRPr="00DB762A">
        <w:tab/>
        <w:t xml:space="preserve">Deletion of special provision 556 in Chapter 3.3 of RID/ADR/ADN </w:t>
      </w:r>
    </w:p>
    <w:p w14:paraId="32FA78E5" w14:textId="77777777" w:rsidR="002116C5" w:rsidRPr="00DB762A" w:rsidRDefault="002116C5" w:rsidP="002116C5">
      <w:pPr>
        <w:pStyle w:val="H23G"/>
        <w:suppressAutoHyphens w:val="0"/>
        <w:rPr>
          <w:bCs/>
        </w:rPr>
      </w:pPr>
      <w:r w:rsidRPr="00DB762A">
        <w:rPr>
          <w:b w:val="0"/>
          <w:bCs/>
          <w:i/>
          <w:iCs/>
        </w:rPr>
        <w:tab/>
      </w:r>
      <w:r w:rsidRPr="00DB762A">
        <w:rPr>
          <w:b w:val="0"/>
          <w:bCs/>
          <w:i/>
          <w:iCs/>
        </w:rPr>
        <w:tab/>
        <w:t xml:space="preserve">Document: </w:t>
      </w:r>
      <w:r w:rsidRPr="00DB762A">
        <w:rPr>
          <w:b w:val="0"/>
          <w:bCs/>
          <w:i/>
          <w:iCs/>
        </w:rPr>
        <w:tab/>
      </w:r>
      <w:r w:rsidRPr="00DB762A">
        <w:rPr>
          <w:b w:val="0"/>
          <w:bCs/>
          <w:i/>
          <w:iCs/>
        </w:rPr>
        <w:tab/>
      </w:r>
      <w:r w:rsidRPr="00DB762A">
        <w:rPr>
          <w:b w:val="0"/>
          <w:bCs/>
        </w:rPr>
        <w:t>ECE/TRANS/WP.15/AC.1/2018/16 (Germany)</w:t>
      </w:r>
      <w:r w:rsidRPr="00DB762A">
        <w:rPr>
          <w:b w:val="0"/>
          <w:bCs/>
        </w:rPr>
        <w:tab/>
      </w:r>
    </w:p>
    <w:p w14:paraId="4DFCAF66" w14:textId="0028F1A3" w:rsidR="002116C5" w:rsidRPr="00DB762A" w:rsidRDefault="00D609BE" w:rsidP="002116C5">
      <w:pPr>
        <w:pStyle w:val="SingleTxtG"/>
      </w:pPr>
      <w:r w:rsidRPr="00DB762A">
        <w:t>22</w:t>
      </w:r>
      <w:r w:rsidR="002116C5" w:rsidRPr="00DB762A">
        <w:t>.</w:t>
      </w:r>
      <w:r w:rsidR="002116C5" w:rsidRPr="00DB762A">
        <w:tab/>
        <w:t>The proposal to delete special provision 556 was adopted (see annex</w:t>
      </w:r>
      <w:r w:rsidR="00BB33CF" w:rsidRPr="00DB762A">
        <w:t xml:space="preserve"> II</w:t>
      </w:r>
      <w:r w:rsidR="002116C5" w:rsidRPr="00DB762A">
        <w:t xml:space="preserve">). </w:t>
      </w:r>
    </w:p>
    <w:p w14:paraId="71E1BD75" w14:textId="77777777" w:rsidR="002116C5" w:rsidRPr="00DB762A" w:rsidRDefault="002116C5" w:rsidP="002116C5">
      <w:pPr>
        <w:pStyle w:val="H23G"/>
      </w:pPr>
      <w:r w:rsidRPr="00DB762A">
        <w:tab/>
        <w:t>3.</w:t>
      </w:r>
      <w:r w:rsidRPr="00DB762A">
        <w:tab/>
        <w:t>Increase of the maximum allowed internal pressure for aerosol dispensers</w:t>
      </w:r>
    </w:p>
    <w:p w14:paraId="7C2E36CC" w14:textId="77777777" w:rsidR="002116C5" w:rsidRPr="00DB762A" w:rsidRDefault="002116C5" w:rsidP="002116C5">
      <w:pPr>
        <w:pStyle w:val="H23G"/>
        <w:rPr>
          <w:b w:val="0"/>
          <w:bCs/>
        </w:rPr>
      </w:pPr>
      <w:r w:rsidRPr="00DB762A">
        <w:rPr>
          <w:b w:val="0"/>
          <w:bCs/>
          <w:i/>
          <w:iCs/>
        </w:rPr>
        <w:tab/>
      </w:r>
      <w:r w:rsidRPr="00DB762A">
        <w:rPr>
          <w:b w:val="0"/>
          <w:bCs/>
          <w:i/>
          <w:iCs/>
        </w:rPr>
        <w:tab/>
        <w:t>Document:</w:t>
      </w:r>
      <w:r w:rsidRPr="00DB762A">
        <w:rPr>
          <w:b w:val="0"/>
          <w:bCs/>
          <w:i/>
          <w:iCs/>
        </w:rPr>
        <w:tab/>
      </w:r>
      <w:r w:rsidRPr="00DB762A">
        <w:rPr>
          <w:b w:val="0"/>
          <w:bCs/>
          <w:i/>
          <w:iCs/>
        </w:rPr>
        <w:tab/>
      </w:r>
      <w:r w:rsidRPr="00DB762A">
        <w:rPr>
          <w:b w:val="0"/>
          <w:bCs/>
        </w:rPr>
        <w:t>ECE/TRANS/WP.15/AC.1/2018/17 (FEA)</w:t>
      </w:r>
    </w:p>
    <w:p w14:paraId="13F935B6" w14:textId="1484CC5E" w:rsidR="002116C5" w:rsidRPr="00DB762A" w:rsidRDefault="00D609BE" w:rsidP="002116C5">
      <w:pPr>
        <w:pStyle w:val="SingleTxtG"/>
      </w:pPr>
      <w:r w:rsidRPr="00DB762A">
        <w:t>23.</w:t>
      </w:r>
      <w:r w:rsidR="002116C5" w:rsidRPr="00DB762A">
        <w:tab/>
        <w:t>After an exchange of views, the Joint Meeting adopted the proposal for amendment of the first sentence of 6.2.6.1.5, to increase the maximum allowed internal pressure for aerosol dispensers, as proposed in paragraph 3 of the document (see annex</w:t>
      </w:r>
      <w:r w:rsidR="00BB33CF" w:rsidRPr="00DB762A">
        <w:t xml:space="preserve"> II</w:t>
      </w:r>
      <w:r w:rsidR="002116C5" w:rsidRPr="00DB762A">
        <w:t>) to ensure alignment of the RID/ADR requirements with those of Directive 75/324/EEC</w:t>
      </w:r>
      <w:r w:rsidR="002116C5" w:rsidRPr="00DB762A">
        <w:rPr>
          <w:rStyle w:val="FootnoteReference"/>
        </w:rPr>
        <w:footnoteReference w:id="4"/>
      </w:r>
      <w:r w:rsidR="002116C5" w:rsidRPr="00DB762A">
        <w:t xml:space="preserve">. </w:t>
      </w:r>
    </w:p>
    <w:p w14:paraId="5A8E357F" w14:textId="45A0EEC4" w:rsidR="002116C5" w:rsidRPr="00DB762A" w:rsidRDefault="00D609BE" w:rsidP="002116C5">
      <w:pPr>
        <w:pStyle w:val="SingleTxtG"/>
      </w:pPr>
      <w:r w:rsidRPr="00DB762A">
        <w:t>24</w:t>
      </w:r>
      <w:r w:rsidR="002116C5" w:rsidRPr="00DB762A">
        <w:t>.</w:t>
      </w:r>
      <w:r w:rsidR="002116C5" w:rsidRPr="00DB762A">
        <w:tab/>
        <w:t xml:space="preserve">The Joint Meeting invited the representative of FEA to consider the need to address this matter from a multimodal perspective and invited him to submit a proposal to the Sub-Committee of Experts on the Transport of Dangerous Goods (TDG Sub-Committee), to allow for the same provisions to be applied worldwide.  </w:t>
      </w:r>
    </w:p>
    <w:p w14:paraId="1CA733B0" w14:textId="635742A9" w:rsidR="002116C5" w:rsidRPr="00DB762A" w:rsidRDefault="002116C5" w:rsidP="002116C5">
      <w:pPr>
        <w:pStyle w:val="H23G"/>
      </w:pPr>
      <w:r w:rsidRPr="00DB762A">
        <w:tab/>
        <w:t>4.</w:t>
      </w:r>
      <w:r w:rsidRPr="00DB762A">
        <w:tab/>
        <w:t>Name and description of UN No.</w:t>
      </w:r>
      <w:r w:rsidR="00E1206D">
        <w:t> </w:t>
      </w:r>
      <w:r w:rsidRPr="00DB762A">
        <w:t>1010 (</w:t>
      </w:r>
      <w:proofErr w:type="spellStart"/>
      <w:r w:rsidRPr="00DB762A">
        <w:t>Butadienes</w:t>
      </w:r>
      <w:proofErr w:type="spellEnd"/>
      <w:r w:rsidRPr="00DB762A">
        <w:t>, stabilized)</w:t>
      </w:r>
    </w:p>
    <w:p w14:paraId="5576A5A7" w14:textId="77777777" w:rsidR="002116C5" w:rsidRPr="00DB762A" w:rsidRDefault="002116C5" w:rsidP="002116C5">
      <w:pPr>
        <w:pStyle w:val="SingleTxtG"/>
        <w:tabs>
          <w:tab w:val="left" w:pos="2835"/>
          <w:tab w:val="left" w:pos="4962"/>
        </w:tabs>
        <w:spacing w:after="60"/>
        <w:jc w:val="left"/>
      </w:pPr>
      <w:r w:rsidRPr="00DB762A">
        <w:rPr>
          <w:bCs/>
          <w:i/>
          <w:iCs/>
        </w:rPr>
        <w:t xml:space="preserve">Document: </w:t>
      </w:r>
      <w:r w:rsidRPr="00DB762A">
        <w:rPr>
          <w:bCs/>
          <w:i/>
          <w:iCs/>
        </w:rPr>
        <w:tab/>
      </w:r>
      <w:r w:rsidRPr="00DB762A">
        <w:t xml:space="preserve">ECE/TRANS/WP.15/AC.1/2018/19 (Spain) </w:t>
      </w:r>
    </w:p>
    <w:p w14:paraId="43BDD2C8" w14:textId="25A5285C" w:rsidR="002116C5" w:rsidRPr="00DB762A" w:rsidRDefault="00D609BE" w:rsidP="002116C5">
      <w:pPr>
        <w:pStyle w:val="SingleTxtG"/>
      </w:pPr>
      <w:r w:rsidRPr="00DB762A">
        <w:t>25</w:t>
      </w:r>
      <w:r w:rsidR="002116C5" w:rsidRPr="00DB762A">
        <w:t>.</w:t>
      </w:r>
      <w:r w:rsidR="002116C5" w:rsidRPr="00DB762A">
        <w:tab/>
        <w:t>The Joint Meeting noted the differences between the name and description of UN</w:t>
      </w:r>
      <w:r w:rsidRPr="00DB762A">
        <w:t> </w:t>
      </w:r>
      <w:r w:rsidR="002116C5" w:rsidRPr="00DB762A">
        <w:t>No.</w:t>
      </w:r>
      <w:r w:rsidR="00E1206D">
        <w:t> </w:t>
      </w:r>
      <w:r w:rsidR="002116C5" w:rsidRPr="00DB762A">
        <w:t xml:space="preserve">1010 in RID/ADR and in the Model Regulations. It was pointed out in particular that the description currently in RID/ADR </w:t>
      </w:r>
      <w:r w:rsidR="004C47F0" w:rsidRPr="00DB762A">
        <w:t xml:space="preserve">could cover </w:t>
      </w:r>
      <w:proofErr w:type="spellStart"/>
      <w:r w:rsidR="002116C5" w:rsidRPr="00DB762A">
        <w:t>butadienes</w:t>
      </w:r>
      <w:proofErr w:type="spellEnd"/>
      <w:r w:rsidR="002116C5" w:rsidRPr="00DB762A">
        <w:t xml:space="preserve"> and butadiene mixtures with less than 40% butadiene, while the description in the Model Regulations covered only those with more than 40% butadiene. </w:t>
      </w:r>
    </w:p>
    <w:p w14:paraId="72C73695" w14:textId="0B13A416" w:rsidR="002116C5" w:rsidRPr="00DB762A" w:rsidRDefault="00D609BE" w:rsidP="004C47F0">
      <w:pPr>
        <w:pStyle w:val="SingleTxtG"/>
      </w:pPr>
      <w:r w:rsidRPr="00DB762A">
        <w:t>26</w:t>
      </w:r>
      <w:r w:rsidR="002116C5" w:rsidRPr="00DB762A">
        <w:t>.</w:t>
      </w:r>
      <w:r w:rsidR="002116C5" w:rsidRPr="00DB762A">
        <w:tab/>
        <w:t xml:space="preserve">The representative of Spain indicated that to her knowledge, all </w:t>
      </w:r>
      <w:proofErr w:type="spellStart"/>
      <w:r w:rsidR="002116C5" w:rsidRPr="00DB762A">
        <w:t>butadienes</w:t>
      </w:r>
      <w:proofErr w:type="spellEnd"/>
      <w:r w:rsidR="002116C5" w:rsidRPr="00DB762A">
        <w:t xml:space="preserve"> and butadiene mixtures currently used and carried contained more than 40% butadiene and consequently, the description used in RID/ADR should be aligned with that of the Model Regulations. There was some support for this proposal in principle. However, some reservations were expressed regarding</w:t>
      </w:r>
      <w:r w:rsidR="004C47F0" w:rsidRPr="00DB762A">
        <w:t xml:space="preserve"> </w:t>
      </w:r>
      <w:r w:rsidR="002116C5" w:rsidRPr="00DB762A">
        <w:t xml:space="preserve">how to address stabilization of butadiene mixtures with less than 40% butadiene, if needed, in accordance with 2.2.2.2.1, if these </w:t>
      </w:r>
      <w:proofErr w:type="spellStart"/>
      <w:r w:rsidR="002116C5" w:rsidRPr="00DB762A">
        <w:t>butadienes</w:t>
      </w:r>
      <w:proofErr w:type="spellEnd"/>
      <w:r w:rsidR="002116C5" w:rsidRPr="00DB762A">
        <w:t xml:space="preserve"> were to be carried under generic </w:t>
      </w:r>
      <w:proofErr w:type="spellStart"/>
      <w:r w:rsidR="002116C5" w:rsidRPr="00DB762A">
        <w:t>n.o.s</w:t>
      </w:r>
      <w:proofErr w:type="spellEnd"/>
      <w:r w:rsidR="002116C5" w:rsidRPr="00DB762A">
        <w:t xml:space="preserve"> entries</w:t>
      </w:r>
      <w:r w:rsidR="00F53186">
        <w:t>.</w:t>
      </w:r>
    </w:p>
    <w:p w14:paraId="5F85F51A" w14:textId="0B8A8E14" w:rsidR="002116C5" w:rsidRPr="00DB762A" w:rsidRDefault="00D609BE" w:rsidP="002116C5">
      <w:pPr>
        <w:pStyle w:val="SingleTxtG"/>
      </w:pPr>
      <w:r w:rsidRPr="00DB762A">
        <w:t>27</w:t>
      </w:r>
      <w:r w:rsidR="002116C5" w:rsidRPr="00DB762A">
        <w:t>.</w:t>
      </w:r>
      <w:r w:rsidR="002116C5" w:rsidRPr="00DB762A">
        <w:tab/>
        <w:t xml:space="preserve">The Joint Meeting invited the representative of Spain to come back with a proposal identifying the </w:t>
      </w:r>
      <w:proofErr w:type="spellStart"/>
      <w:r w:rsidR="002116C5" w:rsidRPr="00DB762A">
        <w:t>n.o.s</w:t>
      </w:r>
      <w:proofErr w:type="spellEnd"/>
      <w:r w:rsidR="002116C5" w:rsidRPr="00DB762A">
        <w:t xml:space="preserve"> entries that could be used and to check whether they are suitable for carriage of these substances by all modes. </w:t>
      </w:r>
    </w:p>
    <w:p w14:paraId="3118D3C4" w14:textId="77777777" w:rsidR="002116C5" w:rsidRPr="00DB762A" w:rsidRDefault="002116C5" w:rsidP="002116C5">
      <w:pPr>
        <w:pStyle w:val="H23G"/>
      </w:pPr>
      <w:r w:rsidRPr="00DB762A">
        <w:tab/>
        <w:t>5.</w:t>
      </w:r>
      <w:r w:rsidRPr="00DB762A">
        <w:tab/>
        <w:t>Display packs of limited quantities</w:t>
      </w:r>
    </w:p>
    <w:p w14:paraId="2080E092" w14:textId="77777777" w:rsidR="002116C5" w:rsidRPr="00DB762A" w:rsidRDefault="002116C5" w:rsidP="002116C5">
      <w:pPr>
        <w:pStyle w:val="SingleTxtG"/>
        <w:tabs>
          <w:tab w:val="left" w:pos="2835"/>
          <w:tab w:val="left" w:pos="4962"/>
        </w:tabs>
        <w:spacing w:after="60"/>
        <w:jc w:val="left"/>
      </w:pPr>
      <w:r w:rsidRPr="00DB762A">
        <w:rPr>
          <w:bCs/>
          <w:i/>
          <w:iCs/>
        </w:rPr>
        <w:t xml:space="preserve">Document: </w:t>
      </w:r>
      <w:r w:rsidRPr="00DB762A">
        <w:rPr>
          <w:bCs/>
          <w:i/>
          <w:iCs/>
        </w:rPr>
        <w:tab/>
      </w:r>
      <w:r w:rsidRPr="00DB762A">
        <w:t>ECE/TRANS/WP.15/AC.1/2018/21 (COSTHA)</w:t>
      </w:r>
    </w:p>
    <w:p w14:paraId="29C3C511" w14:textId="5D795492" w:rsidR="00D609BE" w:rsidRPr="00DB762A" w:rsidRDefault="00D609BE" w:rsidP="002116C5">
      <w:pPr>
        <w:pStyle w:val="SingleTxtG"/>
      </w:pPr>
      <w:r w:rsidRPr="00DB762A">
        <w:t>28</w:t>
      </w:r>
      <w:r w:rsidR="002116C5" w:rsidRPr="00DB762A">
        <w:t>.</w:t>
      </w:r>
      <w:r w:rsidR="002116C5" w:rsidRPr="00DB762A">
        <w:tab/>
        <w:t xml:space="preserve">The Joint Meeting did not support the proposal and felt that it should be first examined by the TDG Sub-Committee. </w:t>
      </w:r>
    </w:p>
    <w:p w14:paraId="0B33F6C4" w14:textId="42317D8D" w:rsidR="002116C5" w:rsidRPr="00DB762A" w:rsidRDefault="00D609BE" w:rsidP="002116C5">
      <w:pPr>
        <w:pStyle w:val="SingleTxtG"/>
      </w:pPr>
      <w:r w:rsidRPr="00DB762A">
        <w:t>29.</w:t>
      </w:r>
      <w:r w:rsidRPr="00DB762A">
        <w:tab/>
      </w:r>
      <w:r w:rsidR="002116C5" w:rsidRPr="00DB762A">
        <w:t xml:space="preserve">Some delegations considered that </w:t>
      </w:r>
      <w:r w:rsidRPr="00DB762A">
        <w:t xml:space="preserve">the proposal was </w:t>
      </w:r>
      <w:r w:rsidR="002116C5" w:rsidRPr="00DB762A">
        <w:t>not needed</w:t>
      </w:r>
      <w:r w:rsidRPr="00DB762A">
        <w:t>. O</w:t>
      </w:r>
      <w:r w:rsidR="002116C5" w:rsidRPr="00DB762A">
        <w:t xml:space="preserve">thers were concerned about the characteristics of the proposed packs in terms of safety (for instance </w:t>
      </w:r>
      <w:r w:rsidR="002116C5" w:rsidRPr="00DB762A">
        <w:lastRenderedPageBreak/>
        <w:t xml:space="preserve">their performance if subject to drop tests). Some others were reluctant to extend the applicable mass limit for carriage of packages in limited quantities from the current 30 kg to 550 kg, in the cases and conditions proposed by COSTHA. Others mentioned that it would be difficult from an enforcement point of view to ensure that the packages conditioned as proposed by COSTHA would only be used for retail distribution.  </w:t>
      </w:r>
    </w:p>
    <w:p w14:paraId="3461C825" w14:textId="7FAA694E" w:rsidR="002116C5" w:rsidRPr="00DB762A" w:rsidRDefault="001415CE" w:rsidP="002116C5">
      <w:pPr>
        <w:pStyle w:val="SingleTxtG"/>
      </w:pPr>
      <w:r w:rsidRPr="00DB762A">
        <w:t>30</w:t>
      </w:r>
      <w:r w:rsidR="002116C5" w:rsidRPr="00DB762A">
        <w:t>.</w:t>
      </w:r>
      <w:r w:rsidR="002116C5" w:rsidRPr="00DB762A">
        <w:tab/>
        <w:t xml:space="preserve">The representative of COSTHA said that she would take account of the comments made and consider submitting a proposal to the TDG Sub-Committee. </w:t>
      </w:r>
    </w:p>
    <w:p w14:paraId="264800FE" w14:textId="4796C26E" w:rsidR="002116C5" w:rsidRPr="00DB762A" w:rsidRDefault="002116C5" w:rsidP="002116C5">
      <w:pPr>
        <w:pStyle w:val="H23G"/>
      </w:pPr>
      <w:r w:rsidRPr="00DB762A">
        <w:tab/>
      </w:r>
      <w:r w:rsidR="00B36E6F" w:rsidRPr="00DB762A">
        <w:t>6</w:t>
      </w:r>
      <w:r w:rsidRPr="00DB762A">
        <w:t>.</w:t>
      </w:r>
      <w:r w:rsidRPr="00DB762A">
        <w:tab/>
        <w:t>Status of the annexes to directives 84/525/EEC, 84/526/EEC and 84/527/EEC referred to in 6.2.4 of RID/ADR</w:t>
      </w:r>
    </w:p>
    <w:p w14:paraId="335AEA0A" w14:textId="77777777" w:rsidR="002116C5" w:rsidRPr="00DB762A" w:rsidRDefault="002116C5" w:rsidP="002116C5">
      <w:pPr>
        <w:pStyle w:val="SingleTxtG"/>
        <w:tabs>
          <w:tab w:val="left" w:pos="2835"/>
          <w:tab w:val="left" w:pos="4962"/>
        </w:tabs>
        <w:spacing w:after="60"/>
        <w:jc w:val="left"/>
      </w:pPr>
      <w:r w:rsidRPr="00DB762A">
        <w:rPr>
          <w:bCs/>
          <w:i/>
          <w:iCs/>
        </w:rPr>
        <w:t xml:space="preserve">Document: </w:t>
      </w:r>
      <w:r w:rsidRPr="00DB762A">
        <w:rPr>
          <w:bCs/>
          <w:i/>
          <w:iCs/>
        </w:rPr>
        <w:tab/>
      </w:r>
      <w:r w:rsidRPr="00DB762A">
        <w:t xml:space="preserve">ECE/TRANS/WP.15/AC.1/2018/24 (Russian Federation) </w:t>
      </w:r>
    </w:p>
    <w:p w14:paraId="41D14C56" w14:textId="7DADE1C8" w:rsidR="002116C5" w:rsidRPr="00DB762A" w:rsidRDefault="002116C5" w:rsidP="00E1206D">
      <w:pPr>
        <w:pStyle w:val="SingleTxtG"/>
        <w:tabs>
          <w:tab w:val="left" w:pos="2835"/>
          <w:tab w:val="left" w:pos="4962"/>
        </w:tabs>
        <w:spacing w:after="0"/>
        <w:jc w:val="left"/>
      </w:pPr>
      <w:r w:rsidRPr="00DB762A">
        <w:rPr>
          <w:bCs/>
          <w:i/>
          <w:iCs/>
        </w:rPr>
        <w:t>Informal documents:</w:t>
      </w:r>
      <w:r w:rsidR="0057785E" w:rsidRPr="00DB762A">
        <w:t xml:space="preserve"> </w:t>
      </w:r>
      <w:r w:rsidRPr="00DB762A">
        <w:t>INF.14 (ECMA/EIGA)</w:t>
      </w:r>
    </w:p>
    <w:p w14:paraId="156A5CC1" w14:textId="12092B7E" w:rsidR="002116C5" w:rsidRPr="00DB762A" w:rsidRDefault="002116C5" w:rsidP="00E1206D">
      <w:pPr>
        <w:pStyle w:val="SingleTxtG"/>
        <w:tabs>
          <w:tab w:val="left" w:pos="2835"/>
          <w:tab w:val="left" w:pos="4962"/>
        </w:tabs>
        <w:spacing w:after="0"/>
        <w:jc w:val="left"/>
      </w:pPr>
      <w:r w:rsidRPr="00DB762A">
        <w:rPr>
          <w:bCs/>
          <w:i/>
          <w:iCs/>
        </w:rPr>
        <w:tab/>
      </w:r>
      <w:r w:rsidRPr="00DB762A">
        <w:rPr>
          <w:bCs/>
        </w:rPr>
        <w:t xml:space="preserve">INF.26 </w:t>
      </w:r>
      <w:r w:rsidRPr="00DB762A">
        <w:t>(Russian Federation)</w:t>
      </w:r>
    </w:p>
    <w:p w14:paraId="04D62FD5" w14:textId="6BD3A35B" w:rsidR="0057785E" w:rsidRPr="00DB762A" w:rsidRDefault="0057785E" w:rsidP="002116C5">
      <w:pPr>
        <w:pStyle w:val="SingleTxtG"/>
        <w:tabs>
          <w:tab w:val="left" w:pos="2835"/>
          <w:tab w:val="left" w:pos="4962"/>
        </w:tabs>
        <w:spacing w:after="60"/>
        <w:jc w:val="left"/>
      </w:pPr>
      <w:r w:rsidRPr="00DB762A">
        <w:tab/>
        <w:t>INF.28 (ECMA/EIGA)</w:t>
      </w:r>
    </w:p>
    <w:p w14:paraId="2C7525F7" w14:textId="12BB9E1C" w:rsidR="002116C5" w:rsidRPr="00DB762A" w:rsidRDefault="001415CE" w:rsidP="002116C5">
      <w:pPr>
        <w:pStyle w:val="SingleTxtG"/>
      </w:pPr>
      <w:r w:rsidRPr="00DB762A">
        <w:t>31</w:t>
      </w:r>
      <w:r w:rsidR="002116C5" w:rsidRPr="00DB762A">
        <w:t>.</w:t>
      </w:r>
      <w:r w:rsidR="002116C5" w:rsidRPr="00DB762A">
        <w:tab/>
        <w:t xml:space="preserve">The Joint Meeting confirmed the views expressed at its March 2018 session on the need to keep the references to the annexes to directives 84/525/EEC, 84/526/EEC and 84/527/EEC in 6.2.4 of RID/ADR. It was noted that although the directives had been repealed, there was a significant demand for cylinders designed and constructed in accordance with the technical specifications of their annexes. </w:t>
      </w:r>
    </w:p>
    <w:p w14:paraId="253E4402" w14:textId="42AD53BD" w:rsidR="002116C5" w:rsidRPr="00DB762A" w:rsidRDefault="001415CE" w:rsidP="002116C5">
      <w:pPr>
        <w:pStyle w:val="SingleTxtG"/>
      </w:pPr>
      <w:r w:rsidRPr="00DB762A">
        <w:t>32</w:t>
      </w:r>
      <w:r w:rsidR="002116C5" w:rsidRPr="00DB762A">
        <w:t>.</w:t>
      </w:r>
      <w:r w:rsidR="002116C5" w:rsidRPr="00DB762A">
        <w:tab/>
        <w:t>Regarding their status, there was agreement that as soon as a reference to the annexes existed in RID/ADR, they were deemed applicable within the legal framework of RID/ADR. Some delegations suggested including a note or a footnote against the reference to these standards to make this interpretation clear. The Joint Meeting agreed with that suggestion and invited interested delegations to come back with a proposal that would include:</w:t>
      </w:r>
    </w:p>
    <w:p w14:paraId="60C3BAF2" w14:textId="77777777" w:rsidR="002116C5" w:rsidRPr="00DB762A" w:rsidRDefault="002116C5" w:rsidP="002116C5">
      <w:pPr>
        <w:pStyle w:val="SingleTxtG"/>
        <w:ind w:left="2127" w:hanging="426"/>
      </w:pPr>
      <w:r w:rsidRPr="00DB762A">
        <w:t>(a)</w:t>
      </w:r>
      <w:r w:rsidRPr="00DB762A">
        <w:tab/>
        <w:t>the agreed interpretation on the status of the annexes to these standards for RID/ADR purposes;</w:t>
      </w:r>
    </w:p>
    <w:p w14:paraId="4FE7B4EC" w14:textId="77777777" w:rsidR="002116C5" w:rsidRPr="00DB762A" w:rsidRDefault="002116C5" w:rsidP="002116C5">
      <w:pPr>
        <w:pStyle w:val="SingleTxtG"/>
        <w:ind w:left="2127" w:hanging="426"/>
      </w:pPr>
      <w:r w:rsidRPr="00DB762A">
        <w:t>(b)</w:t>
      </w:r>
      <w:r w:rsidRPr="00DB762A">
        <w:tab/>
        <w:t>the references to the Official Journal of the European Union where the text of the annexes can be found; and</w:t>
      </w:r>
    </w:p>
    <w:p w14:paraId="0714A7DE" w14:textId="6FEC39C5" w:rsidR="002116C5" w:rsidRPr="00DB762A" w:rsidRDefault="002116C5" w:rsidP="002116C5">
      <w:pPr>
        <w:pStyle w:val="SingleTxtG"/>
        <w:ind w:left="2127" w:hanging="426"/>
        <w:rPr>
          <w:bCs/>
          <w:i/>
          <w:iCs/>
        </w:rPr>
      </w:pPr>
      <w:r w:rsidRPr="00DB762A">
        <w:t>(c)</w:t>
      </w:r>
      <w:r w:rsidRPr="00DB762A">
        <w:tab/>
        <w:t>a transitional period during which the annexes should be deemed to remain applicable.</w:t>
      </w:r>
      <w:r w:rsidRPr="00DB762A">
        <w:rPr>
          <w:bCs/>
          <w:i/>
          <w:iCs/>
        </w:rPr>
        <w:tab/>
      </w:r>
    </w:p>
    <w:p w14:paraId="220C6DFF" w14:textId="260B755E" w:rsidR="00C81359" w:rsidRPr="00DB762A" w:rsidRDefault="001415CE" w:rsidP="00C81359">
      <w:pPr>
        <w:pStyle w:val="SingleTxtG"/>
        <w:tabs>
          <w:tab w:val="left" w:pos="1701"/>
          <w:tab w:val="left" w:pos="2835"/>
          <w:tab w:val="left" w:pos="4962"/>
        </w:tabs>
        <w:spacing w:after="60"/>
      </w:pPr>
      <w:r w:rsidRPr="00DB762A">
        <w:rPr>
          <w:bCs/>
        </w:rPr>
        <w:t>33</w:t>
      </w:r>
      <w:r w:rsidR="00C81359" w:rsidRPr="00DB762A">
        <w:rPr>
          <w:bCs/>
        </w:rPr>
        <w:t>.</w:t>
      </w:r>
      <w:r w:rsidR="00C81359" w:rsidRPr="00DB762A">
        <w:rPr>
          <w:bCs/>
        </w:rPr>
        <w:tab/>
        <w:t xml:space="preserve">As an interim solution, pending the transposition of the annexes to these directives into a standard, the Joint Meeting adopted with some changes the note proposed in informal document INF.28, to be inserted against the references to the annexes to directives </w:t>
      </w:r>
      <w:r w:rsidR="00C81359" w:rsidRPr="00DB762A">
        <w:t>84/525/EEC, 84/526/EEC and 84/527/EEC in table 6.2.4 of RID/ADR (see annex</w:t>
      </w:r>
      <w:r w:rsidR="00BB33CF" w:rsidRPr="00DB762A">
        <w:t xml:space="preserve"> II</w:t>
      </w:r>
      <w:r w:rsidR="00C81359" w:rsidRPr="00DB762A">
        <w:t>). The Joint Meeting encouraged CEN to develop a standard.</w:t>
      </w:r>
    </w:p>
    <w:p w14:paraId="3E7892DD" w14:textId="29E5023E" w:rsidR="002116C5" w:rsidRPr="00DB762A" w:rsidRDefault="002116C5" w:rsidP="002116C5">
      <w:pPr>
        <w:pStyle w:val="H23G"/>
      </w:pPr>
      <w:r w:rsidRPr="00DB762A">
        <w:tab/>
      </w:r>
      <w:r w:rsidR="00B36E6F" w:rsidRPr="00DB762A">
        <w:t>7</w:t>
      </w:r>
      <w:r w:rsidRPr="00DB762A">
        <w:t>.</w:t>
      </w:r>
      <w:r w:rsidRPr="00DB762A">
        <w:tab/>
        <w:t>Alignment of 1.8.5.1 with 1.4.2 and 1.4.3 in RID/ADR/ADN</w:t>
      </w:r>
    </w:p>
    <w:p w14:paraId="32A7105D" w14:textId="77777777" w:rsidR="002116C5" w:rsidRPr="00D4632B" w:rsidRDefault="002116C5" w:rsidP="002116C5">
      <w:pPr>
        <w:pStyle w:val="SingleTxtG"/>
        <w:tabs>
          <w:tab w:val="left" w:pos="2835"/>
          <w:tab w:val="left" w:pos="4962"/>
        </w:tabs>
        <w:spacing w:after="240"/>
        <w:jc w:val="left"/>
        <w:rPr>
          <w:lang w:val="fr-FR"/>
        </w:rPr>
      </w:pPr>
      <w:r w:rsidRPr="00D4632B">
        <w:rPr>
          <w:bCs/>
          <w:i/>
          <w:iCs/>
          <w:lang w:val="fr-FR"/>
        </w:rPr>
        <w:t xml:space="preserve">Document: </w:t>
      </w:r>
      <w:r w:rsidRPr="00D4632B">
        <w:rPr>
          <w:bCs/>
          <w:i/>
          <w:iCs/>
          <w:lang w:val="fr-FR"/>
        </w:rPr>
        <w:tab/>
      </w:r>
      <w:r w:rsidRPr="00D4632B">
        <w:rPr>
          <w:lang w:val="fr-FR"/>
        </w:rPr>
        <w:t>ECE/TRANS/WP.15/AC.1/2018/30 (</w:t>
      </w:r>
      <w:proofErr w:type="spellStart"/>
      <w:r w:rsidRPr="00D4632B">
        <w:rPr>
          <w:lang w:val="fr-FR"/>
        </w:rPr>
        <w:t>Austria</w:t>
      </w:r>
      <w:proofErr w:type="spellEnd"/>
      <w:r w:rsidRPr="00D4632B">
        <w:rPr>
          <w:lang w:val="fr-FR"/>
        </w:rPr>
        <w:t>)</w:t>
      </w:r>
    </w:p>
    <w:p w14:paraId="4E2B7EB9" w14:textId="5854801C" w:rsidR="002116C5" w:rsidRPr="00DB762A" w:rsidRDefault="001415CE" w:rsidP="002116C5">
      <w:pPr>
        <w:pStyle w:val="SingleTxtG"/>
      </w:pPr>
      <w:r w:rsidRPr="00DB762A">
        <w:t>34</w:t>
      </w:r>
      <w:r w:rsidR="002116C5" w:rsidRPr="00DB762A">
        <w:t>.</w:t>
      </w:r>
      <w:r w:rsidR="002116C5" w:rsidRPr="00DB762A">
        <w:tab/>
        <w:t>Most of the delegations who took the floor considered that the reference to “consignee” in 1.8.5.1 was appropriate and should not be deleted and that a reference to the “unloader” should instead be added.  After discussion, the Joint Meeting concurred with that suggestion and adopted the proposal from Austria, as amended (see annex</w:t>
      </w:r>
      <w:r w:rsidR="00BB33CF" w:rsidRPr="00DB762A">
        <w:t xml:space="preserve"> II</w:t>
      </w:r>
      <w:r w:rsidR="002116C5" w:rsidRPr="00DB762A">
        <w:t xml:space="preserve">). </w:t>
      </w:r>
    </w:p>
    <w:p w14:paraId="75A96F39" w14:textId="3CC38E09" w:rsidR="002116C5" w:rsidRPr="00DB762A" w:rsidRDefault="001415CE" w:rsidP="002116C5">
      <w:pPr>
        <w:pStyle w:val="SingleTxtG"/>
      </w:pPr>
      <w:r w:rsidRPr="00DB762A">
        <w:t>35</w:t>
      </w:r>
      <w:r w:rsidR="002116C5" w:rsidRPr="00DB762A">
        <w:t>.</w:t>
      </w:r>
      <w:r w:rsidR="002116C5" w:rsidRPr="00DB762A">
        <w:tab/>
        <w:t>There was some discussion on the different roles and responsibilities of the participants in the transport chain when it comes to notifying occurrences involving dangerous goods to the competent authorities. It was noted that, according to 1.4.1.3</w:t>
      </w:r>
      <w:r w:rsidR="0057785E" w:rsidRPr="00DB762A">
        <w:t>,</w:t>
      </w:r>
      <w:r w:rsidR="002116C5" w:rsidRPr="00DB762A">
        <w:t xml:space="preserve"> Contracting Parties had the possibility to transfer the obligations from a specific participant to one or several others and therefore, practices might differ from one Contracting Party to </w:t>
      </w:r>
      <w:r w:rsidR="002116C5" w:rsidRPr="00DB762A">
        <w:lastRenderedPageBreak/>
        <w:t>another. The Joint Meeting concluded that should a discussion on matters of principle related to incident reporting be necessary, this question could be addressed by an informal working group on incident reporting matters</w:t>
      </w:r>
      <w:r w:rsidR="0057785E" w:rsidRPr="00DB762A">
        <w:t xml:space="preserve"> (see paragraph 54 and annex IV)</w:t>
      </w:r>
      <w:r w:rsidR="002116C5" w:rsidRPr="00DB762A">
        <w:t xml:space="preserve">. </w:t>
      </w:r>
    </w:p>
    <w:p w14:paraId="43B7C758" w14:textId="352CBD45" w:rsidR="002116C5" w:rsidRPr="00DB762A" w:rsidRDefault="002116C5" w:rsidP="002116C5">
      <w:pPr>
        <w:pStyle w:val="H23G"/>
      </w:pPr>
      <w:r w:rsidRPr="00DB762A">
        <w:tab/>
      </w:r>
      <w:r w:rsidR="00B36E6F" w:rsidRPr="00DB762A">
        <w:t>8</w:t>
      </w:r>
      <w:r w:rsidRPr="00DB762A">
        <w:t>.</w:t>
      </w:r>
      <w:r w:rsidRPr="00DB762A">
        <w:tab/>
        <w:t>Carriage of articles containing PCBs that are contaminated with dioxins and furans</w:t>
      </w:r>
    </w:p>
    <w:p w14:paraId="7C67564E" w14:textId="77777777" w:rsidR="002116C5" w:rsidRPr="00DB762A" w:rsidRDefault="002116C5" w:rsidP="002116C5">
      <w:pPr>
        <w:pStyle w:val="SingleTxtG"/>
        <w:tabs>
          <w:tab w:val="left" w:pos="2835"/>
          <w:tab w:val="left" w:pos="3402"/>
          <w:tab w:val="left" w:pos="4962"/>
        </w:tabs>
        <w:spacing w:after="240"/>
        <w:jc w:val="left"/>
        <w:rPr>
          <w:bCs/>
          <w:i/>
          <w:iCs/>
        </w:rPr>
      </w:pPr>
      <w:r w:rsidRPr="00E1206D">
        <w:rPr>
          <w:i/>
          <w:iCs/>
        </w:rPr>
        <w:t>Document</w:t>
      </w:r>
      <w:r w:rsidRPr="00DB762A">
        <w:t xml:space="preserve">: </w:t>
      </w:r>
      <w:r w:rsidRPr="00DB762A">
        <w:tab/>
      </w:r>
      <w:r w:rsidRPr="00DB762A">
        <w:tab/>
        <w:t>ECE/TRANS/WP.15/AC.1/2018/23 (Germany)</w:t>
      </w:r>
    </w:p>
    <w:p w14:paraId="2366D849" w14:textId="77777777" w:rsidR="002116C5" w:rsidRPr="00DB762A" w:rsidRDefault="002116C5" w:rsidP="002116C5">
      <w:pPr>
        <w:pStyle w:val="SingleTxtG"/>
        <w:tabs>
          <w:tab w:val="left" w:pos="2835"/>
          <w:tab w:val="left" w:pos="3402"/>
          <w:tab w:val="left" w:pos="4962"/>
        </w:tabs>
        <w:spacing w:after="240"/>
        <w:jc w:val="left"/>
      </w:pPr>
      <w:r w:rsidRPr="00DB762A">
        <w:rPr>
          <w:bCs/>
          <w:i/>
          <w:iCs/>
        </w:rPr>
        <w:t>Informal document:</w:t>
      </w:r>
      <w:r w:rsidRPr="00DB762A">
        <w:t xml:space="preserve"> </w:t>
      </w:r>
      <w:r w:rsidRPr="00DB762A">
        <w:tab/>
      </w:r>
      <w:r w:rsidRPr="00DB762A">
        <w:tab/>
        <w:t>INF.27 (Germany)</w:t>
      </w:r>
    </w:p>
    <w:p w14:paraId="3B843C5D" w14:textId="2EE6C523" w:rsidR="002116C5" w:rsidRPr="00DB762A" w:rsidRDefault="001415CE" w:rsidP="002116C5">
      <w:pPr>
        <w:pStyle w:val="SingleTxtG"/>
        <w:tabs>
          <w:tab w:val="left" w:pos="1701"/>
          <w:tab w:val="left" w:pos="2835"/>
          <w:tab w:val="left" w:pos="3402"/>
          <w:tab w:val="left" w:pos="4962"/>
        </w:tabs>
        <w:spacing w:after="240"/>
        <w:jc w:val="left"/>
      </w:pPr>
      <w:r w:rsidRPr="00DB762A">
        <w:rPr>
          <w:bCs/>
        </w:rPr>
        <w:t>36</w:t>
      </w:r>
      <w:r w:rsidR="002116C5" w:rsidRPr="00DB762A">
        <w:rPr>
          <w:bCs/>
        </w:rPr>
        <w:t>.</w:t>
      </w:r>
      <w:r w:rsidR="002116C5" w:rsidRPr="00DB762A">
        <w:rPr>
          <w:bCs/>
        </w:rPr>
        <w:tab/>
        <w:t>The Joint Meeting adopted the proposal in informal document INF.27, with some changes (see annex</w:t>
      </w:r>
      <w:r w:rsidR="00BB33CF" w:rsidRPr="00DB762A">
        <w:rPr>
          <w:bCs/>
        </w:rPr>
        <w:t xml:space="preserve"> II</w:t>
      </w:r>
      <w:r w:rsidR="002116C5" w:rsidRPr="00DB762A">
        <w:rPr>
          <w:bCs/>
        </w:rPr>
        <w:t>).</w:t>
      </w:r>
    </w:p>
    <w:p w14:paraId="5B0C9F70" w14:textId="6625891C" w:rsidR="002116C5" w:rsidRPr="00DB762A" w:rsidRDefault="002116C5" w:rsidP="002116C5">
      <w:pPr>
        <w:pStyle w:val="H23G"/>
      </w:pPr>
      <w:r w:rsidRPr="00DB762A">
        <w:tab/>
      </w:r>
      <w:r w:rsidR="00B36E6F" w:rsidRPr="00DB762A">
        <w:t>9</w:t>
      </w:r>
      <w:r w:rsidRPr="00DB762A">
        <w:t>.</w:t>
      </w:r>
      <w:r w:rsidRPr="00DB762A">
        <w:tab/>
        <w:t>Amendments to 5.2.2.2.1.3 and 5.2.2.2.1.5 of RID/ADR/ADN</w:t>
      </w:r>
    </w:p>
    <w:p w14:paraId="0E4D7BDC" w14:textId="21DA6372" w:rsidR="002116C5" w:rsidRPr="00DB762A" w:rsidRDefault="002116C5" w:rsidP="00A01B31">
      <w:pPr>
        <w:pStyle w:val="SingleTxtG"/>
        <w:tabs>
          <w:tab w:val="left" w:pos="2835"/>
          <w:tab w:val="left" w:pos="3402"/>
          <w:tab w:val="left" w:pos="4962"/>
        </w:tabs>
        <w:spacing w:after="240"/>
        <w:jc w:val="left"/>
      </w:pPr>
      <w:r w:rsidRPr="00DB762A">
        <w:rPr>
          <w:bCs/>
          <w:i/>
          <w:iCs/>
        </w:rPr>
        <w:t>Informal document:</w:t>
      </w:r>
      <w:r w:rsidRPr="00DB762A">
        <w:t xml:space="preserve"> </w:t>
      </w:r>
      <w:r w:rsidRPr="00DB762A">
        <w:tab/>
      </w:r>
      <w:r w:rsidR="00A01B31">
        <w:tab/>
      </w:r>
      <w:r w:rsidRPr="00DB762A">
        <w:t>INF.8 (Russian Federation)</w:t>
      </w:r>
    </w:p>
    <w:p w14:paraId="4D95572D" w14:textId="3EFF96DA" w:rsidR="002116C5" w:rsidRPr="00DB762A" w:rsidRDefault="001415CE" w:rsidP="002116C5">
      <w:pPr>
        <w:pStyle w:val="SingleTxtG"/>
        <w:tabs>
          <w:tab w:val="left" w:pos="1701"/>
        </w:tabs>
      </w:pPr>
      <w:r w:rsidRPr="00DB762A">
        <w:t>37</w:t>
      </w:r>
      <w:r w:rsidR="002116C5" w:rsidRPr="00DB762A">
        <w:t>.</w:t>
      </w:r>
      <w:r w:rsidR="002116C5" w:rsidRPr="00DB762A">
        <w:tab/>
        <w:t xml:space="preserve">The Joint Meeting noted that this question had been considered by the TDG </w:t>
      </w:r>
      <w:r w:rsidR="00B36E6F" w:rsidRPr="00DB762A">
        <w:br/>
      </w:r>
      <w:r w:rsidR="002116C5" w:rsidRPr="00DB762A">
        <w:t>Sub-Committee at its fifty-third session on the basis of an informal document and that the representative of the Russian Federation had been invited to submit an official document at the next session (see ST/SG/AC.10/C.3/106, paragraphs 102 and 103). Noting that the proposal addressed existing text in the Model Regulations, the Joint Meeting considered that the question should be first examined by the TDG Sub-Committee before the consequential amendments to RID/ADR/ADN could be considered.</w:t>
      </w:r>
    </w:p>
    <w:p w14:paraId="753E3249" w14:textId="6E4B0AF9" w:rsidR="002116C5" w:rsidRPr="00DB762A" w:rsidRDefault="002116C5" w:rsidP="002116C5">
      <w:pPr>
        <w:pStyle w:val="H23G"/>
      </w:pPr>
      <w:r w:rsidRPr="00DB762A">
        <w:tab/>
      </w:r>
      <w:r w:rsidR="00B36E6F" w:rsidRPr="00DB762A">
        <w:t>10</w:t>
      </w:r>
      <w:r w:rsidRPr="00DB762A">
        <w:t>.</w:t>
      </w:r>
      <w:r w:rsidRPr="00DB762A">
        <w:tab/>
        <w:t>Special provision 386 in ADR/ADN</w:t>
      </w:r>
    </w:p>
    <w:p w14:paraId="6E1C0BA9" w14:textId="77777777" w:rsidR="002116C5" w:rsidRPr="00DB762A" w:rsidRDefault="002116C5" w:rsidP="002116C5">
      <w:pPr>
        <w:pStyle w:val="SingleTxtG"/>
        <w:tabs>
          <w:tab w:val="left" w:pos="3261"/>
          <w:tab w:val="left" w:pos="4962"/>
        </w:tabs>
        <w:spacing w:after="240"/>
        <w:jc w:val="left"/>
        <w:rPr>
          <w:bCs/>
        </w:rPr>
      </w:pPr>
      <w:r w:rsidRPr="00DB762A">
        <w:rPr>
          <w:bCs/>
          <w:i/>
          <w:iCs/>
        </w:rPr>
        <w:t xml:space="preserve">Informal document: </w:t>
      </w:r>
      <w:r w:rsidRPr="00DB762A">
        <w:rPr>
          <w:bCs/>
          <w:i/>
          <w:iCs/>
        </w:rPr>
        <w:tab/>
      </w:r>
      <w:r w:rsidRPr="00DB762A">
        <w:rPr>
          <w:bCs/>
        </w:rPr>
        <w:t xml:space="preserve">INF.6 (Germany) </w:t>
      </w:r>
    </w:p>
    <w:p w14:paraId="44F83706" w14:textId="69D66C59" w:rsidR="002116C5" w:rsidRPr="00DB762A" w:rsidRDefault="001415CE" w:rsidP="002116C5">
      <w:pPr>
        <w:pStyle w:val="SingleTxtG"/>
        <w:tabs>
          <w:tab w:val="left" w:pos="1701"/>
        </w:tabs>
      </w:pPr>
      <w:r w:rsidRPr="00DB762A">
        <w:t>38</w:t>
      </w:r>
      <w:r w:rsidR="002116C5" w:rsidRPr="00DB762A">
        <w:t>.</w:t>
      </w:r>
      <w:r w:rsidR="002116C5" w:rsidRPr="00DB762A">
        <w:tab/>
      </w:r>
      <w:r w:rsidR="002116C5" w:rsidRPr="00DB762A">
        <w:tab/>
        <w:t xml:space="preserve">The Joint Meeting adopted the proposal in paragraph 3 of informal document INF.6, to replace the reference to 2.2.41.1.17 by 2.2.41.1.21 in the first sentence of special provision 386 (see annex </w:t>
      </w:r>
      <w:r w:rsidR="00BB33CF" w:rsidRPr="00DB762A">
        <w:t>II</w:t>
      </w:r>
      <w:r w:rsidR="002116C5" w:rsidRPr="00DB762A">
        <w:t>).</w:t>
      </w:r>
    </w:p>
    <w:p w14:paraId="0163B8ED" w14:textId="62078844" w:rsidR="002116C5" w:rsidRPr="00DB762A" w:rsidRDefault="002116C5" w:rsidP="002116C5">
      <w:pPr>
        <w:pStyle w:val="H23G"/>
      </w:pPr>
      <w:r w:rsidRPr="00DB762A">
        <w:tab/>
      </w:r>
      <w:r w:rsidR="00B36E6F" w:rsidRPr="00DB762A">
        <w:t>11</w:t>
      </w:r>
      <w:r w:rsidRPr="00DB762A">
        <w:t>.</w:t>
      </w:r>
      <w:r w:rsidRPr="00DB762A">
        <w:tab/>
        <w:t>Separate assessment of valves and other demountable accessories having a direct safety function of UN pressure receptacles</w:t>
      </w:r>
    </w:p>
    <w:p w14:paraId="69BA041B" w14:textId="77777777" w:rsidR="002116C5" w:rsidRPr="00DB762A" w:rsidRDefault="002116C5" w:rsidP="002116C5">
      <w:pPr>
        <w:pStyle w:val="SingleTxtG"/>
        <w:tabs>
          <w:tab w:val="left" w:pos="3261"/>
          <w:tab w:val="left" w:pos="4962"/>
        </w:tabs>
        <w:spacing w:after="240"/>
        <w:jc w:val="left"/>
        <w:rPr>
          <w:bCs/>
        </w:rPr>
      </w:pPr>
      <w:r w:rsidRPr="00DB762A">
        <w:rPr>
          <w:bCs/>
          <w:i/>
          <w:iCs/>
        </w:rPr>
        <w:t xml:space="preserve">Informal document: </w:t>
      </w:r>
      <w:r w:rsidRPr="00DB762A">
        <w:rPr>
          <w:bCs/>
          <w:i/>
          <w:iCs/>
        </w:rPr>
        <w:tab/>
      </w:r>
      <w:r w:rsidRPr="00DB762A">
        <w:rPr>
          <w:bCs/>
        </w:rPr>
        <w:t xml:space="preserve">INF.13 (France) </w:t>
      </w:r>
    </w:p>
    <w:p w14:paraId="203C7FDD" w14:textId="56039528" w:rsidR="002116C5" w:rsidRPr="00DB762A" w:rsidRDefault="001415CE" w:rsidP="002116C5">
      <w:pPr>
        <w:pStyle w:val="SingleTxtG"/>
      </w:pPr>
      <w:r w:rsidRPr="00DB762A">
        <w:t>39</w:t>
      </w:r>
      <w:r w:rsidR="002116C5" w:rsidRPr="00DB762A">
        <w:t>.</w:t>
      </w:r>
      <w:r w:rsidR="002116C5" w:rsidRPr="00DB762A">
        <w:tab/>
        <w:t xml:space="preserve">The Joint Meeting agreed that the provisions of 6.2.3.6.1 applicable to non-UN pressure receptacles as regards the conformity assessment of valves and other demountable accessories having a direct safety function, were also pertinent for UN pressure receptacles, and that 6.2.2.11 should be amended accordingly. The representative of France said that she would submit a proposal in an official document for the next session. </w:t>
      </w:r>
    </w:p>
    <w:p w14:paraId="4C02107C" w14:textId="627E146B" w:rsidR="002116C5" w:rsidRPr="00DB762A" w:rsidRDefault="001415CE" w:rsidP="002116C5">
      <w:pPr>
        <w:pStyle w:val="SingleTxtG"/>
      </w:pPr>
      <w:r w:rsidRPr="00DB762A">
        <w:t>40</w:t>
      </w:r>
      <w:r w:rsidR="002116C5" w:rsidRPr="00DB762A">
        <w:t>.</w:t>
      </w:r>
      <w:r w:rsidR="002116C5" w:rsidRPr="00DB762A">
        <w:tab/>
        <w:t>The representative of EIGA informed the Joint Meeting that EIGA had been leading an informal working group since 2015 to review the provisions for closures of pressure receptacles in the Model Regulations (see the report of the TDG Sub-Committee on its forty-eight session, document ST/SG/AC.10/C.3/96, paragraphs 69 and 70). The Joint Meeting noted that the informal working group expected to complete the work and submit proposals for amendment to the Model Regulations during the biennium 2019-2020.</w:t>
      </w:r>
    </w:p>
    <w:p w14:paraId="32E99004" w14:textId="19E23480" w:rsidR="000A338B" w:rsidRPr="00DB762A" w:rsidRDefault="000A338B" w:rsidP="00DB762A">
      <w:pPr>
        <w:pStyle w:val="H23G"/>
      </w:pPr>
      <w:r w:rsidRPr="00DB762A">
        <w:lastRenderedPageBreak/>
        <w:tab/>
      </w:r>
      <w:r w:rsidR="00B36E6F" w:rsidRPr="00DB762A">
        <w:t>12</w:t>
      </w:r>
      <w:r w:rsidRPr="00DB762A">
        <w:t>.</w:t>
      </w:r>
      <w:r w:rsidRPr="00DB762A">
        <w:tab/>
        <w:t>Carriage of pressure receptacles approved by the Department of Transportation of the United States of America (DOT)</w:t>
      </w:r>
    </w:p>
    <w:p w14:paraId="4546C89D" w14:textId="77777777" w:rsidR="000A338B" w:rsidRPr="00D4632B" w:rsidRDefault="000A338B" w:rsidP="00DB762A">
      <w:pPr>
        <w:pStyle w:val="SingleTxtG"/>
        <w:keepNext/>
        <w:keepLines/>
        <w:tabs>
          <w:tab w:val="left" w:pos="3261"/>
          <w:tab w:val="left" w:pos="4962"/>
        </w:tabs>
        <w:spacing w:after="240"/>
        <w:jc w:val="left"/>
        <w:rPr>
          <w:bCs/>
          <w:lang w:val="fr-FR"/>
        </w:rPr>
      </w:pPr>
      <w:r w:rsidRPr="00D4632B">
        <w:rPr>
          <w:bCs/>
          <w:i/>
          <w:iCs/>
          <w:lang w:val="fr-FR"/>
        </w:rPr>
        <w:t>Document:</w:t>
      </w:r>
      <w:r w:rsidRPr="00D4632B">
        <w:rPr>
          <w:bCs/>
          <w:i/>
          <w:iCs/>
          <w:lang w:val="fr-FR"/>
        </w:rPr>
        <w:tab/>
      </w:r>
      <w:r w:rsidRPr="00D4632B">
        <w:rPr>
          <w:bCs/>
          <w:lang w:val="fr-FR"/>
        </w:rPr>
        <w:t>ECE/TRANS/WP.15/AC.1/2018/22 (EIGA)</w:t>
      </w:r>
    </w:p>
    <w:p w14:paraId="478AFCBC" w14:textId="77777777" w:rsidR="000A338B" w:rsidRPr="00DB762A" w:rsidRDefault="000A338B" w:rsidP="000A338B">
      <w:pPr>
        <w:pStyle w:val="SingleTxtG"/>
        <w:tabs>
          <w:tab w:val="left" w:pos="3261"/>
          <w:tab w:val="left" w:pos="4962"/>
        </w:tabs>
        <w:spacing w:after="240"/>
        <w:jc w:val="left"/>
        <w:rPr>
          <w:bCs/>
        </w:rPr>
      </w:pPr>
      <w:r w:rsidRPr="00DB762A">
        <w:rPr>
          <w:bCs/>
          <w:i/>
          <w:iCs/>
        </w:rPr>
        <w:t>Informal document:</w:t>
      </w:r>
      <w:r w:rsidRPr="00DB762A">
        <w:rPr>
          <w:bCs/>
        </w:rPr>
        <w:tab/>
        <w:t>INF.32 (EIGA)</w:t>
      </w:r>
    </w:p>
    <w:p w14:paraId="3A0EA000" w14:textId="1604CDFF" w:rsidR="000A338B" w:rsidRPr="00DB762A" w:rsidRDefault="001415CE" w:rsidP="000A338B">
      <w:pPr>
        <w:pStyle w:val="SingleTxtG"/>
      </w:pPr>
      <w:r w:rsidRPr="00DB762A">
        <w:t>41</w:t>
      </w:r>
      <w:r w:rsidR="000A338B" w:rsidRPr="00DB762A">
        <w:t>.</w:t>
      </w:r>
      <w:r w:rsidR="000A338B" w:rsidRPr="00DB762A">
        <w:tab/>
        <w:t xml:space="preserve">The Joint Meeting agreed in principle to the draft text in paragraph 5 of informal document INF.32 and noted that EIGA intended to continue working on its development together with the representative of the United States of America and other interested delegations with a view to submitting an official document for a future session. The representative of EIGA invited delegates to provide comments on the proposed draft text. </w:t>
      </w:r>
    </w:p>
    <w:p w14:paraId="5333F194" w14:textId="5FDC6846" w:rsidR="002116C5" w:rsidRPr="00DB762A" w:rsidRDefault="00C81359" w:rsidP="002116C5">
      <w:pPr>
        <w:pStyle w:val="HChG"/>
        <w:spacing w:before="280"/>
        <w:rPr>
          <w:lang w:val="en-GB"/>
        </w:rPr>
      </w:pPr>
      <w:bookmarkStart w:id="0" w:name="_Hlk525066820"/>
      <w:r w:rsidRPr="00DB762A">
        <w:rPr>
          <w:lang w:val="en-GB"/>
        </w:rPr>
        <w:tab/>
      </w:r>
      <w:r w:rsidR="002116C5" w:rsidRPr="00DB762A">
        <w:rPr>
          <w:lang w:val="en-GB"/>
        </w:rPr>
        <w:t>VII.</w:t>
      </w:r>
      <w:r w:rsidR="002116C5" w:rsidRPr="00DB762A">
        <w:rPr>
          <w:lang w:val="en-GB"/>
        </w:rPr>
        <w:tab/>
        <w:t>Reports of informal working groups (agenda item 6)</w:t>
      </w:r>
    </w:p>
    <w:p w14:paraId="0AC7919C" w14:textId="77777777" w:rsidR="002116C5" w:rsidRPr="00DB762A" w:rsidRDefault="002116C5" w:rsidP="002116C5">
      <w:pPr>
        <w:pStyle w:val="H1G"/>
        <w:spacing w:before="320"/>
      </w:pPr>
      <w:r w:rsidRPr="00DB762A">
        <w:tab/>
        <w:t>A.</w:t>
      </w:r>
      <w:r w:rsidRPr="00DB762A">
        <w:tab/>
        <w:t xml:space="preserve">Informal working group on telematics </w:t>
      </w:r>
    </w:p>
    <w:p w14:paraId="2529D528" w14:textId="76D7E5ED" w:rsidR="002116C5" w:rsidRPr="00D4632B" w:rsidRDefault="002116C5" w:rsidP="00A01B31">
      <w:pPr>
        <w:pStyle w:val="SingleTxtG"/>
        <w:spacing w:after="240"/>
        <w:jc w:val="left"/>
        <w:rPr>
          <w:lang w:val="fr-FR"/>
        </w:rPr>
      </w:pPr>
      <w:proofErr w:type="gramStart"/>
      <w:r w:rsidRPr="00E1206D">
        <w:rPr>
          <w:i/>
          <w:iCs/>
          <w:lang w:val="fr-FR"/>
        </w:rPr>
        <w:t>Document:</w:t>
      </w:r>
      <w:proofErr w:type="gramEnd"/>
      <w:r w:rsidRPr="00D4632B">
        <w:rPr>
          <w:lang w:val="fr-FR"/>
        </w:rPr>
        <w:t xml:space="preserve"> </w:t>
      </w:r>
      <w:r w:rsidRPr="00D4632B">
        <w:rPr>
          <w:lang w:val="fr-FR"/>
        </w:rPr>
        <w:tab/>
      </w:r>
      <w:r w:rsidR="00DB762A" w:rsidRPr="00D4632B">
        <w:rPr>
          <w:lang w:val="fr-FR"/>
        </w:rPr>
        <w:tab/>
      </w:r>
      <w:r w:rsidR="00A01B31">
        <w:rPr>
          <w:lang w:val="fr-FR"/>
        </w:rPr>
        <w:tab/>
      </w:r>
      <w:r w:rsidRPr="00D4632B">
        <w:rPr>
          <w:lang w:val="fr-FR"/>
        </w:rPr>
        <w:t xml:space="preserve">ECE/TRANS/WP.15/AC.1/2018/25 (France) </w:t>
      </w:r>
    </w:p>
    <w:p w14:paraId="50E31DF2" w14:textId="539CA45E" w:rsidR="002116C5" w:rsidRPr="00DB762A" w:rsidRDefault="002116C5" w:rsidP="002116C5">
      <w:r w:rsidRPr="00D4632B">
        <w:rPr>
          <w:lang w:val="fr-FR"/>
        </w:rPr>
        <w:tab/>
      </w:r>
      <w:r w:rsidRPr="00D4632B">
        <w:rPr>
          <w:lang w:val="fr-FR"/>
        </w:rPr>
        <w:tab/>
      </w:r>
      <w:r w:rsidRPr="00DB762A">
        <w:rPr>
          <w:i/>
          <w:iCs/>
        </w:rPr>
        <w:t xml:space="preserve">Informal document: </w:t>
      </w:r>
      <w:r w:rsidR="00A01B31">
        <w:rPr>
          <w:i/>
          <w:iCs/>
        </w:rPr>
        <w:tab/>
      </w:r>
      <w:r w:rsidRPr="00DB762A">
        <w:rPr>
          <w:i/>
          <w:iCs/>
        </w:rPr>
        <w:tab/>
      </w:r>
      <w:r w:rsidRPr="00DB762A">
        <w:t>INF.24 (European Union)</w:t>
      </w:r>
    </w:p>
    <w:p w14:paraId="3400B285" w14:textId="54B1D277" w:rsidR="002116C5" w:rsidRPr="00DB762A" w:rsidRDefault="001415CE" w:rsidP="002116C5">
      <w:pPr>
        <w:pStyle w:val="SingleTxtG"/>
        <w:spacing w:before="120"/>
      </w:pPr>
      <w:bookmarkStart w:id="1" w:name="_Hlk525066685"/>
      <w:bookmarkEnd w:id="0"/>
      <w:r w:rsidRPr="00DB762A">
        <w:t>42</w:t>
      </w:r>
      <w:r w:rsidR="002116C5" w:rsidRPr="00DB762A">
        <w:t>.</w:t>
      </w:r>
      <w:r w:rsidR="002116C5" w:rsidRPr="00DB762A">
        <w:tab/>
        <w:t>The Joint Meeting was informed that at its last meeting in London (4</w:t>
      </w:r>
      <w:r w:rsidR="00F53186">
        <w:t xml:space="preserve"> and</w:t>
      </w:r>
      <w:r w:rsidR="002116C5" w:rsidRPr="00DB762A">
        <w:t xml:space="preserve">5 June 2018) the informal working group had agreed on the memorandum of understanding (MOU) reproduced in the annex to document ECE/TRANS/WP.15/AC.1/2018/25. It was noted that the MOU had been developed taking account of the most recent research projects conducted in Italy and France. </w:t>
      </w:r>
    </w:p>
    <w:p w14:paraId="19CD577C" w14:textId="775B8A47" w:rsidR="002116C5" w:rsidRPr="00DB762A" w:rsidRDefault="001415CE" w:rsidP="002116C5">
      <w:pPr>
        <w:pStyle w:val="SingleTxtG"/>
      </w:pPr>
      <w:r w:rsidRPr="00DB762A">
        <w:t>43</w:t>
      </w:r>
      <w:r w:rsidR="002116C5" w:rsidRPr="00DB762A">
        <w:t>.</w:t>
      </w:r>
      <w:r w:rsidR="002116C5" w:rsidRPr="00DB762A">
        <w:tab/>
        <w:t xml:space="preserve">The Joint Meeting also noted with satisfaction that the MOU contained the fundamental agreed principles for the establishment of a telematics architecture for the transport of dangerous goods and provided a common understanding on how the provisions of 5.4.0.2 in RID/ADR/ADN should be applied, thus ensuring their harmonised implementation. It was pointed out that the MOU did not create any regulatory obligation and that no issues related to its implementation had been identified. Contracting Parties that had not yet done so were invited to participate in the work of the informal working group, either by participating </w:t>
      </w:r>
      <w:r w:rsidR="004C47F0" w:rsidRPr="00DB762A">
        <w:t xml:space="preserve">in </w:t>
      </w:r>
      <w:r w:rsidR="002116C5" w:rsidRPr="00DB762A">
        <w:t xml:space="preserve">its meetings when feasible or by providing comments in writing. Some delegations indicated that they intended to get involved in this work and consider signing the MOU. </w:t>
      </w:r>
    </w:p>
    <w:p w14:paraId="75A1E83D" w14:textId="0DD4CC71" w:rsidR="002116C5" w:rsidRPr="00DB762A" w:rsidRDefault="001415CE" w:rsidP="002116C5">
      <w:pPr>
        <w:pStyle w:val="SingleTxtG"/>
      </w:pPr>
      <w:r w:rsidRPr="00DB762A">
        <w:t>44</w:t>
      </w:r>
      <w:r w:rsidR="002116C5" w:rsidRPr="00DB762A">
        <w:t>.</w:t>
      </w:r>
      <w:r w:rsidR="002116C5" w:rsidRPr="00DB762A">
        <w:tab/>
        <w:t xml:space="preserve">On the proposal for a regulation on electronic freight transport information referred to in informal document INF.24 several delegations expressed concern about the lack of information on the functional requirements and technical specifications that would be addressed by the legal acts supplementing the regulation. They considered that the activities related to telematics currently under development at European level should take account of the work already done in other instances, and for dangerous goods in particular, by the Joint Meeting informal working group on telematics. </w:t>
      </w:r>
    </w:p>
    <w:p w14:paraId="5F577534" w14:textId="37B3CE43" w:rsidR="002116C5" w:rsidRPr="00DB762A" w:rsidRDefault="001415CE" w:rsidP="002116C5">
      <w:pPr>
        <w:pStyle w:val="SingleTxtG"/>
      </w:pPr>
      <w:r w:rsidRPr="00DB762A">
        <w:t>45</w:t>
      </w:r>
      <w:r w:rsidR="002116C5" w:rsidRPr="00DB762A">
        <w:t>.</w:t>
      </w:r>
      <w:r w:rsidR="002116C5" w:rsidRPr="00DB762A">
        <w:tab/>
        <w:t xml:space="preserve">The Joint Meeting noted these concerns and invited delegations participating in the work of the relevant bodies at EU level to ensure that the technical specifications developed under their auspices do not contradict or deviate significantly from those already addressed by the informal working group on telematics for the transport of dangerous goods. </w:t>
      </w:r>
    </w:p>
    <w:p w14:paraId="39382E46" w14:textId="07FCB78F" w:rsidR="002116C5" w:rsidRPr="00DB762A" w:rsidRDefault="001415CE" w:rsidP="002116C5">
      <w:pPr>
        <w:pStyle w:val="SingleTxtG"/>
      </w:pPr>
      <w:r w:rsidRPr="00DB762A">
        <w:t>46</w:t>
      </w:r>
      <w:r w:rsidR="002116C5" w:rsidRPr="00DB762A">
        <w:t>.</w:t>
      </w:r>
      <w:r w:rsidR="002116C5" w:rsidRPr="00DB762A">
        <w:tab/>
        <w:t xml:space="preserve">The Joint Meeting noted that the next meeting of the informal working group on telematics would take place in Vienna from 12 to 14 November 2018 and that the representative of Austria would circulate an invitation soon. </w:t>
      </w:r>
      <w:bookmarkEnd w:id="1"/>
    </w:p>
    <w:p w14:paraId="3B53F9DD" w14:textId="051AACEA" w:rsidR="002116C5" w:rsidRPr="00DB762A" w:rsidRDefault="002116C5" w:rsidP="002116C5">
      <w:pPr>
        <w:pStyle w:val="H1G"/>
        <w:spacing w:before="320"/>
      </w:pPr>
      <w:r w:rsidRPr="00DB762A">
        <w:lastRenderedPageBreak/>
        <w:tab/>
        <w:t>B.</w:t>
      </w:r>
      <w:r w:rsidRPr="00DB762A">
        <w:tab/>
      </w:r>
      <w:r w:rsidR="000B7D12">
        <w:t>I</w:t>
      </w:r>
      <w:r w:rsidRPr="00DB762A">
        <w:t>nformal working group on the definitions of “risk” and “hazard/danger” in the context of RID/ADR/ADN</w:t>
      </w:r>
    </w:p>
    <w:p w14:paraId="1FA5633C" w14:textId="77777777" w:rsidR="002116C5" w:rsidRPr="00DB762A" w:rsidRDefault="002116C5" w:rsidP="002116C5">
      <w:pPr>
        <w:pStyle w:val="SingleTxtG"/>
        <w:ind w:right="176"/>
        <w:jc w:val="left"/>
      </w:pPr>
      <w:r w:rsidRPr="00DB762A">
        <w:rPr>
          <w:i/>
          <w:iCs/>
        </w:rPr>
        <w:t>Informal documents:</w:t>
      </w:r>
      <w:r w:rsidRPr="00DB762A">
        <w:rPr>
          <w:i/>
          <w:iCs/>
        </w:rPr>
        <w:tab/>
      </w:r>
      <w:r w:rsidRPr="00DB762A">
        <w:rPr>
          <w:i/>
          <w:iCs/>
        </w:rPr>
        <w:tab/>
      </w:r>
      <w:r w:rsidRPr="00DB762A">
        <w:t xml:space="preserve">INF.10 and Add.1-2 (Romania/UIC) </w:t>
      </w:r>
    </w:p>
    <w:p w14:paraId="26DCC75F" w14:textId="6B6836D1" w:rsidR="002116C5" w:rsidRPr="00DB762A" w:rsidRDefault="001415CE" w:rsidP="002116C5">
      <w:pPr>
        <w:pStyle w:val="SingleTxtG"/>
      </w:pPr>
      <w:r w:rsidRPr="00DB762A">
        <w:t>47</w:t>
      </w:r>
      <w:r w:rsidR="002116C5" w:rsidRPr="00DB762A">
        <w:t>.</w:t>
      </w:r>
      <w:r w:rsidR="002116C5" w:rsidRPr="00DB762A">
        <w:tab/>
        <w:t xml:space="preserve">The Joint Meeting welcomed the results of the work of the informal working group. Noting that some of the amendments concerned texts from the Model Regulations, it invited the representative of Romania to bring them to the attention of the TDG Sub-Committee at its fifty-fifth session (July 2019) in an official document. </w:t>
      </w:r>
    </w:p>
    <w:p w14:paraId="7ED9416E" w14:textId="471CBB39" w:rsidR="002116C5" w:rsidRPr="00DB762A" w:rsidRDefault="001415CE" w:rsidP="002116C5">
      <w:pPr>
        <w:pStyle w:val="SingleTxtG"/>
      </w:pPr>
      <w:r w:rsidRPr="00DB762A">
        <w:t>48</w:t>
      </w:r>
      <w:r w:rsidR="002116C5" w:rsidRPr="00DB762A">
        <w:t>.</w:t>
      </w:r>
      <w:r w:rsidR="002116C5" w:rsidRPr="00DB762A">
        <w:tab/>
        <w:t xml:space="preserve">The Joint Meeting agreed in principle to the proposed amendments to the instructions in writing. However, noting that they were not safety-related, and that renewal of the stock of already printed copies could have significant budgetary implications, the Joint Meeting considered that they should be introduced when other amendments to the instructions had been adopted. The representative of Romania indicated that a proposal for amendment of footnote b in the instructions in writing </w:t>
      </w:r>
      <w:r w:rsidR="00BB33CF" w:rsidRPr="00DB762A">
        <w:t>according to</w:t>
      </w:r>
      <w:r w:rsidR="004C47F0" w:rsidRPr="00DB762A">
        <w:t xml:space="preserve"> ADR </w:t>
      </w:r>
      <w:r w:rsidR="002116C5" w:rsidRPr="00DB762A">
        <w:t>had been submitted for consideration by the WP.15 at its 105</w:t>
      </w:r>
      <w:r w:rsidR="002116C5" w:rsidRPr="00DB762A">
        <w:rPr>
          <w:vertAlign w:val="superscript"/>
        </w:rPr>
        <w:t>th</w:t>
      </w:r>
      <w:r w:rsidR="002116C5" w:rsidRPr="00DB762A">
        <w:t xml:space="preserve"> session (see document ECE/TRANS/WP.15/2018/5) and that it included a transitional period of implementation of </w:t>
      </w:r>
      <w:r w:rsidR="00F53186">
        <w:t>two</w:t>
      </w:r>
      <w:r w:rsidR="00F53186" w:rsidRPr="00DB762A">
        <w:t xml:space="preserve"> </w:t>
      </w:r>
      <w:r w:rsidR="002116C5" w:rsidRPr="00DB762A">
        <w:t xml:space="preserve">years. He noted that if both proposals were adopted for the 2021 edition of the ADR, the same transitional period would apply to the amendments </w:t>
      </w:r>
      <w:r w:rsidR="00B36E6F" w:rsidRPr="00DB762A">
        <w:t xml:space="preserve">to </w:t>
      </w:r>
      <w:r w:rsidR="002116C5" w:rsidRPr="00DB762A">
        <w:t xml:space="preserve">the instructions in writing in items 27 to </w:t>
      </w:r>
      <w:r w:rsidR="004C47F0" w:rsidRPr="00DB762A">
        <w:t xml:space="preserve">47 </w:t>
      </w:r>
      <w:r w:rsidR="002116C5" w:rsidRPr="00DB762A">
        <w:t>of informal document INF.10/Add.1.</w:t>
      </w:r>
    </w:p>
    <w:p w14:paraId="6FB00275" w14:textId="2EFE17CD" w:rsidR="002116C5" w:rsidRPr="00DB762A" w:rsidRDefault="001415CE" w:rsidP="002116C5">
      <w:pPr>
        <w:pStyle w:val="SingleTxtG"/>
      </w:pPr>
      <w:r w:rsidRPr="00DB762A">
        <w:t>49</w:t>
      </w:r>
      <w:r w:rsidR="002116C5" w:rsidRPr="00DB762A">
        <w:t>.</w:t>
      </w:r>
      <w:r w:rsidR="002116C5" w:rsidRPr="00DB762A">
        <w:tab/>
        <w:t>The Joint Meeting invited the representative of Romania to submit an official document for the next session with the proposed amendments to RID/ADR/ADN. The decisions taken by the Joint Meeting would be then brought to the attention of the WP.15, the ADN Safety Committee and the RID Committee of Experts</w:t>
      </w:r>
      <w:r w:rsidR="00C16C92">
        <w:t>’ standing working group</w:t>
      </w:r>
      <w:r w:rsidR="002116C5" w:rsidRPr="00DB762A">
        <w:t xml:space="preserve">. </w:t>
      </w:r>
    </w:p>
    <w:p w14:paraId="4E5B391D" w14:textId="54BB2BE5" w:rsidR="002116C5" w:rsidRPr="00DB762A" w:rsidRDefault="001415CE" w:rsidP="002116C5">
      <w:pPr>
        <w:pStyle w:val="SingleTxtG"/>
      </w:pPr>
      <w:r w:rsidRPr="00DB762A">
        <w:t>50</w:t>
      </w:r>
      <w:r w:rsidR="002116C5" w:rsidRPr="00DB762A">
        <w:t>.</w:t>
      </w:r>
      <w:r w:rsidR="002116C5" w:rsidRPr="00DB762A">
        <w:tab/>
        <w:t xml:space="preserve">The Joint Meeting noted that the next meeting of the informal working group would take place in The Hague from </w:t>
      </w:r>
      <w:r w:rsidR="004C47F0" w:rsidRPr="00DB762A">
        <w:t xml:space="preserve">11 </w:t>
      </w:r>
      <w:r w:rsidR="002116C5" w:rsidRPr="00DB762A">
        <w:t xml:space="preserve">to </w:t>
      </w:r>
      <w:r w:rsidR="004C47F0" w:rsidRPr="00DB762A">
        <w:t>13 June 2019</w:t>
      </w:r>
      <w:r w:rsidR="002116C5" w:rsidRPr="00DB762A">
        <w:t xml:space="preserve">. Delegations interested in participating in the work of this group were invited to contact the representative of Romania. </w:t>
      </w:r>
    </w:p>
    <w:p w14:paraId="1CAAFC0F" w14:textId="5E88348C" w:rsidR="002116C5" w:rsidRPr="00DB762A" w:rsidRDefault="002116C5" w:rsidP="002116C5">
      <w:pPr>
        <w:pStyle w:val="H1G"/>
        <w:spacing w:before="320"/>
      </w:pPr>
      <w:r w:rsidRPr="00DB762A">
        <w:tab/>
        <w:t>C.</w:t>
      </w:r>
      <w:r w:rsidRPr="00DB762A">
        <w:tab/>
        <w:t xml:space="preserve">Informal </w:t>
      </w:r>
      <w:r w:rsidR="000B7D12">
        <w:t>w</w:t>
      </w:r>
      <w:r w:rsidRPr="00DB762A">
        <w:t xml:space="preserve">orking </w:t>
      </w:r>
      <w:r w:rsidR="000B7D12">
        <w:t>g</w:t>
      </w:r>
      <w:r w:rsidRPr="00DB762A">
        <w:t xml:space="preserve">roup on the reduction of the risk of a </w:t>
      </w:r>
      <w:r w:rsidR="00F53186">
        <w:t>boiling liquid expanding vapour explosion (</w:t>
      </w:r>
      <w:r w:rsidRPr="00DB762A">
        <w:t>BLEVE</w:t>
      </w:r>
      <w:r w:rsidR="00F53186">
        <w:t>)</w:t>
      </w:r>
      <w:r w:rsidRPr="00DB762A">
        <w:t xml:space="preserve"> during transport of dangerous goods</w:t>
      </w:r>
    </w:p>
    <w:p w14:paraId="66947BDA" w14:textId="3B5A79F3" w:rsidR="002116C5" w:rsidRPr="00DB762A" w:rsidRDefault="002116C5" w:rsidP="002116C5">
      <w:pPr>
        <w:spacing w:after="240"/>
      </w:pPr>
      <w:r w:rsidRPr="00DB762A">
        <w:tab/>
      </w:r>
      <w:r w:rsidRPr="00DB762A">
        <w:tab/>
      </w:r>
      <w:r w:rsidRPr="00DB762A">
        <w:rPr>
          <w:i/>
          <w:iCs/>
        </w:rPr>
        <w:t xml:space="preserve">Informal document: </w:t>
      </w:r>
      <w:r w:rsidR="00A01B31">
        <w:rPr>
          <w:i/>
          <w:iCs/>
        </w:rPr>
        <w:tab/>
      </w:r>
      <w:bookmarkStart w:id="2" w:name="_GoBack"/>
      <w:bookmarkEnd w:id="2"/>
      <w:r w:rsidRPr="00DB762A">
        <w:rPr>
          <w:i/>
          <w:iCs/>
        </w:rPr>
        <w:tab/>
      </w:r>
      <w:r w:rsidRPr="00DB762A">
        <w:t>INF.22 (Spain)</w:t>
      </w:r>
    </w:p>
    <w:p w14:paraId="69604112" w14:textId="0904BD9B" w:rsidR="002116C5" w:rsidRPr="00DB762A" w:rsidRDefault="001415CE" w:rsidP="002116C5">
      <w:pPr>
        <w:pStyle w:val="SingleTxtG"/>
      </w:pPr>
      <w:r w:rsidRPr="00DB762A">
        <w:t>51</w:t>
      </w:r>
      <w:r w:rsidR="002116C5" w:rsidRPr="00DB762A">
        <w:t>.</w:t>
      </w:r>
      <w:r w:rsidR="002116C5" w:rsidRPr="00DB762A">
        <w:tab/>
        <w:t>Following a request made by several delegations, the representative of Spain agreed to change the dates for the next meeting of the informal working group</w:t>
      </w:r>
      <w:r w:rsidR="00F53186">
        <w:t>, initially scheduled</w:t>
      </w:r>
      <w:r w:rsidR="002116C5" w:rsidRPr="00DB762A">
        <w:t xml:space="preserve"> </w:t>
      </w:r>
      <w:r w:rsidR="00F53186">
        <w:t>in</w:t>
      </w:r>
      <w:r w:rsidR="00B36E6F" w:rsidRPr="00DB762A">
        <w:t xml:space="preserve"> October</w:t>
      </w:r>
      <w:r w:rsidR="00F53186">
        <w:t>,</w:t>
      </w:r>
      <w:r w:rsidR="00B36E6F" w:rsidRPr="00DB762A">
        <w:t xml:space="preserve"> to </w:t>
      </w:r>
      <w:r w:rsidR="00F53186">
        <w:t xml:space="preserve">15 to 17 </w:t>
      </w:r>
      <w:r w:rsidR="00B36E6F" w:rsidRPr="00DB762A">
        <w:t>January 2019</w:t>
      </w:r>
      <w:r w:rsidR="00BE6F46" w:rsidRPr="00DB762A">
        <w:t xml:space="preserve"> </w:t>
      </w:r>
      <w:r w:rsidR="002116C5" w:rsidRPr="00DB762A">
        <w:t xml:space="preserve">to facilitate the participation of all those interested in the work of the group. She encouraged delegations to </w:t>
      </w:r>
      <w:r w:rsidR="004C47F0" w:rsidRPr="00DB762A">
        <w:t xml:space="preserve">confirm their participation before 28 December 2018 and to </w:t>
      </w:r>
      <w:r w:rsidR="002116C5" w:rsidRPr="00DB762A">
        <w:t>provide information on the topics listed under paragraph 6 of informal document INF.22.</w:t>
      </w:r>
    </w:p>
    <w:p w14:paraId="1968B143" w14:textId="36543175" w:rsidR="002116C5" w:rsidRPr="00DB762A" w:rsidRDefault="004C47F0" w:rsidP="002116C5">
      <w:pPr>
        <w:pStyle w:val="HChG"/>
        <w:rPr>
          <w:lang w:val="en-GB"/>
        </w:rPr>
      </w:pPr>
      <w:r w:rsidRPr="00DB762A">
        <w:rPr>
          <w:lang w:val="en-GB"/>
        </w:rPr>
        <w:tab/>
      </w:r>
      <w:r w:rsidR="002116C5" w:rsidRPr="00DB762A">
        <w:rPr>
          <w:lang w:val="en-GB"/>
        </w:rPr>
        <w:t>VIII.</w:t>
      </w:r>
      <w:r w:rsidR="002116C5" w:rsidRPr="00DB762A">
        <w:rPr>
          <w:lang w:val="en-GB"/>
        </w:rPr>
        <w:tab/>
        <w:t>Accidents and risk management (agenda item 7)</w:t>
      </w:r>
    </w:p>
    <w:p w14:paraId="606518FA" w14:textId="77777777" w:rsidR="002116C5" w:rsidRPr="00DB762A" w:rsidRDefault="002116C5" w:rsidP="002116C5">
      <w:pPr>
        <w:pStyle w:val="H1G"/>
      </w:pPr>
      <w:r w:rsidRPr="00DB762A">
        <w:tab/>
        <w:t>A.</w:t>
      </w:r>
      <w:r w:rsidRPr="00DB762A">
        <w:tab/>
        <w:t>Accident involving molten aluminium</w:t>
      </w:r>
    </w:p>
    <w:p w14:paraId="217C0D28" w14:textId="77777777" w:rsidR="002116C5" w:rsidRPr="00DB762A" w:rsidRDefault="002116C5" w:rsidP="00DB762A">
      <w:pPr>
        <w:pStyle w:val="SingleTxtG"/>
        <w:tabs>
          <w:tab w:val="left" w:pos="3261"/>
          <w:tab w:val="left" w:pos="4962"/>
        </w:tabs>
        <w:spacing w:after="240" w:line="240" w:lineRule="auto"/>
        <w:jc w:val="left"/>
        <w:rPr>
          <w:bCs/>
        </w:rPr>
      </w:pPr>
      <w:r w:rsidRPr="00DB762A">
        <w:rPr>
          <w:bCs/>
          <w:i/>
          <w:iCs/>
        </w:rPr>
        <w:t xml:space="preserve">Informal document: </w:t>
      </w:r>
      <w:r w:rsidRPr="00DB762A">
        <w:rPr>
          <w:bCs/>
          <w:i/>
          <w:iCs/>
        </w:rPr>
        <w:tab/>
      </w:r>
      <w:r w:rsidRPr="00DB762A">
        <w:rPr>
          <w:bCs/>
        </w:rPr>
        <w:t xml:space="preserve">INF.5 (Germany) </w:t>
      </w:r>
    </w:p>
    <w:p w14:paraId="2F11854F" w14:textId="15EAA5D9" w:rsidR="002116C5" w:rsidRPr="00DB762A" w:rsidRDefault="001415CE" w:rsidP="002116C5">
      <w:pPr>
        <w:pStyle w:val="SingleTxtG"/>
      </w:pPr>
      <w:r w:rsidRPr="00DB762A">
        <w:t>52</w:t>
      </w:r>
      <w:r w:rsidR="002116C5" w:rsidRPr="00DB762A">
        <w:t>.</w:t>
      </w:r>
      <w:r w:rsidR="002116C5" w:rsidRPr="00DB762A">
        <w:tab/>
        <w:t xml:space="preserve">After an exchange of views, the Joint Meeting noted that </w:t>
      </w:r>
      <w:r w:rsidR="004C47F0" w:rsidRPr="00DB762A">
        <w:t xml:space="preserve">national and international </w:t>
      </w:r>
      <w:r w:rsidR="002116C5" w:rsidRPr="00DB762A">
        <w:t xml:space="preserve">carriage of molten aluminium or similar substances in the conditions described in informal document INF.5 occurred in several countries and was addressed differently at national level. </w:t>
      </w:r>
      <w:r w:rsidR="002116C5" w:rsidRPr="00DB762A">
        <w:lastRenderedPageBreak/>
        <w:t>To get an overview of the provisions applicable at national level in each country and be in a better position to consider the need for a harmonized approach, it invited delegations to provide information to the representative of Germany on:</w:t>
      </w:r>
    </w:p>
    <w:p w14:paraId="4E33F001" w14:textId="77777777" w:rsidR="002116C5" w:rsidRPr="00DB762A" w:rsidRDefault="002116C5" w:rsidP="002116C5">
      <w:pPr>
        <w:pStyle w:val="SingleTxtG"/>
        <w:ind w:left="2268" w:hanging="567"/>
      </w:pPr>
      <w:r w:rsidRPr="00DB762A">
        <w:t>(a)</w:t>
      </w:r>
      <w:r w:rsidRPr="00DB762A">
        <w:tab/>
        <w:t xml:space="preserve">types of approvals and authorisations granted by competent authorities in their countries; and </w:t>
      </w:r>
    </w:p>
    <w:p w14:paraId="398B3B11" w14:textId="77777777" w:rsidR="002116C5" w:rsidRPr="00DB762A" w:rsidRDefault="002116C5" w:rsidP="002116C5">
      <w:pPr>
        <w:pStyle w:val="SingleTxtG"/>
        <w:ind w:left="2268" w:hanging="567"/>
      </w:pPr>
      <w:r w:rsidRPr="00DB762A">
        <w:t>(b)</w:t>
      </w:r>
      <w:r w:rsidRPr="00DB762A">
        <w:tab/>
        <w:t xml:space="preserve">data about accidents involving these substances, if available. </w:t>
      </w:r>
    </w:p>
    <w:p w14:paraId="2D65D9D0" w14:textId="65E934B2" w:rsidR="002116C5" w:rsidRPr="00DB762A" w:rsidRDefault="001415CE" w:rsidP="002116C5">
      <w:pPr>
        <w:pStyle w:val="SingleTxtG"/>
      </w:pPr>
      <w:r w:rsidRPr="00DB762A">
        <w:t>53</w:t>
      </w:r>
      <w:r w:rsidR="002116C5" w:rsidRPr="00DB762A">
        <w:t>.</w:t>
      </w:r>
      <w:r w:rsidR="002116C5" w:rsidRPr="00DB762A">
        <w:tab/>
        <w:t xml:space="preserve">The representative of Germany volunteered to compile the information received before the end of 2018 and prepare a document for a future session of the Joint Meeting. </w:t>
      </w:r>
    </w:p>
    <w:p w14:paraId="0D2C0FDC" w14:textId="745F78A4" w:rsidR="0057785E" w:rsidRPr="00DB762A" w:rsidRDefault="0057785E" w:rsidP="0057785E">
      <w:pPr>
        <w:pStyle w:val="H1G"/>
        <w:rPr>
          <w:lang w:eastAsia="ru-RU"/>
        </w:rPr>
      </w:pPr>
      <w:r w:rsidRPr="00DB762A">
        <w:tab/>
        <w:t>B.</w:t>
      </w:r>
      <w:r w:rsidRPr="00DB762A">
        <w:tab/>
      </w:r>
      <w:r w:rsidR="009B2984">
        <w:t>I</w:t>
      </w:r>
      <w:r w:rsidRPr="00DB762A">
        <w:t>mprovement of the accident report</w:t>
      </w:r>
    </w:p>
    <w:p w14:paraId="60A6D83B" w14:textId="4318FD51" w:rsidR="000A338B" w:rsidRPr="00D4632B" w:rsidRDefault="000A338B" w:rsidP="000A338B">
      <w:pPr>
        <w:pStyle w:val="SingleTxtG"/>
        <w:tabs>
          <w:tab w:val="left" w:pos="3261"/>
          <w:tab w:val="left" w:pos="4962"/>
        </w:tabs>
        <w:spacing w:after="240"/>
        <w:jc w:val="left"/>
        <w:rPr>
          <w:bCs/>
          <w:lang w:val="fr-FR"/>
        </w:rPr>
      </w:pPr>
      <w:r w:rsidRPr="00D4632B">
        <w:rPr>
          <w:bCs/>
          <w:i/>
          <w:iCs/>
          <w:lang w:val="fr-FR"/>
        </w:rPr>
        <w:t>Document:</w:t>
      </w:r>
      <w:r w:rsidRPr="00D4632B">
        <w:rPr>
          <w:bCs/>
          <w:i/>
          <w:iCs/>
          <w:lang w:val="fr-FR"/>
        </w:rPr>
        <w:tab/>
      </w:r>
      <w:r w:rsidRPr="00D4632B">
        <w:rPr>
          <w:bCs/>
          <w:lang w:val="fr-FR"/>
        </w:rPr>
        <w:t>ECE/TRANS/WP.15/AC.1/2018/26 (France)</w:t>
      </w:r>
    </w:p>
    <w:p w14:paraId="7BC23B67" w14:textId="77777777" w:rsidR="000A338B" w:rsidRPr="00DB762A" w:rsidRDefault="000A338B" w:rsidP="000A338B">
      <w:pPr>
        <w:pStyle w:val="SingleTxtG"/>
        <w:tabs>
          <w:tab w:val="left" w:pos="3261"/>
          <w:tab w:val="left" w:pos="4962"/>
        </w:tabs>
        <w:spacing w:after="240"/>
        <w:ind w:left="3249" w:hanging="2115"/>
        <w:jc w:val="left"/>
        <w:rPr>
          <w:bCs/>
        </w:rPr>
      </w:pPr>
      <w:r w:rsidRPr="00DB762A">
        <w:rPr>
          <w:bCs/>
          <w:i/>
          <w:iCs/>
        </w:rPr>
        <w:t xml:space="preserve">Informal documents: </w:t>
      </w:r>
      <w:r w:rsidRPr="00DB762A">
        <w:rPr>
          <w:bCs/>
          <w:i/>
          <w:iCs/>
        </w:rPr>
        <w:tab/>
      </w:r>
      <w:r w:rsidRPr="00DB762A">
        <w:rPr>
          <w:bCs/>
        </w:rPr>
        <w:t>INF.26 (March 2018 session) (France)</w:t>
      </w:r>
      <w:r w:rsidRPr="00DB762A">
        <w:rPr>
          <w:bCs/>
        </w:rPr>
        <w:br/>
        <w:t xml:space="preserve">INF.31 and INF.31/Rev.1 (France) </w:t>
      </w:r>
    </w:p>
    <w:p w14:paraId="656DD4CD" w14:textId="54252E48" w:rsidR="000A338B" w:rsidRPr="00DB762A" w:rsidRDefault="001415CE" w:rsidP="000A338B">
      <w:pPr>
        <w:pStyle w:val="SingleTxtG"/>
      </w:pPr>
      <w:r w:rsidRPr="00DB762A">
        <w:t>54</w:t>
      </w:r>
      <w:r w:rsidR="000A338B" w:rsidRPr="00DB762A">
        <w:t>.</w:t>
      </w:r>
      <w:r w:rsidR="000A338B" w:rsidRPr="00DB762A">
        <w:tab/>
        <w:t>After discussion, the Joint Meeting agreed on the terms of reference for improvement of accident reporting in informal document INF.31/Rev.1, as amended (see annex</w:t>
      </w:r>
      <w:r w:rsidR="00BB33CF" w:rsidRPr="00DB762A">
        <w:t xml:space="preserve"> IV</w:t>
      </w:r>
      <w:r w:rsidR="000A338B" w:rsidRPr="00DB762A">
        <w:t xml:space="preserve">). The work was entrusted to an informal working group to be led by France. </w:t>
      </w:r>
    </w:p>
    <w:p w14:paraId="299D9430" w14:textId="77777777" w:rsidR="000A338B" w:rsidRPr="00DB762A" w:rsidRDefault="000A338B" w:rsidP="000A338B">
      <w:pPr>
        <w:pStyle w:val="HChG"/>
        <w:spacing w:before="240"/>
        <w:rPr>
          <w:lang w:val="en-GB"/>
        </w:rPr>
      </w:pPr>
      <w:r w:rsidRPr="00DB762A">
        <w:rPr>
          <w:lang w:val="en-GB"/>
        </w:rPr>
        <w:tab/>
        <w:t>IX.</w:t>
      </w:r>
      <w:r w:rsidRPr="00DB762A">
        <w:rPr>
          <w:lang w:val="en-GB"/>
        </w:rPr>
        <w:tab/>
        <w:t>Election of officers for 2019 (agenda item 8)</w:t>
      </w:r>
    </w:p>
    <w:p w14:paraId="1D4AC77D" w14:textId="316D60F7" w:rsidR="000A338B" w:rsidRPr="00DB762A" w:rsidRDefault="001415CE" w:rsidP="000A338B">
      <w:pPr>
        <w:pStyle w:val="SingleTxtG"/>
        <w:rPr>
          <w:highlight w:val="yellow"/>
        </w:rPr>
      </w:pPr>
      <w:r w:rsidRPr="00DB762A">
        <w:t>55</w:t>
      </w:r>
      <w:r w:rsidR="000A338B" w:rsidRPr="00DB762A">
        <w:t>.</w:t>
      </w:r>
      <w:r w:rsidR="000A338B" w:rsidRPr="00DB762A">
        <w:tab/>
        <w:t xml:space="preserve">Upon a proposal by the representative of Romania and a proposal by the representative of Austria, Mr. C. Pfauvadel (France) was re-elected Chairman and Ms. S. </w:t>
      </w:r>
      <w:r w:rsidR="006A716E" w:rsidRPr="00DB762A">
        <w:t xml:space="preserve">García </w:t>
      </w:r>
      <w:r w:rsidR="000A338B" w:rsidRPr="00DB762A">
        <w:t>Wolfrum (Spain) was elected Vice-Chairman of the Joint Meeting for 2019.</w:t>
      </w:r>
    </w:p>
    <w:p w14:paraId="58D3B5EA" w14:textId="77777777" w:rsidR="000A338B" w:rsidRPr="00DB762A" w:rsidRDefault="000A338B" w:rsidP="000A338B">
      <w:pPr>
        <w:pStyle w:val="HChG"/>
        <w:keepNext w:val="0"/>
        <w:keepLines w:val="0"/>
        <w:suppressAutoHyphens w:val="0"/>
        <w:spacing w:before="240"/>
        <w:rPr>
          <w:lang w:val="en-GB"/>
        </w:rPr>
      </w:pPr>
      <w:r w:rsidRPr="00DB762A">
        <w:rPr>
          <w:lang w:val="en-GB"/>
        </w:rPr>
        <w:tab/>
        <w:t>X.</w:t>
      </w:r>
      <w:r w:rsidRPr="00DB762A">
        <w:rPr>
          <w:lang w:val="en-GB"/>
        </w:rPr>
        <w:tab/>
        <w:t xml:space="preserve">Future work (agenda item 9) </w:t>
      </w:r>
    </w:p>
    <w:p w14:paraId="4CF6B1FE" w14:textId="0FF6F0EC" w:rsidR="000A338B" w:rsidRPr="00DB762A" w:rsidRDefault="001415CE" w:rsidP="000A338B">
      <w:pPr>
        <w:pStyle w:val="SingleTxtG"/>
      </w:pPr>
      <w:r w:rsidRPr="00DB762A">
        <w:t>56</w:t>
      </w:r>
      <w:r w:rsidR="000A338B" w:rsidRPr="00DB762A">
        <w:t>.</w:t>
      </w:r>
      <w:r w:rsidR="000A338B" w:rsidRPr="00DB762A">
        <w:tab/>
        <w:t xml:space="preserve">The Joint Meeting was informed that the next session would be held in </w:t>
      </w:r>
      <w:r w:rsidR="006A716E" w:rsidRPr="00DB762A">
        <w:t xml:space="preserve">Bern </w:t>
      </w:r>
      <w:r w:rsidR="000A338B" w:rsidRPr="00DB762A">
        <w:t>from 18 to 22 March 2019 and that the deadline for submission of documents was 21 December 2018.</w:t>
      </w:r>
    </w:p>
    <w:p w14:paraId="33562007" w14:textId="6B5E90EA" w:rsidR="002116C5" w:rsidRPr="00DB762A" w:rsidRDefault="002116C5" w:rsidP="002116C5">
      <w:pPr>
        <w:pStyle w:val="HChG"/>
        <w:rPr>
          <w:lang w:val="en-GB"/>
        </w:rPr>
      </w:pPr>
      <w:r w:rsidRPr="00DB762A">
        <w:rPr>
          <w:lang w:val="en-GB"/>
        </w:rPr>
        <w:tab/>
        <w:t>XI.</w:t>
      </w:r>
      <w:r w:rsidRPr="00DB762A">
        <w:rPr>
          <w:lang w:val="en-GB"/>
        </w:rPr>
        <w:tab/>
        <w:t>Any other business (agenda item 10)</w:t>
      </w:r>
    </w:p>
    <w:p w14:paraId="0A178D94" w14:textId="77777777" w:rsidR="002116C5" w:rsidRPr="00DB762A" w:rsidRDefault="002116C5" w:rsidP="002116C5">
      <w:pPr>
        <w:pStyle w:val="H1G"/>
        <w:rPr>
          <w:lang w:eastAsia="ru-RU"/>
        </w:rPr>
      </w:pPr>
      <w:r w:rsidRPr="00DB762A">
        <w:tab/>
        <w:t>A.</w:t>
      </w:r>
      <w:r w:rsidRPr="00DB762A">
        <w:tab/>
        <w:t>References to “competent authority” in ADR</w:t>
      </w:r>
    </w:p>
    <w:p w14:paraId="449F22DC" w14:textId="0F855871" w:rsidR="002116C5" w:rsidRPr="00DB762A" w:rsidRDefault="002116C5" w:rsidP="002116C5">
      <w:pPr>
        <w:pStyle w:val="SingleTxtG"/>
        <w:tabs>
          <w:tab w:val="left" w:pos="3261"/>
          <w:tab w:val="left" w:pos="4962"/>
        </w:tabs>
        <w:spacing w:after="240"/>
        <w:jc w:val="left"/>
        <w:rPr>
          <w:bCs/>
        </w:rPr>
      </w:pPr>
      <w:r w:rsidRPr="00DB762A">
        <w:rPr>
          <w:bCs/>
          <w:i/>
          <w:iCs/>
        </w:rPr>
        <w:t xml:space="preserve">Informal document: </w:t>
      </w:r>
      <w:r w:rsidRPr="00DB762A">
        <w:rPr>
          <w:bCs/>
          <w:i/>
          <w:iCs/>
        </w:rPr>
        <w:tab/>
      </w:r>
      <w:r w:rsidRPr="00DB762A">
        <w:rPr>
          <w:bCs/>
        </w:rPr>
        <w:t xml:space="preserve">INF.21 (Secretariat) </w:t>
      </w:r>
    </w:p>
    <w:p w14:paraId="28091F53" w14:textId="099E9E34" w:rsidR="002116C5" w:rsidRPr="00DB762A" w:rsidRDefault="001415CE" w:rsidP="002116C5">
      <w:pPr>
        <w:pStyle w:val="SingleTxtG"/>
      </w:pPr>
      <w:r w:rsidRPr="00DB762A">
        <w:t>57</w:t>
      </w:r>
      <w:r w:rsidR="002116C5" w:rsidRPr="00DB762A">
        <w:t>.</w:t>
      </w:r>
      <w:r w:rsidR="002116C5" w:rsidRPr="00DB762A">
        <w:tab/>
        <w:t xml:space="preserve">The Joint Meeting welcomed the work done by the secretariat. Acknowledging that it would be difficult to analyse in plenary all the questions raised in informal document INF.21, the Joint Meeting agreed to entrust their consideration to an informal working group. It was suggested to undertake the work in two phases: </w:t>
      </w:r>
    </w:p>
    <w:p w14:paraId="01037EFC" w14:textId="77777777" w:rsidR="002116C5" w:rsidRPr="00DB762A" w:rsidRDefault="002116C5" w:rsidP="002116C5">
      <w:pPr>
        <w:pStyle w:val="SingleTxtG"/>
        <w:ind w:left="2268" w:hanging="567"/>
      </w:pPr>
      <w:r w:rsidRPr="00DB762A">
        <w:t>(a)</w:t>
      </w:r>
      <w:r w:rsidRPr="00DB762A">
        <w:tab/>
        <w:t>first, agree on a set of guiding principles for the definition of the type of competent authority that needs to be referred to and how; and</w:t>
      </w:r>
    </w:p>
    <w:p w14:paraId="7E2B3620" w14:textId="77777777" w:rsidR="002116C5" w:rsidRPr="00DB762A" w:rsidRDefault="002116C5" w:rsidP="002116C5">
      <w:pPr>
        <w:pStyle w:val="SingleTxtG"/>
        <w:ind w:left="2268" w:hanging="567"/>
      </w:pPr>
      <w:r w:rsidRPr="00DB762A">
        <w:t>(b)</w:t>
      </w:r>
      <w:r w:rsidRPr="00DB762A">
        <w:tab/>
        <w:t>second, revise the existing references in accordance with these principles.</w:t>
      </w:r>
    </w:p>
    <w:p w14:paraId="5AC86CC0" w14:textId="2527D861" w:rsidR="002116C5" w:rsidRPr="00DB762A" w:rsidRDefault="001415CE" w:rsidP="002116C5">
      <w:pPr>
        <w:pStyle w:val="SingleTxtG"/>
      </w:pPr>
      <w:r w:rsidRPr="00DB762A">
        <w:t>58</w:t>
      </w:r>
      <w:r w:rsidR="002116C5" w:rsidRPr="00DB762A">
        <w:t>.</w:t>
      </w:r>
      <w:r w:rsidR="002116C5" w:rsidRPr="00DB762A">
        <w:tab/>
        <w:t xml:space="preserve">It was suggested that the outcome of the discussions of the </w:t>
      </w:r>
      <w:r w:rsidR="004C47F0" w:rsidRPr="00DB762A">
        <w:t xml:space="preserve">informal </w:t>
      </w:r>
      <w:r w:rsidR="002116C5" w:rsidRPr="00DB762A">
        <w:t xml:space="preserve">working group on </w:t>
      </w:r>
      <w:r w:rsidR="00C16C92">
        <w:t xml:space="preserve">the </w:t>
      </w:r>
      <w:r w:rsidR="004C47F0" w:rsidRPr="00DB762A">
        <w:t xml:space="preserve">inspection and certification of </w:t>
      </w:r>
      <w:r w:rsidR="002116C5" w:rsidRPr="00DB762A">
        <w:t xml:space="preserve">tanks on matters related to references to competent authorities should also be taken into account. </w:t>
      </w:r>
    </w:p>
    <w:p w14:paraId="4B243DA4" w14:textId="04A4D084" w:rsidR="007717DA" w:rsidRPr="00DB762A" w:rsidRDefault="001415CE" w:rsidP="004C47F0">
      <w:pPr>
        <w:pStyle w:val="SingleTxtG"/>
      </w:pPr>
      <w:r w:rsidRPr="00DB762A">
        <w:lastRenderedPageBreak/>
        <w:t>59</w:t>
      </w:r>
      <w:r w:rsidR="002116C5" w:rsidRPr="00DB762A">
        <w:t>.</w:t>
      </w:r>
      <w:r w:rsidR="002116C5" w:rsidRPr="00DB762A">
        <w:tab/>
        <w:t xml:space="preserve">The Joint Meeting invited interested delegations to consider submitting a document to the </w:t>
      </w:r>
      <w:r w:rsidR="002116C5" w:rsidRPr="00DB762A">
        <w:tab/>
        <w:t>March 2019 session with proposed terms of reference for the work. The Joint Meeting considered that the participation of the secretariat in the meetings of the informal working group, as time and resources allowed, was desirable.</w:t>
      </w:r>
    </w:p>
    <w:p w14:paraId="44760A96" w14:textId="77777777" w:rsidR="002116C5" w:rsidRPr="00DB762A" w:rsidRDefault="002116C5" w:rsidP="00DB762A">
      <w:pPr>
        <w:pStyle w:val="H1G"/>
        <w:spacing w:before="320" w:line="240" w:lineRule="auto"/>
        <w:rPr>
          <w:lang w:eastAsia="ru-RU"/>
        </w:rPr>
      </w:pPr>
      <w:r w:rsidRPr="00DB762A">
        <w:tab/>
        <w:t>B.</w:t>
      </w:r>
      <w:r w:rsidRPr="00DB762A">
        <w:tab/>
        <w:t>E-learning for transport operators</w:t>
      </w:r>
    </w:p>
    <w:p w14:paraId="7F8102D7" w14:textId="77777777" w:rsidR="002116C5" w:rsidRPr="00DB762A" w:rsidRDefault="002116C5" w:rsidP="00DB762A">
      <w:pPr>
        <w:pStyle w:val="SingleTxtG"/>
        <w:tabs>
          <w:tab w:val="left" w:pos="1985"/>
          <w:tab w:val="left" w:pos="3261"/>
          <w:tab w:val="left" w:pos="4962"/>
        </w:tabs>
        <w:spacing w:after="200" w:line="240" w:lineRule="auto"/>
        <w:jc w:val="left"/>
        <w:rPr>
          <w:bCs/>
        </w:rPr>
      </w:pPr>
      <w:r w:rsidRPr="00DB762A">
        <w:rPr>
          <w:bCs/>
          <w:i/>
          <w:iCs/>
        </w:rPr>
        <w:t xml:space="preserve">Informal document: </w:t>
      </w:r>
      <w:r w:rsidRPr="00DB762A">
        <w:rPr>
          <w:bCs/>
          <w:i/>
          <w:iCs/>
        </w:rPr>
        <w:tab/>
      </w:r>
      <w:r w:rsidRPr="00DB762A">
        <w:rPr>
          <w:bCs/>
        </w:rPr>
        <w:t xml:space="preserve">INF.19 (IRU) </w:t>
      </w:r>
    </w:p>
    <w:p w14:paraId="1356F6F5" w14:textId="4C2600FE" w:rsidR="002116C5" w:rsidRPr="00DB762A" w:rsidRDefault="001415CE" w:rsidP="00DB762A">
      <w:pPr>
        <w:pStyle w:val="SingleTxtG"/>
        <w:tabs>
          <w:tab w:val="left" w:pos="1701"/>
          <w:tab w:val="left" w:pos="3261"/>
          <w:tab w:val="left" w:pos="4962"/>
        </w:tabs>
        <w:spacing w:after="240" w:line="240" w:lineRule="auto"/>
        <w:rPr>
          <w:bCs/>
        </w:rPr>
      </w:pPr>
      <w:r w:rsidRPr="00DB762A">
        <w:rPr>
          <w:bCs/>
        </w:rPr>
        <w:t>60</w:t>
      </w:r>
      <w:r w:rsidR="002116C5" w:rsidRPr="00DB762A">
        <w:rPr>
          <w:bCs/>
        </w:rPr>
        <w:t>.</w:t>
      </w:r>
      <w:r w:rsidR="002116C5" w:rsidRPr="00DB762A">
        <w:rPr>
          <w:bCs/>
        </w:rPr>
        <w:tab/>
        <w:t xml:space="preserve">The Joint Meeting noted that e-learning was addressed differently at national level. Some delegations were of the opinion that the decision to allow e-learning for RID/ADR/ADN purposes, as well as the definition of the conditions under which a training body could be </w:t>
      </w:r>
      <w:r w:rsidR="004C47F0" w:rsidRPr="00DB762A">
        <w:rPr>
          <w:bCs/>
        </w:rPr>
        <w:t xml:space="preserve">approved </w:t>
      </w:r>
      <w:r w:rsidR="002116C5" w:rsidRPr="00DB762A">
        <w:rPr>
          <w:bCs/>
        </w:rPr>
        <w:t xml:space="preserve">to deliver such training should be left to the discretion of the competent authorities. Others considered that it would be beneficial to define a general framework in RID/ADR/ADN for this type of training. There was on the contrary, general agreement that e-learning or IT supported learning should not cover 100% of the learning programme, as the interactions between trainers and trainees and the exchange of experiences among trainees was considered crucial to the learning process. </w:t>
      </w:r>
    </w:p>
    <w:p w14:paraId="0A4CCA6E" w14:textId="64F996FF" w:rsidR="002116C5" w:rsidRPr="00DB762A" w:rsidRDefault="001415CE" w:rsidP="002116C5">
      <w:pPr>
        <w:pStyle w:val="SingleTxtG"/>
        <w:tabs>
          <w:tab w:val="left" w:pos="1701"/>
          <w:tab w:val="left" w:pos="3261"/>
          <w:tab w:val="left" w:pos="4962"/>
        </w:tabs>
        <w:spacing w:after="240"/>
        <w:rPr>
          <w:bCs/>
        </w:rPr>
      </w:pPr>
      <w:r w:rsidRPr="00DB762A">
        <w:rPr>
          <w:bCs/>
        </w:rPr>
        <w:t>61</w:t>
      </w:r>
      <w:r w:rsidR="002116C5" w:rsidRPr="00DB762A">
        <w:rPr>
          <w:bCs/>
        </w:rPr>
        <w:t>.</w:t>
      </w:r>
      <w:r w:rsidR="002116C5" w:rsidRPr="00DB762A">
        <w:rPr>
          <w:bCs/>
        </w:rPr>
        <w:tab/>
        <w:t xml:space="preserve">The Joint Meeting invited the representative of IRU to revise the proposal in document ECE/TRANS/WP.15/AC.1/2018/10 in the light of the comments made and to submit it for consideration at the next sessions of </w:t>
      </w:r>
      <w:r w:rsidR="00BE6F46" w:rsidRPr="00DB762A">
        <w:rPr>
          <w:bCs/>
        </w:rPr>
        <w:t>WP.15</w:t>
      </w:r>
      <w:r w:rsidR="002116C5" w:rsidRPr="00DB762A">
        <w:rPr>
          <w:bCs/>
        </w:rPr>
        <w:t xml:space="preserve"> and the ADN Safety Committee. This would enable them to assess whether specific issues need to be addressed. The representative of IRU was invited to review the proposal to take account of the comments made by these bodies and come back with a new document at a future session of the Joint Meeting.</w:t>
      </w:r>
    </w:p>
    <w:p w14:paraId="4A0C859B" w14:textId="77777777" w:rsidR="002116C5" w:rsidRPr="00DB762A" w:rsidRDefault="002116C5" w:rsidP="00DB762A">
      <w:pPr>
        <w:pStyle w:val="H1G"/>
        <w:spacing w:before="320" w:line="240" w:lineRule="auto"/>
      </w:pPr>
      <w:r w:rsidRPr="00DB762A">
        <w:tab/>
        <w:t>C.</w:t>
      </w:r>
      <w:r w:rsidRPr="00DB762A">
        <w:tab/>
        <w:t>Transport of hazardous waste</w:t>
      </w:r>
    </w:p>
    <w:p w14:paraId="5D6E6346" w14:textId="34D03C06" w:rsidR="002116C5" w:rsidRPr="00DB762A" w:rsidRDefault="002116C5" w:rsidP="00DB762A">
      <w:pPr>
        <w:pStyle w:val="SingleTxtG"/>
        <w:tabs>
          <w:tab w:val="left" w:pos="3261"/>
          <w:tab w:val="left" w:pos="4962"/>
        </w:tabs>
        <w:spacing w:after="200"/>
        <w:jc w:val="left"/>
        <w:rPr>
          <w:bCs/>
        </w:rPr>
      </w:pPr>
      <w:r w:rsidRPr="00DB762A">
        <w:rPr>
          <w:bCs/>
          <w:i/>
          <w:iCs/>
        </w:rPr>
        <w:t xml:space="preserve">Informal document: </w:t>
      </w:r>
      <w:r w:rsidRPr="00DB762A">
        <w:rPr>
          <w:bCs/>
          <w:i/>
          <w:iCs/>
        </w:rPr>
        <w:tab/>
      </w:r>
      <w:r w:rsidRPr="00DB762A">
        <w:rPr>
          <w:bCs/>
        </w:rPr>
        <w:t>INF.4 (FEAD</w:t>
      </w:r>
      <w:r w:rsidR="00C81359" w:rsidRPr="00DB762A">
        <w:rPr>
          <w:bCs/>
        </w:rPr>
        <w:t>)</w:t>
      </w:r>
    </w:p>
    <w:p w14:paraId="22A8AE72" w14:textId="016F13E5" w:rsidR="002116C5" w:rsidRPr="00DB762A" w:rsidRDefault="00BE6F46" w:rsidP="00DB762A">
      <w:pPr>
        <w:pStyle w:val="SingleTxtG"/>
        <w:tabs>
          <w:tab w:val="left" w:pos="1701"/>
          <w:tab w:val="left" w:pos="3261"/>
          <w:tab w:val="left" w:pos="4962"/>
        </w:tabs>
        <w:spacing w:after="240" w:line="240" w:lineRule="auto"/>
        <w:rPr>
          <w:bCs/>
        </w:rPr>
      </w:pPr>
      <w:r w:rsidRPr="00DB762A">
        <w:rPr>
          <w:bCs/>
        </w:rPr>
        <w:t>62.</w:t>
      </w:r>
      <w:r w:rsidRPr="00DB762A">
        <w:rPr>
          <w:bCs/>
        </w:rPr>
        <w:tab/>
      </w:r>
      <w:r w:rsidR="002116C5" w:rsidRPr="00DB762A">
        <w:rPr>
          <w:bCs/>
        </w:rPr>
        <w:t>There was general support for the establishment of an informal working group led by FEAD. As a first step, the Joint Meeting requested the representative of FEAD to prepare a list of the issues, including a description</w:t>
      </w:r>
      <w:r w:rsidR="004C47F0" w:rsidRPr="00DB762A">
        <w:rPr>
          <w:bCs/>
        </w:rPr>
        <w:t xml:space="preserve"> of the legal and factual situation in each case</w:t>
      </w:r>
      <w:r w:rsidR="002116C5" w:rsidRPr="00DB762A">
        <w:rPr>
          <w:bCs/>
        </w:rPr>
        <w:t xml:space="preserve">, that need to be addressed and to circulate it for comments to all those who expressed interest in participating in the work, well in advance </w:t>
      </w:r>
      <w:r w:rsidR="004C47F0" w:rsidRPr="00DB762A">
        <w:rPr>
          <w:bCs/>
        </w:rPr>
        <w:t xml:space="preserve">of </w:t>
      </w:r>
      <w:r w:rsidR="002116C5" w:rsidRPr="00DB762A">
        <w:rPr>
          <w:bCs/>
        </w:rPr>
        <w:t>the first meeting of the informal working group. A document compiling all comments received should be submitted to a future session of the Joint Meeting for examination, and the Joint Meeting would consider at that time the most appropriate way to deal with them.</w:t>
      </w:r>
    </w:p>
    <w:p w14:paraId="1F5F36B9" w14:textId="65A3D7F5" w:rsidR="000A338B" w:rsidRPr="00DB762A" w:rsidRDefault="000A338B" w:rsidP="00DB762A">
      <w:pPr>
        <w:pStyle w:val="H1G"/>
        <w:spacing w:before="320"/>
      </w:pPr>
      <w:r w:rsidRPr="00DB762A">
        <w:tab/>
        <w:t>D.</w:t>
      </w:r>
      <w:r w:rsidRPr="00DB762A">
        <w:tab/>
        <w:t>Tribute to Mr. H</w:t>
      </w:r>
      <w:r w:rsidR="00403D2A">
        <w:t>.</w:t>
      </w:r>
      <w:r w:rsidRPr="00DB762A">
        <w:t xml:space="preserve"> Rein (Germany)</w:t>
      </w:r>
    </w:p>
    <w:p w14:paraId="22C31433" w14:textId="783DA1CB" w:rsidR="000A338B" w:rsidRPr="00DB762A" w:rsidRDefault="000A338B" w:rsidP="00DB762A">
      <w:pPr>
        <w:pStyle w:val="SingleTxtG"/>
        <w:tabs>
          <w:tab w:val="left" w:pos="1701"/>
          <w:tab w:val="left" w:pos="3261"/>
          <w:tab w:val="left" w:pos="4962"/>
        </w:tabs>
        <w:spacing w:after="240" w:line="240" w:lineRule="auto"/>
        <w:rPr>
          <w:bCs/>
        </w:rPr>
      </w:pPr>
      <w:r w:rsidRPr="00DB762A">
        <w:rPr>
          <w:bCs/>
        </w:rPr>
        <w:t>63.</w:t>
      </w:r>
      <w:r w:rsidRPr="00DB762A">
        <w:rPr>
          <w:bCs/>
        </w:rPr>
        <w:tab/>
        <w:t>The Joint Meeting was informed that Mr. Rein, who has been vice-chairing the sessions since 1996, was attending the session for the last time since he would be retiring soon. The Joint Meeting expressed its appreciation for his commendable work and engagement for the safe transport of dangerous goods and wished him a long and enjoyable retirement.</w:t>
      </w:r>
    </w:p>
    <w:p w14:paraId="2FEE22E2" w14:textId="6ADBCFAF" w:rsidR="000A338B" w:rsidRPr="00DB762A" w:rsidRDefault="00CB0145" w:rsidP="000A338B">
      <w:pPr>
        <w:pStyle w:val="HChG"/>
        <w:keepNext w:val="0"/>
        <w:keepLines w:val="0"/>
        <w:suppressAutoHyphens w:val="0"/>
        <w:spacing w:before="240"/>
        <w:rPr>
          <w:lang w:val="en-GB" w:eastAsia="zh-CN"/>
        </w:rPr>
      </w:pPr>
      <w:r w:rsidRPr="00DB762A">
        <w:rPr>
          <w:lang w:val="en-GB" w:eastAsia="zh-CN"/>
        </w:rPr>
        <w:tab/>
      </w:r>
      <w:r w:rsidR="000A338B" w:rsidRPr="00DB762A">
        <w:rPr>
          <w:lang w:val="en-GB" w:eastAsia="zh-CN"/>
        </w:rPr>
        <w:t>XII.</w:t>
      </w:r>
      <w:r w:rsidR="000A338B" w:rsidRPr="00DB762A">
        <w:rPr>
          <w:lang w:val="en-GB" w:eastAsia="zh-CN"/>
        </w:rPr>
        <w:tab/>
        <w:t>Adoption of the report (agenda item 11)</w:t>
      </w:r>
    </w:p>
    <w:p w14:paraId="4EA751AE" w14:textId="1D5ADA83" w:rsidR="007607EA" w:rsidRPr="00DB762A" w:rsidRDefault="000A338B" w:rsidP="00DB762A">
      <w:pPr>
        <w:pStyle w:val="SingleTxtG"/>
        <w:rPr>
          <w:highlight w:val="yellow"/>
        </w:rPr>
      </w:pPr>
      <w:r w:rsidRPr="00DB762A">
        <w:t>64.</w:t>
      </w:r>
      <w:r w:rsidRPr="00DB762A">
        <w:tab/>
        <w:t>The Joint Meeting adopted the report on its autumn 2018 session and its annexes on the basis of a draft prepared by the secretariat.</w:t>
      </w:r>
      <w:r w:rsidR="007607EA" w:rsidRPr="00DB762A">
        <w:rPr>
          <w:highlight w:val="yellow"/>
        </w:rPr>
        <w:br w:type="page"/>
      </w:r>
    </w:p>
    <w:p w14:paraId="04E6E226" w14:textId="37135721" w:rsidR="007607EA" w:rsidRPr="00DB762A" w:rsidRDefault="007D184D" w:rsidP="007607EA">
      <w:pPr>
        <w:pStyle w:val="HChG"/>
        <w:rPr>
          <w:lang w:val="en-GB"/>
        </w:rPr>
      </w:pPr>
      <w:r w:rsidRPr="00DB762A">
        <w:rPr>
          <w:lang w:val="en-GB"/>
        </w:rPr>
        <w:lastRenderedPageBreak/>
        <w:tab/>
      </w:r>
      <w:r w:rsidRPr="00DB762A">
        <w:rPr>
          <w:lang w:val="en-GB"/>
        </w:rPr>
        <w:tab/>
      </w:r>
      <w:r w:rsidR="007607EA" w:rsidRPr="00DB762A">
        <w:rPr>
          <w:lang w:val="en-GB"/>
        </w:rPr>
        <w:t>Annex I</w:t>
      </w:r>
    </w:p>
    <w:p w14:paraId="090C5C0A" w14:textId="77777777" w:rsidR="00503F08" w:rsidRPr="00DB762A" w:rsidRDefault="007607EA" w:rsidP="007607EA">
      <w:pPr>
        <w:pStyle w:val="H1G"/>
      </w:pPr>
      <w:r w:rsidRPr="00DB762A">
        <w:tab/>
      </w:r>
      <w:r w:rsidRPr="00DB762A">
        <w:tab/>
        <w:t>Report of the Working Group on Tanks</w:t>
      </w:r>
    </w:p>
    <w:p w14:paraId="376F63CE" w14:textId="417D8E69" w:rsidR="00EC0D05" w:rsidRPr="00DB762A" w:rsidRDefault="007607EA" w:rsidP="00503F08">
      <w:pPr>
        <w:pStyle w:val="SingleTxtG"/>
      </w:pPr>
      <w:r w:rsidRPr="00DB762A">
        <w:t>(see ECE/TRANS/WP.15/AC.1/</w:t>
      </w:r>
      <w:r w:rsidR="00BE6F46" w:rsidRPr="00DB762A">
        <w:t>152</w:t>
      </w:r>
      <w:r w:rsidRPr="00DB762A">
        <w:t>/Add.</w:t>
      </w:r>
      <w:r w:rsidR="00583B15" w:rsidRPr="00DB762A">
        <w:t>1</w:t>
      </w:r>
      <w:r w:rsidRPr="00DB762A">
        <w:t>)</w:t>
      </w:r>
    </w:p>
    <w:p w14:paraId="570F720F" w14:textId="77777777" w:rsidR="00EC0D05" w:rsidRPr="00DB762A" w:rsidRDefault="00EC0D05">
      <w:pPr>
        <w:suppressAutoHyphens w:val="0"/>
        <w:spacing w:line="240" w:lineRule="auto"/>
        <w:rPr>
          <w:highlight w:val="yellow"/>
        </w:rPr>
      </w:pPr>
      <w:r w:rsidRPr="00DB762A">
        <w:rPr>
          <w:highlight w:val="yellow"/>
        </w:rPr>
        <w:br w:type="page"/>
      </w:r>
    </w:p>
    <w:p w14:paraId="4322BB36" w14:textId="797C7D82" w:rsidR="00583B15" w:rsidRPr="00DB762A" w:rsidRDefault="00583B15" w:rsidP="00583B15">
      <w:pPr>
        <w:pStyle w:val="HChG"/>
        <w:rPr>
          <w:lang w:val="en-GB"/>
        </w:rPr>
      </w:pPr>
      <w:r w:rsidRPr="00DB762A">
        <w:rPr>
          <w:lang w:val="en-GB"/>
        </w:rPr>
        <w:lastRenderedPageBreak/>
        <w:tab/>
      </w:r>
      <w:r w:rsidRPr="00DB762A">
        <w:rPr>
          <w:lang w:val="en-GB"/>
        </w:rPr>
        <w:tab/>
        <w:t>Annex II</w:t>
      </w:r>
    </w:p>
    <w:p w14:paraId="2674DE23" w14:textId="08CD27AE" w:rsidR="00583B15" w:rsidRPr="00DB762A" w:rsidRDefault="00583B15" w:rsidP="00BB557A">
      <w:pPr>
        <w:pStyle w:val="HChG"/>
      </w:pPr>
      <w:r w:rsidRPr="00DB762A">
        <w:tab/>
      </w:r>
      <w:r w:rsidRPr="00DB762A">
        <w:tab/>
        <w:t xml:space="preserve">Draft amendments to RID, ADR and ADN for entry into force on 1 January </w:t>
      </w:r>
      <w:r w:rsidR="00627F52">
        <w:t>2021</w:t>
      </w:r>
      <w:r w:rsidR="00627F52" w:rsidRPr="00DB762A">
        <w:t xml:space="preserve"> </w:t>
      </w:r>
    </w:p>
    <w:p w14:paraId="14A77A86" w14:textId="77777777" w:rsidR="00F85EE3" w:rsidRPr="00D4632B" w:rsidRDefault="00F85EE3" w:rsidP="00BB557A">
      <w:pPr>
        <w:pStyle w:val="H1G"/>
        <w:rPr>
          <w:lang w:val="fr-FR"/>
        </w:rPr>
      </w:pPr>
      <w:r w:rsidRPr="00DB762A">
        <w:tab/>
      </w:r>
      <w:r w:rsidRPr="00DB762A">
        <w:tab/>
      </w:r>
      <w:proofErr w:type="spellStart"/>
      <w:r w:rsidRPr="00D4632B">
        <w:rPr>
          <w:lang w:val="fr-FR"/>
        </w:rPr>
        <w:t>Chapter</w:t>
      </w:r>
      <w:proofErr w:type="spellEnd"/>
      <w:r w:rsidRPr="00D4632B">
        <w:rPr>
          <w:lang w:val="fr-FR"/>
        </w:rPr>
        <w:t xml:space="preserve"> 1.4</w:t>
      </w:r>
    </w:p>
    <w:p w14:paraId="7814338E" w14:textId="77777777" w:rsidR="00F85EE3" w:rsidRPr="00D4632B" w:rsidRDefault="00F85EE3" w:rsidP="00C4318D">
      <w:pPr>
        <w:pStyle w:val="SingleTxtG"/>
        <w:rPr>
          <w:lang w:val="fr-FR"/>
        </w:rPr>
      </w:pPr>
      <w:bookmarkStart w:id="3" w:name="_Hlk525252460"/>
      <w:r w:rsidRPr="00D4632B">
        <w:rPr>
          <w:lang w:val="fr-FR"/>
        </w:rPr>
        <w:t>1.4.3.3</w:t>
      </w:r>
      <w:r w:rsidRPr="00D4632B">
        <w:rPr>
          <w:lang w:val="fr-FR"/>
        </w:rPr>
        <w:tab/>
        <w:t xml:space="preserve"> (e)</w:t>
      </w:r>
      <w:bookmarkEnd w:id="3"/>
      <w:r w:rsidRPr="00D4632B">
        <w:rPr>
          <w:lang w:val="fr-FR"/>
        </w:rPr>
        <w:tab/>
      </w:r>
      <w:proofErr w:type="spellStart"/>
      <w:r w:rsidRPr="00D4632B">
        <w:rPr>
          <w:lang w:val="fr-FR"/>
        </w:rPr>
        <w:t>Delete</w:t>
      </w:r>
      <w:proofErr w:type="spellEnd"/>
      <w:r w:rsidRPr="00D4632B">
        <w:rPr>
          <w:lang w:val="fr-FR"/>
        </w:rPr>
        <w:t xml:space="preserve"> “maximum” (</w:t>
      </w:r>
      <w:proofErr w:type="spellStart"/>
      <w:r w:rsidRPr="00D4632B">
        <w:rPr>
          <w:lang w:val="fr-FR"/>
        </w:rPr>
        <w:t>twice</w:t>
      </w:r>
      <w:proofErr w:type="spellEnd"/>
      <w:r w:rsidRPr="00D4632B">
        <w:rPr>
          <w:lang w:val="fr-FR"/>
        </w:rPr>
        <w:t>).</w:t>
      </w:r>
    </w:p>
    <w:p w14:paraId="3A0AB65D" w14:textId="77777777" w:rsidR="00F85EE3" w:rsidRPr="00D4632B" w:rsidRDefault="00F85EE3" w:rsidP="00C4318D">
      <w:pPr>
        <w:pStyle w:val="SingleTxtG"/>
        <w:ind w:left="0"/>
        <w:rPr>
          <w:i/>
          <w:iCs/>
          <w:lang w:val="fr-FR"/>
        </w:rPr>
      </w:pPr>
      <w:r w:rsidRPr="00D4632B">
        <w:rPr>
          <w:lang w:val="fr-FR"/>
        </w:rPr>
        <w:tab/>
      </w:r>
      <w:r w:rsidRPr="00D4632B">
        <w:rPr>
          <w:lang w:val="fr-FR"/>
        </w:rPr>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INF.30)</w:t>
      </w:r>
    </w:p>
    <w:p w14:paraId="4802D74A" w14:textId="77777777" w:rsidR="00F85EE3" w:rsidRPr="00DB762A" w:rsidRDefault="00F85EE3" w:rsidP="00BB557A">
      <w:pPr>
        <w:pStyle w:val="H1G"/>
      </w:pPr>
      <w:r w:rsidRPr="00D4632B">
        <w:rPr>
          <w:lang w:val="fr-FR"/>
        </w:rPr>
        <w:tab/>
      </w:r>
      <w:r w:rsidRPr="00D4632B">
        <w:rPr>
          <w:lang w:val="fr-FR"/>
        </w:rPr>
        <w:tab/>
      </w:r>
      <w:r w:rsidRPr="00DB762A">
        <w:t>Chapter 1.6</w:t>
      </w:r>
    </w:p>
    <w:p w14:paraId="300A12FE" w14:textId="4177EB9E" w:rsidR="00F85EE3" w:rsidRPr="00DB762A" w:rsidRDefault="00AC34A9" w:rsidP="00C4318D">
      <w:pPr>
        <w:pStyle w:val="SingleTxtG"/>
      </w:pPr>
      <w:r>
        <w:t>1.6.2.16</w:t>
      </w:r>
      <w:r>
        <w:tab/>
      </w:r>
      <w:r w:rsidR="00F85EE3" w:rsidRPr="00DB762A">
        <w:t>Add the following new paragraph:</w:t>
      </w:r>
    </w:p>
    <w:p w14:paraId="0D875D56" w14:textId="42C30DB1" w:rsidR="00F85EE3" w:rsidRPr="00DB762A" w:rsidRDefault="00F85EE3" w:rsidP="00C4318D">
      <w:pPr>
        <w:pStyle w:val="SingleTxtG"/>
        <w:spacing w:before="120"/>
        <w:rPr>
          <w:i/>
        </w:rPr>
      </w:pPr>
      <w:r w:rsidRPr="00DB762A">
        <w:t>“</w:t>
      </w:r>
      <w:r w:rsidR="00AC34A9">
        <w:t>1.6.2.16</w:t>
      </w:r>
      <w:r w:rsidR="00AC34A9">
        <w:tab/>
      </w:r>
      <w:r w:rsidRPr="00DB762A">
        <w:t>The requirements of NOTE 3 of 6.2.3.5.1 applicable until 31 December 2020 may continue to be applied until 31 December 2022.”</w:t>
      </w:r>
    </w:p>
    <w:p w14:paraId="1D147586" w14:textId="77777777" w:rsidR="00F85EE3" w:rsidRPr="00D4632B" w:rsidRDefault="00F85EE3" w:rsidP="00C4318D">
      <w:pPr>
        <w:pStyle w:val="SingleTxtG"/>
        <w:rPr>
          <w:lang w:val="fr-FR"/>
        </w:rPr>
      </w:pPr>
      <w:r w:rsidRPr="00DB762A">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34ED61E2" w14:textId="1D9EC9EE" w:rsidR="00F85EE3" w:rsidRPr="00DB762A" w:rsidRDefault="00F85EE3" w:rsidP="00C4318D">
      <w:pPr>
        <w:pStyle w:val="H23G"/>
      </w:pPr>
      <w:bookmarkStart w:id="4" w:name="_Hlk525252384"/>
      <w:r w:rsidRPr="00D4632B">
        <w:rPr>
          <w:lang w:val="fr-FR"/>
        </w:rPr>
        <w:tab/>
      </w:r>
      <w:r w:rsidRPr="00D4632B">
        <w:rPr>
          <w:lang w:val="fr-FR"/>
        </w:rPr>
        <w:tab/>
      </w:r>
      <w:r w:rsidRPr="00DB762A">
        <w:t>[ADR</w:t>
      </w:r>
      <w:r w:rsidR="00687215">
        <w:t xml:space="preserve"> only</w:t>
      </w:r>
      <w:r w:rsidRPr="00DB762A">
        <w:t>]</w:t>
      </w:r>
    </w:p>
    <w:bookmarkEnd w:id="4"/>
    <w:p w14:paraId="11D0EA87" w14:textId="3B41139D" w:rsidR="00F85EE3" w:rsidRPr="00DB762A" w:rsidRDefault="00F85EE3" w:rsidP="00C4318D">
      <w:pPr>
        <w:pStyle w:val="SingleTxtG"/>
      </w:pPr>
      <w:r w:rsidRPr="00DB762A">
        <w:t>1.6.3.100</w:t>
      </w:r>
      <w:r w:rsidRPr="00DB762A">
        <w:tab/>
        <w:t>Merge the two existing paragraphs</w:t>
      </w:r>
      <w:r w:rsidR="00CE1950">
        <w:t xml:space="preserve"> under the title</w:t>
      </w:r>
      <w:r w:rsidR="007E456C">
        <w:t xml:space="preserve">, renumber them </w:t>
      </w:r>
      <w:proofErr w:type="gramStart"/>
      <w:r w:rsidR="007E456C">
        <w:t xml:space="preserve">as </w:t>
      </w:r>
      <w:r w:rsidRPr="00DB762A">
        <w:t xml:space="preserve"> 1.6.3.100.1</w:t>
      </w:r>
      <w:proofErr w:type="gramEnd"/>
      <w:r w:rsidRPr="00DB762A">
        <w:t xml:space="preserve"> and add the following new subparagraph 1.6.3.100.2:</w:t>
      </w:r>
    </w:p>
    <w:p w14:paraId="16C20534" w14:textId="1C28C986" w:rsidR="00F85EE3" w:rsidRPr="00DB762A" w:rsidRDefault="00F85EE3" w:rsidP="00C4318D">
      <w:pPr>
        <w:pStyle w:val="SingleTxtG"/>
      </w:pPr>
      <w:r w:rsidRPr="00DB762A">
        <w:t>“1.6.3.100.2</w:t>
      </w:r>
      <w:r w:rsidRPr="00DB762A">
        <w:tab/>
        <w:t xml:space="preserve">FRP tanks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 </w:t>
      </w:r>
    </w:p>
    <w:p w14:paraId="2C4E4C4C" w14:textId="77777777" w:rsidR="00F85EE3" w:rsidRPr="00DB762A" w:rsidRDefault="00F85EE3" w:rsidP="00C4318D">
      <w:pPr>
        <w:pStyle w:val="SingleTxtG"/>
        <w:ind w:left="0"/>
        <w:rPr>
          <w:i/>
          <w:iCs/>
        </w:rPr>
      </w:pPr>
      <w:r w:rsidRPr="00DB762A">
        <w:tab/>
      </w:r>
      <w:r w:rsidRPr="00DB762A">
        <w:tab/>
      </w:r>
      <w:r w:rsidRPr="00DB762A">
        <w:rPr>
          <w:i/>
          <w:iCs/>
        </w:rPr>
        <w:t>(Reference document: informal document INF.30, as amended)</w:t>
      </w:r>
    </w:p>
    <w:p w14:paraId="52D1C01F" w14:textId="0E881538" w:rsidR="00F85EE3" w:rsidRPr="00DB762A" w:rsidRDefault="00F85EE3" w:rsidP="00C4318D">
      <w:pPr>
        <w:pStyle w:val="SingleTxtG"/>
        <w:rPr>
          <w:b/>
          <w:bCs/>
        </w:rPr>
      </w:pPr>
      <w:r w:rsidRPr="00DB762A">
        <w:rPr>
          <w:b/>
          <w:bCs/>
        </w:rPr>
        <w:t>[RID</w:t>
      </w:r>
      <w:r w:rsidR="00CE1950">
        <w:rPr>
          <w:b/>
          <w:bCs/>
        </w:rPr>
        <w:t xml:space="preserve"> only</w:t>
      </w:r>
      <w:r w:rsidRPr="00DB762A">
        <w:rPr>
          <w:b/>
          <w:bCs/>
        </w:rPr>
        <w:t>]</w:t>
      </w:r>
    </w:p>
    <w:p w14:paraId="53C44E29" w14:textId="04669A13" w:rsidR="00F85EE3" w:rsidRPr="00DB762A" w:rsidRDefault="00AC34A9" w:rsidP="00C4318D">
      <w:pPr>
        <w:pStyle w:val="SingleTxtG"/>
      </w:pPr>
      <w:r>
        <w:t>1.6.4.55</w:t>
      </w:r>
      <w:r>
        <w:tab/>
      </w:r>
      <w:r w:rsidR="00F85EE3" w:rsidRPr="00DB762A">
        <w:t>Add the following new paragraph:</w:t>
      </w:r>
    </w:p>
    <w:p w14:paraId="2CF76020" w14:textId="77777777" w:rsidR="00F85EE3" w:rsidRPr="00DB762A" w:rsidRDefault="00F85EE3" w:rsidP="00C4318D">
      <w:pPr>
        <w:pStyle w:val="SingleTxtG"/>
      </w:pPr>
      <w:r w:rsidRPr="00DB762A">
        <w:t>“1.6.4.55</w:t>
      </w:r>
      <w:r w:rsidRPr="00DB762A">
        <w:tab/>
        <w:t>FRP tank-containers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w:t>
      </w:r>
    </w:p>
    <w:p w14:paraId="292F6E50" w14:textId="77777777" w:rsidR="00F85EE3" w:rsidRPr="00DB762A" w:rsidRDefault="00F85EE3" w:rsidP="00C4318D">
      <w:pPr>
        <w:pStyle w:val="SingleTxtG"/>
        <w:ind w:left="0"/>
        <w:rPr>
          <w:i/>
          <w:iCs/>
        </w:rPr>
      </w:pPr>
      <w:r w:rsidRPr="00DB762A">
        <w:tab/>
      </w:r>
      <w:r w:rsidRPr="00DB762A">
        <w:tab/>
      </w:r>
      <w:r w:rsidRPr="00DB762A">
        <w:rPr>
          <w:i/>
          <w:iCs/>
        </w:rPr>
        <w:t>(Reference document: informal document INF.30, as amended)</w:t>
      </w:r>
    </w:p>
    <w:p w14:paraId="1BA7BFDE" w14:textId="77777777" w:rsidR="00F85EE3" w:rsidRPr="00DB762A" w:rsidRDefault="00F85EE3" w:rsidP="00BB557A">
      <w:pPr>
        <w:pStyle w:val="H1G"/>
      </w:pPr>
      <w:r w:rsidRPr="00DB762A">
        <w:tab/>
      </w:r>
      <w:r w:rsidRPr="00DB762A">
        <w:tab/>
        <w:t>Chapter 1.8</w:t>
      </w:r>
    </w:p>
    <w:p w14:paraId="0D786219" w14:textId="77777777" w:rsidR="00F85EE3" w:rsidRPr="00DB762A" w:rsidRDefault="00F85EE3" w:rsidP="00C4318D">
      <w:pPr>
        <w:pStyle w:val="SingleTxtG"/>
      </w:pPr>
      <w:r w:rsidRPr="00DB762A">
        <w:t>1.8.5.1</w:t>
      </w:r>
      <w:r w:rsidRPr="00DB762A">
        <w:tab/>
      </w:r>
      <w:r w:rsidRPr="00DB762A">
        <w:tab/>
        <w:t xml:space="preserve">After </w:t>
      </w:r>
      <w:r w:rsidRPr="00DB762A">
        <w:rPr>
          <w:iCs/>
        </w:rPr>
        <w:t>"</w:t>
      </w:r>
      <w:r w:rsidRPr="00DB762A">
        <w:t>carrier</w:t>
      </w:r>
      <w:r w:rsidRPr="00DB762A">
        <w:rPr>
          <w:iCs/>
        </w:rPr>
        <w:t>"</w:t>
      </w:r>
      <w:r w:rsidRPr="00DB762A">
        <w:t xml:space="preserve"> add </w:t>
      </w:r>
      <w:r w:rsidRPr="00DB762A">
        <w:rPr>
          <w:iCs/>
        </w:rPr>
        <w:t>"</w:t>
      </w:r>
      <w:r w:rsidRPr="00DB762A">
        <w:t>, unloader</w:t>
      </w:r>
      <w:r w:rsidRPr="00DB762A">
        <w:rPr>
          <w:iCs/>
        </w:rPr>
        <w:t>"</w:t>
      </w:r>
      <w:r w:rsidRPr="00DB762A">
        <w:t>.</w:t>
      </w:r>
    </w:p>
    <w:p w14:paraId="5E580045" w14:textId="77777777" w:rsidR="00F85EE3" w:rsidRPr="00DB762A" w:rsidRDefault="00F85EE3" w:rsidP="00C4318D">
      <w:pPr>
        <w:pStyle w:val="SingleTxtG"/>
        <w:rPr>
          <w:i/>
          <w:iCs/>
        </w:rPr>
      </w:pPr>
      <w:r w:rsidRPr="00DB762A">
        <w:rPr>
          <w:i/>
          <w:iCs/>
        </w:rPr>
        <w:t>(Reference document: ECE/TRANS/WP.15/AC.1/2018/30, as amended)</w:t>
      </w:r>
    </w:p>
    <w:p w14:paraId="710F30D4" w14:textId="77777777" w:rsidR="00F85EE3" w:rsidRPr="00DB762A" w:rsidRDefault="00F85EE3" w:rsidP="00610EE2">
      <w:pPr>
        <w:pStyle w:val="H1G"/>
      </w:pPr>
      <w:r w:rsidRPr="00DB762A">
        <w:lastRenderedPageBreak/>
        <w:tab/>
      </w:r>
      <w:r w:rsidRPr="00DB762A">
        <w:tab/>
        <w:t>Chapter 2.1</w:t>
      </w:r>
    </w:p>
    <w:p w14:paraId="6ED12614" w14:textId="6F318E7C" w:rsidR="00F85EE3" w:rsidRPr="00DB762A" w:rsidRDefault="00AC34A9" w:rsidP="00610EE2">
      <w:pPr>
        <w:pStyle w:val="SingleTxtG"/>
        <w:keepNext/>
        <w:keepLines/>
      </w:pPr>
      <w:r>
        <w:t>2.1.3.4.3</w:t>
      </w:r>
      <w:r>
        <w:tab/>
      </w:r>
      <w:r w:rsidR="00F85EE3" w:rsidRPr="00DB762A">
        <w:t xml:space="preserve">Add the following new paragraph: </w:t>
      </w:r>
    </w:p>
    <w:p w14:paraId="68AED136" w14:textId="08A72E72" w:rsidR="00F85EE3" w:rsidRPr="00DB762A" w:rsidRDefault="006A7F73" w:rsidP="00C4318D">
      <w:pPr>
        <w:pStyle w:val="SingleTxtG"/>
      </w:pPr>
      <w:r>
        <w:rPr>
          <w:iCs/>
        </w:rPr>
        <w:t>“</w:t>
      </w:r>
      <w:r w:rsidR="00AC34A9">
        <w:rPr>
          <w:iCs/>
        </w:rPr>
        <w:t>2.1.3.4.3</w:t>
      </w:r>
      <w:r w:rsidR="00AC34A9">
        <w:rPr>
          <w:iCs/>
        </w:rPr>
        <w:tab/>
      </w:r>
      <w:r w:rsidR="00F85EE3" w:rsidRPr="00DB762A">
        <w:t>Used articles, e.g. transformers and condensers, containing a solution or mixture mentioned in 2.1.3.4.2 shall always be classified under the same entry of Class 9, provided:</w:t>
      </w:r>
    </w:p>
    <w:p w14:paraId="159CFFE1" w14:textId="27EDB6F6" w:rsidR="00F85EE3" w:rsidRPr="00DB762A" w:rsidRDefault="00610EE2" w:rsidP="00610EE2">
      <w:pPr>
        <w:pStyle w:val="SingleTxtG"/>
        <w:ind w:left="2694" w:hanging="426"/>
      </w:pPr>
      <w:r>
        <w:t>(a)</w:t>
      </w:r>
      <w:r>
        <w:tab/>
      </w:r>
      <w:r w:rsidR="00F85EE3" w:rsidRPr="00DB762A">
        <w:t xml:space="preserve">they do not contain any additional dangerous components, other than polyhalogenated </w:t>
      </w:r>
      <w:r w:rsidR="00F85EE3" w:rsidRPr="00DB762A">
        <w:rPr>
          <w:snapToGrid w:val="0"/>
        </w:rPr>
        <w:t>dibenzodioxins and dibenzofurans</w:t>
      </w:r>
      <w:r w:rsidR="00F85EE3" w:rsidRPr="00DB762A">
        <w:t xml:space="preserve"> of Class 6.1 or components of packing group III of classes 3, 4.1, 4.2, 4.3, 5.1, 6.1 or 8, and</w:t>
      </w:r>
    </w:p>
    <w:p w14:paraId="4311067F" w14:textId="7DBFED97" w:rsidR="00F85EE3" w:rsidRPr="00DB762A" w:rsidRDefault="00610EE2" w:rsidP="00610EE2">
      <w:pPr>
        <w:pStyle w:val="SingleTxtG"/>
        <w:ind w:left="2694" w:hanging="426"/>
      </w:pPr>
      <w:r>
        <w:t>(b)</w:t>
      </w:r>
      <w:r>
        <w:tab/>
      </w:r>
      <w:r w:rsidR="00F85EE3" w:rsidRPr="00DB762A">
        <w:t>they do not have the hazard characteristics as indicated in 2.1.3.5.3 (a) to (g) and (</w:t>
      </w:r>
      <w:proofErr w:type="spellStart"/>
      <w:r w:rsidR="00F85EE3" w:rsidRPr="00DB762A">
        <w:t>i</w:t>
      </w:r>
      <w:proofErr w:type="spellEnd"/>
      <w:r w:rsidR="00F85EE3" w:rsidRPr="00DB762A">
        <w:t>).</w:t>
      </w:r>
      <w:r w:rsidR="006A7F73">
        <w:t>”</w:t>
      </w:r>
    </w:p>
    <w:p w14:paraId="7F3312F8" w14:textId="77777777" w:rsidR="00F85EE3" w:rsidRPr="00DB762A" w:rsidRDefault="00F85EE3" w:rsidP="00C4318D">
      <w:pPr>
        <w:pStyle w:val="SingleTxtG"/>
        <w:rPr>
          <w:i/>
          <w:iCs/>
        </w:rPr>
      </w:pPr>
      <w:r w:rsidRPr="00DB762A">
        <w:rPr>
          <w:i/>
          <w:iCs/>
        </w:rPr>
        <w:t>(Reference document: informal document INF.27, as amended)</w:t>
      </w:r>
    </w:p>
    <w:p w14:paraId="656BB651" w14:textId="0880C5C8" w:rsidR="00F85EE3" w:rsidRPr="00DB762A" w:rsidRDefault="00F85EE3" w:rsidP="00BB557A">
      <w:pPr>
        <w:pStyle w:val="H1G"/>
      </w:pPr>
      <w:r w:rsidRPr="00DB762A">
        <w:tab/>
      </w:r>
      <w:r w:rsidRPr="00DB762A">
        <w:tab/>
        <w:t>Chapter 3.2</w:t>
      </w:r>
      <w:r w:rsidR="00AC34A9">
        <w:t>, Table A</w:t>
      </w:r>
    </w:p>
    <w:p w14:paraId="703E35F0" w14:textId="0EC30C63" w:rsidR="00F85EE3" w:rsidRPr="00DB762A" w:rsidRDefault="00AC34A9" w:rsidP="00C4318D">
      <w:pPr>
        <w:pStyle w:val="SingleTxtG"/>
        <w:rPr>
          <w:iCs/>
        </w:rPr>
      </w:pPr>
      <w:r>
        <w:rPr>
          <w:iCs/>
        </w:rPr>
        <w:t>F</w:t>
      </w:r>
      <w:r w:rsidR="00F85EE3" w:rsidRPr="00DB762A">
        <w:rPr>
          <w:iCs/>
        </w:rPr>
        <w:t xml:space="preserve">or UN Nos. 2211 and 3314, in column (6), insert </w:t>
      </w:r>
      <w:r w:rsidR="006A7F73">
        <w:rPr>
          <w:iCs/>
        </w:rPr>
        <w:t>“</w:t>
      </w:r>
      <w:r w:rsidR="00F85EE3" w:rsidRPr="00DB762A">
        <w:rPr>
          <w:iCs/>
        </w:rPr>
        <w:t>675</w:t>
      </w:r>
      <w:r w:rsidR="006A7F73">
        <w:rPr>
          <w:iCs/>
        </w:rPr>
        <w:t>”</w:t>
      </w:r>
      <w:r w:rsidR="00F85EE3" w:rsidRPr="00DB762A">
        <w:rPr>
          <w:iCs/>
        </w:rPr>
        <w:t>.</w:t>
      </w:r>
    </w:p>
    <w:p w14:paraId="1DA82356" w14:textId="77777777" w:rsidR="00F85EE3" w:rsidRPr="00DB762A" w:rsidRDefault="00F85EE3" w:rsidP="00C4318D">
      <w:pPr>
        <w:pStyle w:val="SingleTxtG"/>
      </w:pPr>
      <w:r w:rsidRPr="00DB762A">
        <w:rPr>
          <w:i/>
          <w:iCs/>
        </w:rPr>
        <w:t>(Reference document:</w:t>
      </w:r>
      <w:r w:rsidRPr="00DB762A">
        <w:t xml:space="preserve"> </w:t>
      </w:r>
      <w:r w:rsidRPr="00DB762A">
        <w:rPr>
          <w:i/>
          <w:iCs/>
        </w:rPr>
        <w:t>ECE/TRANS/WP.15/AC.1/2018/15, as amended)</w:t>
      </w:r>
    </w:p>
    <w:p w14:paraId="56606A7D" w14:textId="671D33EB" w:rsidR="00F85EE3" w:rsidRPr="00DB762A" w:rsidRDefault="00AC34A9" w:rsidP="00C4318D">
      <w:pPr>
        <w:pStyle w:val="SingleTxtG"/>
      </w:pPr>
      <w:r>
        <w:t>F</w:t>
      </w:r>
      <w:r w:rsidR="00F85EE3" w:rsidRPr="00DB762A">
        <w:t>or UN No.</w:t>
      </w:r>
      <w:r w:rsidR="00E1206D">
        <w:t> </w:t>
      </w:r>
      <w:r w:rsidR="00F85EE3" w:rsidRPr="00DB762A">
        <w:t xml:space="preserve">2683, in column (20), replace </w:t>
      </w:r>
      <w:r w:rsidR="006A7F73">
        <w:rPr>
          <w:iCs/>
        </w:rPr>
        <w:t>“</w:t>
      </w:r>
      <w:r w:rsidR="00F85EE3" w:rsidRPr="00DB762A">
        <w:t>86</w:t>
      </w:r>
      <w:r w:rsidR="006A7F73">
        <w:t>”</w:t>
      </w:r>
      <w:r w:rsidR="00F85EE3" w:rsidRPr="00DB762A">
        <w:t xml:space="preserve"> by </w:t>
      </w:r>
      <w:r w:rsidR="006A7F73">
        <w:t>“</w:t>
      </w:r>
      <w:r w:rsidR="00F85EE3" w:rsidRPr="00DB762A">
        <w:t>836</w:t>
      </w:r>
      <w:r w:rsidR="006A7F73">
        <w:t>”</w:t>
      </w:r>
      <w:r w:rsidR="00F85EE3" w:rsidRPr="00DB762A">
        <w:t xml:space="preserve">. </w:t>
      </w:r>
    </w:p>
    <w:p w14:paraId="4BE22BDB" w14:textId="77777777" w:rsidR="00F85EE3" w:rsidRPr="00DB762A" w:rsidRDefault="00F85EE3" w:rsidP="00C4318D">
      <w:pPr>
        <w:pStyle w:val="SingleTxtG"/>
        <w:rPr>
          <w:i/>
          <w:iCs/>
        </w:rPr>
      </w:pPr>
      <w:r w:rsidRPr="00DB762A">
        <w:rPr>
          <w:i/>
          <w:iCs/>
        </w:rPr>
        <w:t>(Reference document: ECE/TRANS/WP.15/AC.1/2018/18)</w:t>
      </w:r>
    </w:p>
    <w:p w14:paraId="3EB9405C" w14:textId="77777777" w:rsidR="00F85EE3" w:rsidRPr="00DB762A" w:rsidRDefault="00F85EE3" w:rsidP="00BB557A">
      <w:pPr>
        <w:pStyle w:val="H1G"/>
      </w:pPr>
      <w:r w:rsidRPr="00DB762A">
        <w:tab/>
      </w:r>
      <w:r w:rsidRPr="00DB762A">
        <w:tab/>
        <w:t>Chapter 3.3</w:t>
      </w:r>
    </w:p>
    <w:p w14:paraId="320B646C" w14:textId="76C9E17E" w:rsidR="00F85EE3" w:rsidRPr="00DB762A" w:rsidRDefault="00F85EE3" w:rsidP="00C4318D">
      <w:pPr>
        <w:pStyle w:val="SingleTxtG"/>
      </w:pPr>
      <w:r w:rsidRPr="00DB762A">
        <w:t>Special provision 556</w:t>
      </w:r>
      <w:r w:rsidRPr="00DB762A">
        <w:tab/>
        <w:t xml:space="preserve">Delete and add </w:t>
      </w:r>
      <w:r w:rsidR="00963C27">
        <w:t>“</w:t>
      </w:r>
      <w:r w:rsidRPr="00DB762A">
        <w:t>(Deleted)</w:t>
      </w:r>
      <w:r w:rsidRPr="00DB762A">
        <w:rPr>
          <w:iCs/>
        </w:rPr>
        <w:t>"</w:t>
      </w:r>
      <w:r w:rsidRPr="00DB762A">
        <w:t>.</w:t>
      </w:r>
    </w:p>
    <w:p w14:paraId="7A185A86" w14:textId="77777777" w:rsidR="00F85EE3" w:rsidRPr="00DB762A" w:rsidRDefault="00F85EE3" w:rsidP="00C4318D">
      <w:pPr>
        <w:pStyle w:val="SingleTxtG"/>
        <w:rPr>
          <w:i/>
          <w:iCs/>
        </w:rPr>
      </w:pPr>
      <w:r w:rsidRPr="00DB762A">
        <w:rPr>
          <w:i/>
          <w:iCs/>
        </w:rPr>
        <w:t>(Reference document: ECE/TRANS/WP.15/AC.1/2018/16)</w:t>
      </w:r>
    </w:p>
    <w:p w14:paraId="1355B7F9" w14:textId="17CA684C" w:rsidR="00F85EE3" w:rsidRPr="00DB762A" w:rsidRDefault="00F85EE3" w:rsidP="00C4318D">
      <w:pPr>
        <w:pStyle w:val="SingleTxtG"/>
      </w:pPr>
      <w:r w:rsidRPr="00DB762A">
        <w:t>Special provision 675</w:t>
      </w:r>
      <w:r w:rsidRPr="00DB762A">
        <w:tab/>
        <w:t>Add the following new special provision:</w:t>
      </w:r>
    </w:p>
    <w:p w14:paraId="5A7F9782" w14:textId="30605105" w:rsidR="00F85EE3" w:rsidRPr="00DB762A" w:rsidRDefault="006A7F73" w:rsidP="00C4318D">
      <w:pPr>
        <w:pStyle w:val="SingleTxtG"/>
      </w:pPr>
      <w:r>
        <w:rPr>
          <w:iCs/>
        </w:rPr>
        <w:t>“</w:t>
      </w:r>
      <w:r w:rsidR="00F85EE3" w:rsidRPr="00DB762A">
        <w:t>675</w:t>
      </w:r>
      <w:r w:rsidR="00F85EE3" w:rsidRPr="00DB762A">
        <w:tab/>
      </w:r>
      <w:r w:rsidR="00F85EE3" w:rsidRPr="00DB762A">
        <w:rPr>
          <w:snapToGrid w:val="0"/>
        </w:rPr>
        <w:t xml:space="preserve">For packages containing these dangerous goods, mixed loading with substances and articles of Class 1, </w:t>
      </w:r>
      <w:proofErr w:type="gramStart"/>
      <w:r w:rsidR="00F85EE3" w:rsidRPr="00DB762A">
        <w:rPr>
          <w:snapToGrid w:val="0"/>
        </w:rPr>
        <w:t>with the exception of</w:t>
      </w:r>
      <w:proofErr w:type="gramEnd"/>
      <w:r w:rsidR="00F85EE3" w:rsidRPr="00DB762A">
        <w:rPr>
          <w:snapToGrid w:val="0"/>
        </w:rPr>
        <w:t xml:space="preserve"> 1.4S, shall be prohibited.</w:t>
      </w:r>
      <w:r w:rsidR="00F85EE3" w:rsidRPr="00DB762A">
        <w:rPr>
          <w:iCs/>
        </w:rPr>
        <w:t>"</w:t>
      </w:r>
      <w:r w:rsidR="00F85EE3" w:rsidRPr="00DB762A">
        <w:t>.</w:t>
      </w:r>
    </w:p>
    <w:p w14:paraId="6BE43E13" w14:textId="5155F520" w:rsidR="00F85EE3" w:rsidRDefault="00F85EE3" w:rsidP="00C4318D">
      <w:pPr>
        <w:pStyle w:val="SingleTxtG"/>
        <w:rPr>
          <w:i/>
          <w:iCs/>
        </w:rPr>
      </w:pPr>
      <w:r w:rsidRPr="00DB762A">
        <w:rPr>
          <w:i/>
          <w:iCs/>
        </w:rPr>
        <w:t>(Reference document:</w:t>
      </w:r>
      <w:r w:rsidRPr="00DB762A">
        <w:t xml:space="preserve"> </w:t>
      </w:r>
      <w:r w:rsidRPr="00DB762A">
        <w:rPr>
          <w:i/>
          <w:iCs/>
        </w:rPr>
        <w:t>ECE/TRANS/WP.15/AC.1/2018/15, as amended)</w:t>
      </w:r>
    </w:p>
    <w:p w14:paraId="2E71FD3D" w14:textId="77777777" w:rsidR="0070426D" w:rsidRPr="00AC34A9" w:rsidRDefault="0070426D" w:rsidP="0070426D">
      <w:pPr>
        <w:pStyle w:val="SingleTxtG"/>
        <w:rPr>
          <w:b/>
          <w:bCs/>
        </w:rPr>
      </w:pPr>
      <w:r w:rsidRPr="0070426D">
        <w:rPr>
          <w:b/>
          <w:bCs/>
        </w:rPr>
        <w:t>[ADR/ADN only]</w:t>
      </w:r>
    </w:p>
    <w:p w14:paraId="660CCD4C" w14:textId="2A838A00" w:rsidR="0070426D" w:rsidRPr="00DB762A" w:rsidRDefault="0070426D" w:rsidP="0070426D">
      <w:pPr>
        <w:pStyle w:val="SingleTxtG"/>
      </w:pPr>
      <w:r w:rsidRPr="00DB762A">
        <w:tab/>
        <w:t>Special provision 386</w:t>
      </w:r>
      <w:r w:rsidRPr="00DB762A">
        <w:tab/>
        <w:t xml:space="preserve">In the first sentence, replace </w:t>
      </w:r>
      <w:r w:rsidR="006A7F73">
        <w:rPr>
          <w:iCs/>
        </w:rPr>
        <w:t>“</w:t>
      </w:r>
      <w:r w:rsidRPr="00DB762A">
        <w:t xml:space="preserve">2.2.41.1.17” by </w:t>
      </w:r>
      <w:r w:rsidR="006A7F73">
        <w:rPr>
          <w:iCs/>
        </w:rPr>
        <w:t>“</w:t>
      </w:r>
      <w:r w:rsidRPr="00DB762A">
        <w:t>2.2.41.1.21</w:t>
      </w:r>
      <w:r w:rsidRPr="00DB762A">
        <w:rPr>
          <w:iCs/>
        </w:rPr>
        <w:t>"</w:t>
      </w:r>
      <w:r w:rsidRPr="00DB762A">
        <w:t xml:space="preserve">. </w:t>
      </w:r>
    </w:p>
    <w:p w14:paraId="69A9B42C" w14:textId="15290B61" w:rsidR="0070426D" w:rsidRPr="00D4632B" w:rsidRDefault="0070426D" w:rsidP="0070426D">
      <w:pPr>
        <w:pStyle w:val="SingleTxtG"/>
        <w:rPr>
          <w:lang w:val="fr-FR"/>
        </w:rPr>
      </w:pP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INF.6)</w:t>
      </w:r>
    </w:p>
    <w:p w14:paraId="6D5A1F78" w14:textId="77777777" w:rsidR="00F85EE3" w:rsidRPr="00DB762A" w:rsidRDefault="00F85EE3" w:rsidP="00BB557A">
      <w:pPr>
        <w:pStyle w:val="H1G"/>
      </w:pPr>
      <w:r w:rsidRPr="00D4632B">
        <w:rPr>
          <w:lang w:val="fr-FR"/>
        </w:rPr>
        <w:tab/>
      </w:r>
      <w:r w:rsidRPr="00D4632B">
        <w:rPr>
          <w:lang w:val="fr-FR"/>
        </w:rPr>
        <w:tab/>
      </w:r>
      <w:r w:rsidRPr="00DB762A">
        <w:t>Chapter 5.3</w:t>
      </w:r>
    </w:p>
    <w:p w14:paraId="35762073" w14:textId="488DF76D" w:rsidR="00F85EE3" w:rsidRPr="00DB762A" w:rsidRDefault="00F85EE3" w:rsidP="00C4318D">
      <w:pPr>
        <w:pStyle w:val="SingleTxtG"/>
      </w:pPr>
      <w:r w:rsidRPr="00DB762A">
        <w:t>5.3.2.3.2</w:t>
      </w:r>
      <w:r w:rsidRPr="00DB762A">
        <w:tab/>
        <w:t xml:space="preserve">After </w:t>
      </w:r>
      <w:r w:rsidR="006A7F73">
        <w:t>“</w:t>
      </w:r>
      <w:r w:rsidRPr="00DB762A">
        <w:t xml:space="preserve">X83", insert the </w:t>
      </w:r>
      <w:r w:rsidR="00AC34A9">
        <w:t xml:space="preserve">following new </w:t>
      </w:r>
      <w:r w:rsidRPr="00DB762A">
        <w:t>hazard identification number 836:</w:t>
      </w:r>
    </w:p>
    <w:p w14:paraId="0FC7BE50" w14:textId="77AA2085" w:rsidR="00F85EE3" w:rsidRPr="00DB762A" w:rsidRDefault="006A7F73" w:rsidP="00C4318D">
      <w:pPr>
        <w:pStyle w:val="SingleTxtG"/>
        <w:rPr>
          <w:bCs/>
        </w:rPr>
      </w:pPr>
      <w:r>
        <w:rPr>
          <w:iCs/>
        </w:rPr>
        <w:t>“</w:t>
      </w:r>
      <w:r w:rsidR="00F85EE3" w:rsidRPr="00DB762A">
        <w:rPr>
          <w:bCs/>
        </w:rPr>
        <w:t>836</w:t>
      </w:r>
      <w:r w:rsidR="00F85EE3" w:rsidRPr="00DB762A">
        <w:rPr>
          <w:bCs/>
        </w:rPr>
        <w:tab/>
        <w:t>Corrosive or slightly corrosive substance, flammable (flash-point between 23</w:t>
      </w:r>
      <w:r>
        <w:rPr>
          <w:bCs/>
        </w:rPr>
        <w:t> </w:t>
      </w:r>
      <w:r w:rsidR="00F85EE3" w:rsidRPr="00DB762A">
        <w:rPr>
          <w:bCs/>
        </w:rPr>
        <w:t>ºC and 60</w:t>
      </w:r>
      <w:r>
        <w:rPr>
          <w:bCs/>
        </w:rPr>
        <w:t> </w:t>
      </w:r>
      <w:r w:rsidR="00F85EE3" w:rsidRPr="00DB762A">
        <w:rPr>
          <w:bCs/>
        </w:rPr>
        <w:t>ºC inclusive) and toxic</w:t>
      </w:r>
      <w:r w:rsidR="00963C27">
        <w:rPr>
          <w:iCs/>
        </w:rPr>
        <w:t>”</w:t>
      </w:r>
      <w:r w:rsidR="00F85EE3" w:rsidRPr="00DB762A">
        <w:rPr>
          <w:bCs/>
        </w:rPr>
        <w:t>.</w:t>
      </w:r>
    </w:p>
    <w:p w14:paraId="7CDCB111" w14:textId="77777777" w:rsidR="00F85EE3" w:rsidRPr="00DB762A" w:rsidRDefault="00F85EE3" w:rsidP="00C4318D">
      <w:pPr>
        <w:pStyle w:val="SingleTxtG"/>
        <w:rPr>
          <w:i/>
          <w:iCs/>
        </w:rPr>
      </w:pPr>
      <w:r w:rsidRPr="00DB762A">
        <w:rPr>
          <w:i/>
          <w:iCs/>
        </w:rPr>
        <w:t>(Reference document: ECE/TRANS/WP.15/AC.1/2018/18)</w:t>
      </w:r>
    </w:p>
    <w:p w14:paraId="3981C73F" w14:textId="77777777" w:rsidR="00F85EE3" w:rsidRPr="00DB762A" w:rsidRDefault="00F85EE3" w:rsidP="00610EE2">
      <w:pPr>
        <w:pStyle w:val="H1G"/>
      </w:pPr>
      <w:r w:rsidRPr="00DB762A">
        <w:lastRenderedPageBreak/>
        <w:tab/>
      </w:r>
      <w:r w:rsidRPr="00DB762A">
        <w:tab/>
        <w:t>Chapter 6.2</w:t>
      </w:r>
    </w:p>
    <w:p w14:paraId="42C58F48" w14:textId="3EA2B5FD" w:rsidR="00F85EE3" w:rsidRPr="00DB762A" w:rsidRDefault="00F85EE3" w:rsidP="00610EE2">
      <w:pPr>
        <w:pStyle w:val="SingleTxtG"/>
        <w:keepNext/>
        <w:keepLines/>
      </w:pPr>
      <w:r w:rsidRPr="00DB762A">
        <w:t>6.2.3.5.1</w:t>
      </w:r>
      <w:r w:rsidRPr="00DB762A">
        <w:tab/>
        <w:t xml:space="preserve">Replace NOTE 3 </w:t>
      </w:r>
      <w:r w:rsidR="00AC34A9">
        <w:t>with the following text</w:t>
      </w:r>
      <w:r w:rsidRPr="00DB762A">
        <w:t>:</w:t>
      </w:r>
    </w:p>
    <w:p w14:paraId="30169D5E" w14:textId="0BFC29A5" w:rsidR="00F85EE3" w:rsidRPr="00DB762A" w:rsidRDefault="00F85EE3" w:rsidP="00C4318D">
      <w:pPr>
        <w:pStyle w:val="SingleTxtG"/>
        <w:spacing w:before="120"/>
        <w:rPr>
          <w:i/>
        </w:rPr>
      </w:pPr>
      <w:r w:rsidRPr="00DB762A">
        <w:t>“</w:t>
      </w:r>
      <w:r w:rsidRPr="00DB762A">
        <w:rPr>
          <w:b/>
          <w:bCs/>
          <w:i/>
          <w:iCs/>
        </w:rPr>
        <w:t>NOTE 3</w:t>
      </w:r>
      <w:r w:rsidRPr="006A7F73">
        <w:rPr>
          <w:b/>
          <w:bCs/>
          <w:i/>
          <w:iCs/>
        </w:rPr>
        <w:t>:</w:t>
      </w:r>
      <w:r w:rsidRPr="00DB762A">
        <w:rPr>
          <w:i/>
          <w:iCs/>
        </w:rPr>
        <w:t xml:space="preserve"> </w:t>
      </w:r>
      <w:r w:rsidR="00610EE2">
        <w:rPr>
          <w:i/>
          <w:iCs/>
        </w:rPr>
        <w:tab/>
      </w:r>
      <w:r w:rsidRPr="00DB762A">
        <w:rPr>
          <w:i/>
          <w:iCs/>
        </w:rPr>
        <w:t xml:space="preserve">The check of 6.2.1.6.1 (b) and the hydraulic pressure test of 6.2.1.6.1 (d) may be replaced by ultrasonic examination carried out in accordance with EN ISO </w:t>
      </w:r>
      <w:proofErr w:type="gramStart"/>
      <w:r w:rsidRPr="00DB762A">
        <w:rPr>
          <w:i/>
          <w:iCs/>
        </w:rPr>
        <w:t>18119:[</w:t>
      </w:r>
      <w:proofErr w:type="gramEnd"/>
      <w:r w:rsidRPr="00DB762A">
        <w:rPr>
          <w:i/>
          <w:iCs/>
        </w:rPr>
        <w:t>2018] for cylinders and tubes of seamless steel or seamless aluminium alloy. Notwithstanding clause B.1 of this standard, all cylinders and tubes whose wall thickness is less than the minimum design thickness shall be rejected.</w:t>
      </w:r>
      <w:r w:rsidRPr="00DB762A">
        <w:t>”</w:t>
      </w:r>
      <w:r w:rsidRPr="00DB762A">
        <w:rPr>
          <w:i/>
        </w:rPr>
        <w:t xml:space="preserve"> </w:t>
      </w:r>
    </w:p>
    <w:p w14:paraId="6E9FDB50" w14:textId="77777777" w:rsidR="00F85EE3" w:rsidRPr="00D4632B" w:rsidRDefault="00F85EE3" w:rsidP="00C4318D">
      <w:pPr>
        <w:pStyle w:val="SingleTxtG"/>
        <w:rPr>
          <w:lang w:val="fr-FR"/>
        </w:rPr>
      </w:pPr>
      <w:r w:rsidRPr="00DB762A">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5CF12023" w14:textId="77777777" w:rsidR="00AC34A9" w:rsidRDefault="00F85EE3" w:rsidP="00C4318D">
      <w:pPr>
        <w:pStyle w:val="SingleTxtG"/>
        <w:spacing w:before="120"/>
      </w:pPr>
      <w:r w:rsidRPr="00DB762A">
        <w:t>6.2.4.1</w:t>
      </w:r>
      <w:r w:rsidRPr="00DB762A">
        <w:tab/>
      </w:r>
      <w:r w:rsidRPr="00DB762A">
        <w:tab/>
      </w:r>
      <w:r w:rsidR="00AC34A9">
        <w:t>Amend the table as follows:</w:t>
      </w:r>
    </w:p>
    <w:p w14:paraId="6B728159" w14:textId="5288B6A8" w:rsidR="00AC34A9" w:rsidRDefault="000F04C5" w:rsidP="00AC34A9">
      <w:pPr>
        <w:pStyle w:val="Bullet1G"/>
        <w:numPr>
          <w:ilvl w:val="0"/>
          <w:numId w:val="0"/>
        </w:numPr>
        <w:ind w:left="1134"/>
      </w:pPr>
      <w:r>
        <w:t>(a)</w:t>
      </w:r>
      <w:r>
        <w:tab/>
      </w:r>
      <w:r w:rsidR="00AC34A9">
        <w:t>Under “</w:t>
      </w:r>
      <w:r w:rsidR="00AC34A9" w:rsidRPr="000F04C5">
        <w:rPr>
          <w:b/>
          <w:bCs/>
        </w:rPr>
        <w:t>for design and construction</w:t>
      </w:r>
      <w:r w:rsidR="00AC34A9">
        <w:t>”:</w:t>
      </w:r>
    </w:p>
    <w:p w14:paraId="2457BC83" w14:textId="46975A81" w:rsidR="00CE7E5D" w:rsidRPr="00DB762A" w:rsidRDefault="00441BD3" w:rsidP="00441BD3">
      <w:pPr>
        <w:pStyle w:val="Bullet1G"/>
        <w:tabs>
          <w:tab w:val="clear" w:pos="2438"/>
        </w:tabs>
        <w:ind w:left="1985" w:hanging="284"/>
      </w:pPr>
      <w:r>
        <w:t>In column (2), i</w:t>
      </w:r>
      <w:r w:rsidR="00CE7E5D" w:rsidRPr="00DB762A">
        <w:t xml:space="preserve">nsert the following note against the references to directives </w:t>
      </w:r>
      <w:r w:rsidR="00CE7E5D" w:rsidRPr="00441BD3">
        <w:t>84/525/EEC, 84/526/EEC and 84/527/EEC</w:t>
      </w:r>
      <w:r w:rsidR="00CE7E5D" w:rsidRPr="00DB762A">
        <w:t>:</w:t>
      </w:r>
    </w:p>
    <w:p w14:paraId="54E7A9E8" w14:textId="45B15E7A" w:rsidR="00CE7E5D" w:rsidRPr="00DB762A" w:rsidRDefault="00963C27" w:rsidP="00B87F3C">
      <w:pPr>
        <w:pStyle w:val="SingleTxtG"/>
        <w:spacing w:before="120"/>
        <w:ind w:left="1985"/>
        <w:rPr>
          <w:i/>
        </w:rPr>
      </w:pPr>
      <w:r>
        <w:t>“</w:t>
      </w:r>
      <w:r w:rsidR="00CE7E5D" w:rsidRPr="00DB762A">
        <w:rPr>
          <w:b/>
          <w:i/>
          <w:iCs/>
        </w:rPr>
        <w:t>NOTE</w:t>
      </w:r>
      <w:r w:rsidR="00CE7E5D" w:rsidRPr="00DB762A">
        <w:rPr>
          <w:i/>
          <w:iCs/>
        </w:rPr>
        <w:t>:</w:t>
      </w:r>
      <w:r w:rsidR="00CE7E5D" w:rsidRPr="00DB762A">
        <w:t xml:space="preserve"> </w:t>
      </w:r>
      <w:r w:rsidR="00CE7E5D" w:rsidRPr="00DB762A">
        <w:rPr>
          <w:i/>
        </w:rPr>
        <w:t>Notwithstanding the repeal of the directives 84/525/EEC, 84/526/EEC and 84/527/EEC as published in the Official Journal of the European Communities No. L300 of 19.11.1984 the annexes of these directives remain applicable as standards for design, construction and initial inspection and test for gas cylinders.  These annexes may be found at</w:t>
      </w:r>
      <w:r w:rsidR="00CE7E5D">
        <w:rPr>
          <w:i/>
        </w:rPr>
        <w:t>:</w:t>
      </w:r>
      <w:r w:rsidR="00CE7E5D" w:rsidRPr="00DB762A">
        <w:rPr>
          <w:i/>
        </w:rPr>
        <w:t xml:space="preserve"> </w:t>
      </w:r>
      <w:hyperlink r:id="rId9" w:history="1">
        <w:r w:rsidR="00CE7E5D" w:rsidRPr="00DB762A">
          <w:rPr>
            <w:rStyle w:val="Hyperlink"/>
            <w:i/>
            <w:iCs/>
          </w:rPr>
          <w:t>https://eur-lex.europa.eu/oj/direct-access.html</w:t>
        </w:r>
      </w:hyperlink>
      <w:r>
        <w:t>”</w:t>
      </w:r>
      <w:r w:rsidR="00CE7E5D" w:rsidRPr="00DB762A">
        <w:t xml:space="preserve">. </w:t>
      </w:r>
    </w:p>
    <w:p w14:paraId="566E0B96" w14:textId="58DCCA5C" w:rsidR="00CE7E5D" w:rsidRPr="00D4632B" w:rsidRDefault="00CE7E5D" w:rsidP="00B87F3C">
      <w:pPr>
        <w:pStyle w:val="SingleTxtG"/>
        <w:tabs>
          <w:tab w:val="left" w:pos="1985"/>
        </w:tabs>
        <w:ind w:left="0"/>
        <w:rPr>
          <w:i/>
          <w:iCs/>
          <w:lang w:val="fr-FR"/>
        </w:rPr>
      </w:pPr>
      <w:r w:rsidRPr="00DB762A">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INF.28)</w:t>
      </w:r>
    </w:p>
    <w:p w14:paraId="3FFC0E0F" w14:textId="0DA7FA81" w:rsidR="00F85EE3" w:rsidRPr="00DB762A" w:rsidRDefault="00AC34A9" w:rsidP="000F04C5">
      <w:pPr>
        <w:pStyle w:val="Bullet1G"/>
        <w:tabs>
          <w:tab w:val="clear" w:pos="2438"/>
        </w:tabs>
        <w:ind w:left="1985" w:hanging="284"/>
        <w:rPr>
          <w:i/>
        </w:rPr>
      </w:pPr>
      <w:r>
        <w:t>F</w:t>
      </w:r>
      <w:r w:rsidRPr="00DB762A">
        <w:t xml:space="preserve">or </w:t>
      </w:r>
      <w:r w:rsidR="00F85EE3" w:rsidRPr="00DB762A">
        <w:t xml:space="preserve">“EN 12807:2008”, in column (4), replace </w:t>
      </w:r>
      <w:r w:rsidR="00610EE2">
        <w:t>the existing text</w:t>
      </w:r>
      <w:r w:rsidR="00F85EE3" w:rsidRPr="00DB762A">
        <w:t xml:space="preserve"> with “Between 1 January 2009 and 31 December 2022”.</w:t>
      </w:r>
      <w:r w:rsidR="00F85EE3" w:rsidRPr="00DB762A">
        <w:rPr>
          <w:i/>
        </w:rPr>
        <w:t xml:space="preserve"> </w:t>
      </w:r>
    </w:p>
    <w:p w14:paraId="43B42480" w14:textId="0041DCAA" w:rsidR="00F85EE3" w:rsidRPr="00D4632B" w:rsidRDefault="00AC34A9" w:rsidP="00930C20">
      <w:pPr>
        <w:pStyle w:val="SingleTxtG"/>
        <w:tabs>
          <w:tab w:val="left" w:pos="2410"/>
        </w:tabs>
        <w:ind w:left="1985" w:hanging="284"/>
        <w:rPr>
          <w:lang w:val="fr-FR"/>
        </w:rPr>
      </w:pPr>
      <w:r>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70E90E2D" w14:textId="6DFE80A7" w:rsidR="00F85EE3" w:rsidRPr="00DB762A" w:rsidRDefault="00AC34A9" w:rsidP="000F04C5">
      <w:pPr>
        <w:pStyle w:val="Bullet1G"/>
        <w:tabs>
          <w:tab w:val="clear" w:pos="2438"/>
        </w:tabs>
        <w:ind w:left="1985" w:hanging="284"/>
      </w:pPr>
      <w:r>
        <w:t xml:space="preserve">After </w:t>
      </w:r>
      <w:r w:rsidR="00930C20">
        <w:t xml:space="preserve">the existing </w:t>
      </w:r>
      <w:r w:rsidR="000F04C5">
        <w:t>row</w:t>
      </w:r>
      <w:r w:rsidR="00930C20">
        <w:t xml:space="preserve"> for </w:t>
      </w:r>
      <w:r w:rsidR="00930C20" w:rsidRPr="00DB762A">
        <w:t>“EN 12807:2008”</w:t>
      </w:r>
      <w:r w:rsidR="00930C20">
        <w:t xml:space="preserve"> add </w:t>
      </w:r>
      <w:r w:rsidR="00F85EE3" w:rsidRPr="00DB762A">
        <w:t>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230"/>
        <w:gridCol w:w="1170"/>
        <w:gridCol w:w="1260"/>
        <w:gridCol w:w="450"/>
      </w:tblGrid>
      <w:tr w:rsidR="00F85EE3" w:rsidRPr="00CE1950" w14:paraId="4F1F76EB" w14:textId="77777777" w:rsidTr="00C4318D">
        <w:tc>
          <w:tcPr>
            <w:tcW w:w="1350" w:type="dxa"/>
          </w:tcPr>
          <w:p w14:paraId="37D1BFB9" w14:textId="77777777" w:rsidR="00F85EE3" w:rsidRPr="00CE1950" w:rsidRDefault="00F85EE3" w:rsidP="00C4318D">
            <w:pPr>
              <w:widowControl w:val="0"/>
              <w:spacing w:before="40" w:after="40"/>
              <w:jc w:val="center"/>
              <w:rPr>
                <w:bCs/>
                <w:sz w:val="18"/>
                <w:szCs w:val="18"/>
              </w:rPr>
            </w:pPr>
            <w:r w:rsidRPr="00CE1950">
              <w:rPr>
                <w:bCs/>
                <w:iCs/>
                <w:sz w:val="18"/>
                <w:szCs w:val="18"/>
              </w:rPr>
              <w:t>EN 12807:[2019]</w:t>
            </w:r>
          </w:p>
        </w:tc>
        <w:tc>
          <w:tcPr>
            <w:tcW w:w="4230" w:type="dxa"/>
            <w:vAlign w:val="center"/>
          </w:tcPr>
          <w:p w14:paraId="04B4DAED" w14:textId="77777777" w:rsidR="00F85EE3" w:rsidRPr="00CE1950" w:rsidRDefault="00F85EE3" w:rsidP="00C4318D">
            <w:pPr>
              <w:widowControl w:val="0"/>
              <w:spacing w:before="40" w:after="40"/>
              <w:rPr>
                <w:bCs/>
                <w:sz w:val="18"/>
                <w:szCs w:val="18"/>
                <w:highlight w:val="green"/>
              </w:rPr>
            </w:pPr>
            <w:r w:rsidRPr="00CE1950">
              <w:rPr>
                <w:bCs/>
                <w:sz w:val="18"/>
                <w:szCs w:val="18"/>
              </w:rPr>
              <w:t>LPG equipment and accessories - Transportable refillable brazed steel cylinders for liquefied petroleum gas (LPG) - Design and construction</w:t>
            </w:r>
          </w:p>
        </w:tc>
        <w:tc>
          <w:tcPr>
            <w:tcW w:w="1170" w:type="dxa"/>
          </w:tcPr>
          <w:p w14:paraId="293F6AD9" w14:textId="77777777" w:rsidR="00F85EE3" w:rsidRPr="00CE1950" w:rsidRDefault="00F85EE3" w:rsidP="00C4318D">
            <w:pPr>
              <w:widowControl w:val="0"/>
              <w:spacing w:before="40" w:after="40"/>
              <w:rPr>
                <w:bCs/>
                <w:sz w:val="18"/>
                <w:szCs w:val="18"/>
                <w:highlight w:val="green"/>
              </w:rPr>
            </w:pPr>
            <w:r w:rsidRPr="00CE1950">
              <w:rPr>
                <w:bCs/>
                <w:sz w:val="18"/>
                <w:szCs w:val="18"/>
              </w:rPr>
              <w:t>6.2.3.1 and 6.2.3.4</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0F2DBE1" w14:textId="77777777" w:rsidR="00F85EE3" w:rsidRPr="00CE1950" w:rsidRDefault="00F85EE3" w:rsidP="00C4318D">
            <w:pPr>
              <w:widowControl w:val="0"/>
              <w:spacing w:before="40" w:after="40"/>
              <w:jc w:val="center"/>
              <w:rPr>
                <w:bCs/>
                <w:sz w:val="18"/>
                <w:szCs w:val="18"/>
              </w:rPr>
            </w:pPr>
            <w:r w:rsidRPr="00CE1950">
              <w:rPr>
                <w:bCs/>
                <w:sz w:val="18"/>
                <w:szCs w:val="18"/>
              </w:rPr>
              <w:t>Until further notice</w:t>
            </w: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7FEA006E" w14:textId="77777777" w:rsidR="00F85EE3" w:rsidRPr="00CE1950" w:rsidRDefault="00F85EE3" w:rsidP="00C4318D">
            <w:pPr>
              <w:widowControl w:val="0"/>
              <w:spacing w:before="40" w:after="40"/>
              <w:jc w:val="center"/>
              <w:rPr>
                <w:bCs/>
                <w:sz w:val="18"/>
                <w:szCs w:val="18"/>
              </w:rPr>
            </w:pPr>
          </w:p>
        </w:tc>
      </w:tr>
    </w:tbl>
    <w:p w14:paraId="0521FD9A" w14:textId="47C27A14" w:rsidR="00F85EE3" w:rsidRPr="00D4632B" w:rsidRDefault="00930C20" w:rsidP="00C4318D">
      <w:pPr>
        <w:pStyle w:val="SingleTxtG"/>
        <w:spacing w:before="120"/>
        <w:rPr>
          <w:i/>
          <w:iCs/>
          <w:lang w:val="fr-FR"/>
        </w:rPr>
      </w:pPr>
      <w:r w:rsidRPr="00D4632B">
        <w:rPr>
          <w:lang w:val="fr-FR"/>
        </w:rPr>
        <w:tab/>
      </w:r>
      <w:r w:rsidRPr="00D4632B">
        <w:rPr>
          <w:lang w:val="fr-FR"/>
        </w:rPr>
        <w:tab/>
      </w:r>
      <w:r w:rsidR="00F85EE3" w:rsidRPr="00D4632B">
        <w:rPr>
          <w:lang w:val="fr-FR"/>
        </w:rPr>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1EAB9A05" w14:textId="26E9A6D6" w:rsidR="00930C20" w:rsidRDefault="000F04C5" w:rsidP="000F04C5">
      <w:pPr>
        <w:pStyle w:val="Bullet1G"/>
        <w:numPr>
          <w:ilvl w:val="0"/>
          <w:numId w:val="0"/>
        </w:numPr>
        <w:ind w:left="567" w:firstLine="567"/>
      </w:pPr>
      <w:r>
        <w:t>(b)</w:t>
      </w:r>
      <w:r>
        <w:tab/>
      </w:r>
      <w:r w:rsidR="00930C20">
        <w:t>Under “</w:t>
      </w:r>
      <w:r w:rsidR="00930C20" w:rsidRPr="000F04C5">
        <w:rPr>
          <w:b/>
          <w:bCs/>
        </w:rPr>
        <w:t>for closures</w:t>
      </w:r>
      <w:r w:rsidR="00930C20">
        <w:t>”:</w:t>
      </w:r>
    </w:p>
    <w:p w14:paraId="040AA376" w14:textId="579A7676" w:rsidR="00F85EE3" w:rsidRPr="00930C20" w:rsidRDefault="00930C20" w:rsidP="000F04C5">
      <w:pPr>
        <w:pStyle w:val="Bullet1G"/>
        <w:tabs>
          <w:tab w:val="clear" w:pos="2438"/>
        </w:tabs>
        <w:ind w:left="1985" w:hanging="284"/>
      </w:pPr>
      <w:r>
        <w:t>F</w:t>
      </w:r>
      <w:r w:rsidR="00F85EE3" w:rsidRPr="00DB762A">
        <w:t>or “EN ISO 17871:2015”, in column (4), replace the existing text with “Between 1 January 2017 and 31 December 2021”.</w:t>
      </w:r>
    </w:p>
    <w:p w14:paraId="272DA748" w14:textId="5BBF6701" w:rsidR="00F85EE3" w:rsidRPr="00D4632B" w:rsidRDefault="000F04C5" w:rsidP="000F04C5">
      <w:pPr>
        <w:pStyle w:val="SingleTxtG"/>
        <w:tabs>
          <w:tab w:val="left" w:pos="1843"/>
        </w:tabs>
        <w:spacing w:before="120"/>
        <w:rPr>
          <w:lang w:val="fr-FR"/>
        </w:rPr>
      </w:pPr>
      <w:r>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1D773E97" w14:textId="5987E5F2" w:rsidR="00F85EE3" w:rsidRPr="00DB762A" w:rsidRDefault="000F04C5" w:rsidP="000F04C5">
      <w:pPr>
        <w:pStyle w:val="Bullet1G"/>
        <w:tabs>
          <w:tab w:val="clear" w:pos="2438"/>
        </w:tabs>
        <w:ind w:left="1985" w:hanging="284"/>
      </w:pPr>
      <w:r>
        <w:t xml:space="preserve">After the existing row for </w:t>
      </w:r>
      <w:r w:rsidR="00F85EE3" w:rsidRPr="00DB762A">
        <w:t>“EN ISO 17871:2015”</w:t>
      </w:r>
      <w:r>
        <w:t xml:space="preserve"> a</w:t>
      </w:r>
      <w:r w:rsidRPr="00DB762A">
        <w:t>dd the following new entry</w:t>
      </w:r>
      <w:r w:rsidR="00F85EE3" w:rsidRPr="00DB762A">
        <w:t>:</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444"/>
        <w:gridCol w:w="1596"/>
        <w:gridCol w:w="1260"/>
        <w:gridCol w:w="450"/>
      </w:tblGrid>
      <w:tr w:rsidR="00F85EE3" w:rsidRPr="00CE1950" w14:paraId="2ED489C2" w14:textId="77777777" w:rsidTr="00C4318D">
        <w:tc>
          <w:tcPr>
            <w:tcW w:w="1710" w:type="dxa"/>
            <w:vAlign w:val="center"/>
          </w:tcPr>
          <w:p w14:paraId="02A8DAA3" w14:textId="77777777" w:rsidR="00F85EE3" w:rsidRPr="00CE1950" w:rsidRDefault="00F85EE3" w:rsidP="00C4318D">
            <w:pPr>
              <w:widowControl w:val="0"/>
              <w:spacing w:before="60" w:after="60"/>
              <w:rPr>
                <w:rFonts w:cs="Arial"/>
                <w:sz w:val="18"/>
                <w:szCs w:val="18"/>
              </w:rPr>
            </w:pPr>
            <w:r w:rsidRPr="00CE1950">
              <w:rPr>
                <w:rFonts w:cs="Arial"/>
                <w:sz w:val="18"/>
                <w:szCs w:val="18"/>
              </w:rPr>
              <w:t>EN ISO 17871:2015 + A1:2018</w:t>
            </w:r>
          </w:p>
        </w:tc>
        <w:tc>
          <w:tcPr>
            <w:tcW w:w="3444" w:type="dxa"/>
            <w:vAlign w:val="center"/>
          </w:tcPr>
          <w:p w14:paraId="22D84009" w14:textId="77777777" w:rsidR="00F85EE3" w:rsidRPr="00CE1950" w:rsidRDefault="00F85EE3" w:rsidP="00C4318D">
            <w:pPr>
              <w:widowControl w:val="0"/>
              <w:spacing w:before="60" w:after="60"/>
              <w:rPr>
                <w:rFonts w:cs="Arial"/>
                <w:sz w:val="18"/>
                <w:szCs w:val="18"/>
              </w:rPr>
            </w:pPr>
            <w:r w:rsidRPr="00CE1950">
              <w:rPr>
                <w:rFonts w:cs="Arial"/>
                <w:sz w:val="18"/>
                <w:szCs w:val="18"/>
              </w:rPr>
              <w:t>Gas cylinders – Quick-release cylinder valves – Specification and type testing</w:t>
            </w:r>
          </w:p>
        </w:tc>
        <w:tc>
          <w:tcPr>
            <w:tcW w:w="1596" w:type="dxa"/>
            <w:vAlign w:val="center"/>
          </w:tcPr>
          <w:p w14:paraId="5D1D622D" w14:textId="77777777" w:rsidR="00F85EE3" w:rsidRPr="00CE1950" w:rsidRDefault="00F85EE3" w:rsidP="00C4318D">
            <w:pPr>
              <w:widowControl w:val="0"/>
              <w:spacing w:before="60" w:after="60"/>
              <w:rPr>
                <w:rFonts w:cs="Arial"/>
                <w:sz w:val="18"/>
                <w:szCs w:val="18"/>
              </w:rPr>
            </w:pPr>
            <w:r w:rsidRPr="00CE1950">
              <w:rPr>
                <w:rFonts w:cs="Arial"/>
                <w:sz w:val="18"/>
                <w:szCs w:val="18"/>
              </w:rPr>
              <w:t>6.2.3.1, 6.2.3.3 and 6.2.3.4</w:t>
            </w:r>
          </w:p>
        </w:tc>
        <w:tc>
          <w:tcPr>
            <w:tcW w:w="1260" w:type="dxa"/>
            <w:vAlign w:val="center"/>
          </w:tcPr>
          <w:p w14:paraId="4B4C3F13" w14:textId="77777777" w:rsidR="00F85EE3" w:rsidRPr="00CE1950" w:rsidRDefault="00F85EE3" w:rsidP="00C4318D">
            <w:pPr>
              <w:widowControl w:val="0"/>
              <w:spacing w:before="60" w:after="60"/>
              <w:rPr>
                <w:rFonts w:cs="Arial"/>
                <w:sz w:val="18"/>
                <w:szCs w:val="18"/>
              </w:rPr>
            </w:pPr>
            <w:r w:rsidRPr="00CE1950">
              <w:rPr>
                <w:rFonts w:cs="Arial"/>
                <w:sz w:val="18"/>
                <w:szCs w:val="18"/>
              </w:rPr>
              <w:t>Until further notice</w:t>
            </w:r>
          </w:p>
        </w:tc>
        <w:tc>
          <w:tcPr>
            <w:tcW w:w="450" w:type="dxa"/>
            <w:vAlign w:val="center"/>
          </w:tcPr>
          <w:p w14:paraId="471C96DD" w14:textId="77777777" w:rsidR="00F85EE3" w:rsidRPr="00CE1950" w:rsidRDefault="00F85EE3" w:rsidP="00C4318D">
            <w:pPr>
              <w:widowControl w:val="0"/>
              <w:spacing w:before="60" w:after="60"/>
              <w:rPr>
                <w:rFonts w:cs="Arial"/>
                <w:sz w:val="18"/>
                <w:szCs w:val="18"/>
              </w:rPr>
            </w:pPr>
          </w:p>
        </w:tc>
      </w:tr>
    </w:tbl>
    <w:p w14:paraId="2AB5996A" w14:textId="0438B033" w:rsidR="00F85EE3" w:rsidRPr="00D4632B" w:rsidRDefault="000F04C5" w:rsidP="00160399">
      <w:pPr>
        <w:pStyle w:val="SingleTxtG"/>
        <w:spacing w:before="120"/>
        <w:rPr>
          <w:lang w:val="fr-FR"/>
        </w:rPr>
      </w:pPr>
      <w:r w:rsidRPr="00D4632B">
        <w:rPr>
          <w:lang w:val="fr-FR"/>
        </w:rPr>
        <w:tab/>
      </w:r>
      <w:r w:rsidR="00F85EE3" w:rsidRPr="00D4632B">
        <w:rPr>
          <w:lang w:val="fr-FR"/>
        </w:rPr>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64E7AB91" w14:textId="00C4C290" w:rsidR="000F04C5" w:rsidRDefault="00F85EE3" w:rsidP="000F04C5">
      <w:pPr>
        <w:pStyle w:val="SingleTxtG"/>
        <w:spacing w:before="120"/>
      </w:pPr>
      <w:r w:rsidRPr="00DB762A">
        <w:t>6.2.4.2</w:t>
      </w:r>
      <w:r w:rsidRPr="00DB762A">
        <w:tab/>
      </w:r>
      <w:r w:rsidRPr="00DB762A">
        <w:tab/>
      </w:r>
      <w:r w:rsidR="000F04C5">
        <w:t>Amend the table as follows:</w:t>
      </w:r>
    </w:p>
    <w:p w14:paraId="73EC097F" w14:textId="20A25D22" w:rsidR="00F85EE3" w:rsidRPr="00DB762A" w:rsidRDefault="000F04C5" w:rsidP="000F04C5">
      <w:pPr>
        <w:pStyle w:val="Bullet1G"/>
        <w:rPr>
          <w:iCs/>
        </w:rPr>
      </w:pPr>
      <w:r>
        <w:t>F</w:t>
      </w:r>
      <w:r w:rsidR="00F85EE3" w:rsidRPr="00DB762A">
        <w:t>or “EN 1968:2002 +</w:t>
      </w:r>
      <w:r w:rsidR="00D4632B">
        <w:t xml:space="preserve"> </w:t>
      </w:r>
      <w:r w:rsidR="00F85EE3" w:rsidRPr="00DB762A">
        <w:t xml:space="preserve">A1:2005 (except </w:t>
      </w:r>
      <w:r w:rsidR="00D4632B">
        <w:t>A</w:t>
      </w:r>
      <w:r w:rsidR="00F85EE3" w:rsidRPr="00DB762A">
        <w:t xml:space="preserve">nnex B)”, in column (3), </w:t>
      </w:r>
      <w:r w:rsidR="00610EE2">
        <w:t>replace the existing text</w:t>
      </w:r>
      <w:r w:rsidRPr="000F04C5">
        <w:t xml:space="preserve"> </w:t>
      </w:r>
      <w:r w:rsidR="00F85EE3" w:rsidRPr="00DB762A">
        <w:t>with “Until 31 December 2022”.</w:t>
      </w:r>
      <w:r w:rsidR="00F85EE3" w:rsidRPr="00DB762A">
        <w:rPr>
          <w:iCs/>
        </w:rPr>
        <w:t xml:space="preserve"> </w:t>
      </w:r>
    </w:p>
    <w:p w14:paraId="41354A31" w14:textId="50F30B78" w:rsidR="00F85EE3" w:rsidRPr="00D4632B" w:rsidRDefault="00F85EE3" w:rsidP="000F04C5">
      <w:pPr>
        <w:tabs>
          <w:tab w:val="left" w:pos="2410"/>
        </w:tabs>
        <w:spacing w:after="240"/>
        <w:rPr>
          <w:i/>
          <w:iCs/>
          <w:lang w:val="fr-FR"/>
        </w:rPr>
      </w:pPr>
      <w:r w:rsidRPr="000F04C5">
        <w:rPr>
          <w:i/>
          <w:iCs/>
        </w:rPr>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3BF876F6" w14:textId="0FDBADDB" w:rsidR="00A56BB4" w:rsidRPr="000F04C5" w:rsidRDefault="00A56BB4" w:rsidP="00A56BB4">
      <w:pPr>
        <w:pStyle w:val="Bullet1G"/>
      </w:pPr>
      <w:r w:rsidRPr="000F04C5">
        <w:lastRenderedPageBreak/>
        <w:t xml:space="preserve">For “EN 1802:2002 (except </w:t>
      </w:r>
      <w:r w:rsidR="00D4632B">
        <w:t>A</w:t>
      </w:r>
      <w:r w:rsidRPr="000F04C5">
        <w:t xml:space="preserve">nnex B)”, in column (3), replace </w:t>
      </w:r>
      <w:r w:rsidR="00610EE2">
        <w:t>the existing text</w:t>
      </w:r>
      <w:r w:rsidRPr="000F04C5">
        <w:t xml:space="preserve"> with “Until 31 December 2022”. </w:t>
      </w:r>
    </w:p>
    <w:p w14:paraId="45F89A27" w14:textId="59E0C36E" w:rsidR="00A56BB4" w:rsidRPr="00D4632B" w:rsidRDefault="00A56BB4" w:rsidP="00A56BB4">
      <w:pPr>
        <w:tabs>
          <w:tab w:val="left" w:pos="2410"/>
        </w:tabs>
        <w:spacing w:after="240"/>
        <w:rPr>
          <w:i/>
          <w:iCs/>
          <w:lang w:val="fr-FR"/>
        </w:rPr>
      </w:pPr>
      <w:r w:rsidRPr="000F04C5">
        <w:rPr>
          <w:i/>
          <w:iCs/>
        </w:rPr>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4E2F39A8" w14:textId="79A96F7D" w:rsidR="00E24634" w:rsidRPr="00DB762A" w:rsidRDefault="00E24634" w:rsidP="00E24634">
      <w:pPr>
        <w:pStyle w:val="Bullet1G"/>
      </w:pPr>
      <w:r>
        <w:t xml:space="preserve">After the existing row for “EN 1802:2002 (except </w:t>
      </w:r>
      <w:r w:rsidR="00891D5E">
        <w:t xml:space="preserve">Annex </w:t>
      </w:r>
      <w:r>
        <w:t>B), a</w:t>
      </w:r>
      <w:r w:rsidRPr="00DB762A">
        <w:t>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130"/>
        <w:gridCol w:w="1890"/>
      </w:tblGrid>
      <w:tr w:rsidR="00E24634" w:rsidRPr="00CE1950" w14:paraId="205778B7" w14:textId="77777777" w:rsidTr="00104C98">
        <w:trPr>
          <w:trHeight w:val="1015"/>
        </w:trPr>
        <w:tc>
          <w:tcPr>
            <w:tcW w:w="1440" w:type="dxa"/>
            <w:vAlign w:val="center"/>
          </w:tcPr>
          <w:p w14:paraId="04C3B62E" w14:textId="77777777" w:rsidR="00E24634" w:rsidRPr="00CE1950" w:rsidRDefault="00E24634" w:rsidP="00104C98">
            <w:pPr>
              <w:widowControl w:val="0"/>
              <w:spacing w:before="40" w:after="40"/>
              <w:jc w:val="center"/>
              <w:rPr>
                <w:bCs/>
                <w:iCs/>
                <w:sz w:val="18"/>
                <w:szCs w:val="18"/>
              </w:rPr>
            </w:pPr>
            <w:r w:rsidRPr="00CE1950">
              <w:rPr>
                <w:bCs/>
                <w:noProof/>
                <w:sz w:val="18"/>
                <w:szCs w:val="18"/>
              </w:rPr>
              <w:t>EN ISO 18119:[2018]</w:t>
            </w:r>
          </w:p>
        </w:tc>
        <w:tc>
          <w:tcPr>
            <w:tcW w:w="5130" w:type="dxa"/>
            <w:vAlign w:val="center"/>
          </w:tcPr>
          <w:p w14:paraId="6330B583" w14:textId="77777777" w:rsidR="00E24634" w:rsidRPr="00CE1950" w:rsidRDefault="00E24634" w:rsidP="00104C98">
            <w:pPr>
              <w:widowControl w:val="0"/>
              <w:spacing w:before="40" w:after="40"/>
              <w:rPr>
                <w:bCs/>
                <w:noProof/>
                <w:sz w:val="18"/>
                <w:szCs w:val="18"/>
              </w:rPr>
            </w:pPr>
            <w:r w:rsidRPr="00CE1950">
              <w:rPr>
                <w:bCs/>
                <w:noProof/>
                <w:sz w:val="18"/>
                <w:szCs w:val="18"/>
              </w:rPr>
              <w:t>Gas cylinders - Seamless steel and seamless aluminium-alloy gas cylinders and tubes - Periodic inspection and testing</w:t>
            </w:r>
          </w:p>
          <w:p w14:paraId="5EB04246" w14:textId="77777777" w:rsidR="00E24634" w:rsidRPr="00CE1950" w:rsidRDefault="00E24634" w:rsidP="00104C98">
            <w:pPr>
              <w:widowControl w:val="0"/>
              <w:spacing w:before="40" w:after="40"/>
              <w:rPr>
                <w:bCs/>
                <w:iCs/>
                <w:sz w:val="18"/>
                <w:szCs w:val="18"/>
              </w:rPr>
            </w:pPr>
            <w:r w:rsidRPr="00CE1950">
              <w:rPr>
                <w:b/>
                <w:i/>
                <w:iCs/>
                <w:noProof/>
                <w:sz w:val="18"/>
                <w:szCs w:val="18"/>
              </w:rPr>
              <w:t>NOTE:</w:t>
            </w:r>
            <w:r w:rsidRPr="00CE1950">
              <w:rPr>
                <w:bCs/>
                <w:noProof/>
                <w:sz w:val="18"/>
                <w:szCs w:val="18"/>
              </w:rPr>
              <w:t xml:space="preserve"> </w:t>
            </w:r>
            <w:r w:rsidRPr="00CE1950">
              <w:rPr>
                <w:bCs/>
                <w:i/>
                <w:noProof/>
                <w:sz w:val="18"/>
                <w:szCs w:val="18"/>
              </w:rPr>
              <w:t>Notwithstanding clause B.1 of this standard, all cylinders and tubes whose wall thickness is less than the minimum design wall thickness shall be rejected.</w:t>
            </w:r>
          </w:p>
        </w:tc>
        <w:tc>
          <w:tcPr>
            <w:tcW w:w="1890" w:type="dxa"/>
            <w:vAlign w:val="center"/>
          </w:tcPr>
          <w:p w14:paraId="2AEB4F8C" w14:textId="77777777" w:rsidR="00E24634" w:rsidRPr="00CE1950" w:rsidRDefault="00E24634" w:rsidP="00104C98">
            <w:pPr>
              <w:widowControl w:val="0"/>
              <w:spacing w:before="40" w:after="40"/>
              <w:jc w:val="center"/>
              <w:rPr>
                <w:bCs/>
                <w:sz w:val="18"/>
                <w:szCs w:val="18"/>
              </w:rPr>
            </w:pPr>
            <w:r w:rsidRPr="00CE1950">
              <w:rPr>
                <w:bCs/>
                <w:sz w:val="18"/>
                <w:szCs w:val="18"/>
              </w:rPr>
              <w:t>Mandatorily from 1 January 2023</w:t>
            </w:r>
          </w:p>
        </w:tc>
      </w:tr>
    </w:tbl>
    <w:p w14:paraId="56BEC990" w14:textId="77777777" w:rsidR="00E24634" w:rsidRPr="00D4632B" w:rsidRDefault="00E24634" w:rsidP="00E24634">
      <w:pPr>
        <w:pStyle w:val="SingleTxtG"/>
        <w:spacing w:before="120"/>
        <w:rPr>
          <w:lang w:val="fr-FR"/>
        </w:rPr>
      </w:pPr>
      <w:r w:rsidRPr="00D4632B">
        <w:rPr>
          <w:lang w:val="fr-FR"/>
        </w:rPr>
        <w:tab/>
      </w:r>
      <w:r w:rsidRPr="00D4632B">
        <w:rPr>
          <w:lang w:val="fr-FR"/>
        </w:rPr>
        <w:tab/>
      </w:r>
      <w:r w:rsidRPr="00D4632B">
        <w:rPr>
          <w:lang w:val="fr-FR"/>
        </w:rPr>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1098D65C" w14:textId="1A09678B" w:rsidR="00EF30EB" w:rsidRPr="00EF30EB" w:rsidRDefault="00EF30EB" w:rsidP="00EF30EB">
      <w:pPr>
        <w:pStyle w:val="Bullet1G"/>
      </w:pPr>
      <w:r>
        <w:t>F</w:t>
      </w:r>
      <w:r w:rsidRPr="00DB762A">
        <w:t xml:space="preserve">or “EN 1440:2016 (except </w:t>
      </w:r>
      <w:r w:rsidR="00891D5E">
        <w:t>A</w:t>
      </w:r>
      <w:r w:rsidR="00891D5E" w:rsidRPr="00DB762A">
        <w:t xml:space="preserve">nnex </w:t>
      </w:r>
      <w:r w:rsidRPr="00DB762A">
        <w:t xml:space="preserve">C)”, in column (3), replace </w:t>
      </w:r>
      <w:r w:rsidR="00773F5D">
        <w:t xml:space="preserve">the existing text </w:t>
      </w:r>
      <w:r w:rsidR="00A56BB4">
        <w:t>with “</w:t>
      </w:r>
      <w:r w:rsidR="00773F5D">
        <w:t xml:space="preserve">Until 31 December </w:t>
      </w:r>
      <w:r w:rsidRPr="00DB762A">
        <w:t>2021”.</w:t>
      </w:r>
      <w:r w:rsidRPr="00EF30EB">
        <w:t xml:space="preserve"> </w:t>
      </w:r>
    </w:p>
    <w:p w14:paraId="52643F9E" w14:textId="52C35F1A" w:rsidR="00EF30EB" w:rsidRPr="00D4632B" w:rsidRDefault="00EF30EB" w:rsidP="00EF30EB">
      <w:pPr>
        <w:tabs>
          <w:tab w:val="left" w:pos="2410"/>
        </w:tabs>
        <w:spacing w:after="240"/>
        <w:rPr>
          <w:i/>
          <w:iCs/>
          <w:lang w:val="fr-FR"/>
        </w:rPr>
      </w:pPr>
      <w:r w:rsidRPr="00EF30EB">
        <w:rPr>
          <w:i/>
          <w:iCs/>
        </w:rPr>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35F21116" w14:textId="75D5F8F7" w:rsidR="00A56BB4" w:rsidRPr="00DB762A" w:rsidRDefault="00A56BB4" w:rsidP="00A56BB4">
      <w:pPr>
        <w:pStyle w:val="Bullet1G"/>
      </w:pPr>
      <w:r>
        <w:t>After</w:t>
      </w:r>
      <w:r w:rsidRPr="00DB762A">
        <w:t xml:space="preserve"> the </w:t>
      </w:r>
      <w:r>
        <w:t xml:space="preserve">existing row for “EN 1440:2016 (except </w:t>
      </w:r>
      <w:r w:rsidR="00891D5E">
        <w:t xml:space="preserve">Annex </w:t>
      </w:r>
      <w:r>
        <w:t>C)”,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103"/>
        <w:gridCol w:w="1833"/>
      </w:tblGrid>
      <w:tr w:rsidR="00A56BB4" w:rsidRPr="00CE1950" w14:paraId="64D585BD" w14:textId="77777777" w:rsidTr="00A56BB4">
        <w:tc>
          <w:tcPr>
            <w:tcW w:w="1524" w:type="dxa"/>
            <w:vAlign w:val="center"/>
          </w:tcPr>
          <w:p w14:paraId="22863CA8" w14:textId="77777777" w:rsidR="00A56BB4" w:rsidRPr="00D4632B" w:rsidRDefault="00A56BB4" w:rsidP="000B4873">
            <w:pPr>
              <w:widowControl w:val="0"/>
              <w:spacing w:before="60" w:after="60"/>
              <w:rPr>
                <w:rFonts w:cs="Arial"/>
                <w:sz w:val="18"/>
                <w:szCs w:val="18"/>
                <w:lang w:val="fr-FR"/>
              </w:rPr>
            </w:pPr>
            <w:r w:rsidRPr="00D4632B">
              <w:rPr>
                <w:rFonts w:cs="Arial"/>
                <w:sz w:val="18"/>
                <w:szCs w:val="18"/>
                <w:lang w:val="fr-FR"/>
              </w:rPr>
              <w:t>EN 1440:2016 + A1:2018 (</w:t>
            </w:r>
            <w:proofErr w:type="spellStart"/>
            <w:r w:rsidRPr="00D4632B">
              <w:rPr>
                <w:rFonts w:cs="Arial"/>
                <w:sz w:val="18"/>
                <w:szCs w:val="18"/>
                <w:lang w:val="fr-FR"/>
              </w:rPr>
              <w:t>except</w:t>
            </w:r>
            <w:proofErr w:type="spellEnd"/>
            <w:r w:rsidRPr="00D4632B">
              <w:rPr>
                <w:rFonts w:cs="Arial"/>
                <w:sz w:val="18"/>
                <w:szCs w:val="18"/>
                <w:lang w:val="fr-FR"/>
              </w:rPr>
              <w:t xml:space="preserve"> Annex C)</w:t>
            </w:r>
          </w:p>
        </w:tc>
        <w:tc>
          <w:tcPr>
            <w:tcW w:w="5103" w:type="dxa"/>
            <w:vAlign w:val="center"/>
          </w:tcPr>
          <w:p w14:paraId="12D1AD56" w14:textId="77777777" w:rsidR="00A56BB4" w:rsidRPr="00CE1950" w:rsidRDefault="00A56BB4" w:rsidP="000B4873">
            <w:pPr>
              <w:widowControl w:val="0"/>
              <w:spacing w:before="60" w:after="60"/>
              <w:rPr>
                <w:rFonts w:cs="Arial"/>
                <w:sz w:val="18"/>
                <w:szCs w:val="18"/>
              </w:rPr>
            </w:pPr>
            <w:r w:rsidRPr="00CE1950">
              <w:rPr>
                <w:rFonts w:cs="Arial"/>
                <w:sz w:val="18"/>
                <w:szCs w:val="18"/>
              </w:rPr>
              <w:t>LPG equipment and accessories – Transportable refillable traditional welded and brazed steel Liquefied Petroleum Gas (LPG) cylinders – Periodic inspection</w:t>
            </w:r>
          </w:p>
        </w:tc>
        <w:tc>
          <w:tcPr>
            <w:tcW w:w="1833" w:type="dxa"/>
            <w:vAlign w:val="center"/>
          </w:tcPr>
          <w:p w14:paraId="10F3677B" w14:textId="77777777" w:rsidR="00A56BB4" w:rsidRPr="00CE1950" w:rsidRDefault="00A56BB4" w:rsidP="00A56BB4">
            <w:pPr>
              <w:widowControl w:val="0"/>
              <w:spacing w:before="60" w:after="60"/>
              <w:jc w:val="center"/>
              <w:rPr>
                <w:rFonts w:cs="Arial"/>
                <w:sz w:val="18"/>
                <w:szCs w:val="18"/>
              </w:rPr>
            </w:pPr>
            <w:r w:rsidRPr="00CE1950">
              <w:rPr>
                <w:rFonts w:cs="Arial"/>
                <w:sz w:val="18"/>
                <w:szCs w:val="18"/>
              </w:rPr>
              <w:t>Mandatorily from 1 January 2022</w:t>
            </w:r>
          </w:p>
        </w:tc>
      </w:tr>
    </w:tbl>
    <w:p w14:paraId="6E789C5E" w14:textId="48D094AF" w:rsidR="00A56BB4" w:rsidRPr="00D4632B" w:rsidRDefault="00A56BB4" w:rsidP="00A56BB4">
      <w:pPr>
        <w:pStyle w:val="SingleTxtG"/>
        <w:spacing w:before="120"/>
        <w:rPr>
          <w:lang w:val="fr-FR"/>
        </w:rPr>
      </w:pPr>
      <w:r w:rsidRPr="00D4632B">
        <w:rPr>
          <w:lang w:val="fr-FR"/>
        </w:rPr>
        <w:tab/>
      </w:r>
      <w:r w:rsidRPr="00D4632B">
        <w:rPr>
          <w:lang w:val="fr-FR"/>
        </w:rPr>
        <w:tab/>
      </w:r>
      <w:r w:rsidRPr="00D4632B">
        <w:rPr>
          <w:lang w:val="fr-FR"/>
        </w:rPr>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77B3DE8B" w14:textId="40E6CF25" w:rsidR="00F85EE3" w:rsidRPr="00A56BB4" w:rsidRDefault="00A56BB4" w:rsidP="00A56BB4">
      <w:pPr>
        <w:pStyle w:val="Bullet1G"/>
      </w:pPr>
      <w:r>
        <w:t>F</w:t>
      </w:r>
      <w:r w:rsidR="00F85EE3" w:rsidRPr="00DB762A">
        <w:t>or “EN 16728:2016 (except clause 3.5, Annex F and Annex G)”, in column</w:t>
      </w:r>
      <w:r>
        <w:t> </w:t>
      </w:r>
      <w:r w:rsidR="00F85EE3" w:rsidRPr="00DB762A">
        <w:t>(3), replace the existing text with “Until 31 December 2021”.</w:t>
      </w:r>
      <w:r w:rsidR="00F85EE3" w:rsidRPr="00A56BB4">
        <w:t xml:space="preserve"> </w:t>
      </w:r>
    </w:p>
    <w:p w14:paraId="4A6D62CC" w14:textId="1ABFAEFD" w:rsidR="00F85EE3" w:rsidRPr="00D4632B" w:rsidRDefault="00A56BB4" w:rsidP="00A56BB4">
      <w:pPr>
        <w:pStyle w:val="SingleTxtG"/>
        <w:spacing w:before="120"/>
        <w:rPr>
          <w:i/>
          <w:iCs/>
          <w:lang w:val="fr-FR"/>
        </w:rPr>
      </w:pPr>
      <w:r>
        <w:tab/>
      </w:r>
      <w:r>
        <w:tab/>
      </w:r>
      <w:r w:rsidR="00F85EE3" w:rsidRPr="00DB762A">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6173FFF4" w14:textId="250DF1E0" w:rsidR="00F85EE3" w:rsidRPr="00DB762A" w:rsidRDefault="00A56BB4" w:rsidP="00A56BB4">
      <w:pPr>
        <w:pStyle w:val="Bullet1G"/>
      </w:pPr>
      <w:r>
        <w:t>A</w:t>
      </w:r>
      <w:r w:rsidRPr="00DB762A">
        <w:t xml:space="preserve">fter the </w:t>
      </w:r>
      <w:r>
        <w:t>existing row</w:t>
      </w:r>
      <w:r w:rsidRPr="00DB762A">
        <w:t xml:space="preserve"> for “EN 16728:2016 (excep</w:t>
      </w:r>
      <w:r>
        <w:t>t clause 3.5, Annex F and Annex </w:t>
      </w:r>
      <w:r w:rsidRPr="00DB762A">
        <w:t>G)”</w:t>
      </w:r>
      <w:r>
        <w:t>, a</w:t>
      </w:r>
      <w:r w:rsidR="00F85EE3" w:rsidRPr="00DB762A">
        <w:t>dd the following new entry:</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140"/>
        <w:gridCol w:w="2079"/>
      </w:tblGrid>
      <w:tr w:rsidR="00F85EE3" w:rsidRPr="00CE1950" w14:paraId="4C0EA191" w14:textId="77777777" w:rsidTr="00A56BB4">
        <w:tc>
          <w:tcPr>
            <w:tcW w:w="2250" w:type="dxa"/>
            <w:vAlign w:val="center"/>
          </w:tcPr>
          <w:p w14:paraId="3A2F174C" w14:textId="77777777" w:rsidR="00F85EE3" w:rsidRPr="00CE1950" w:rsidRDefault="00F85EE3" w:rsidP="00C4318D">
            <w:pPr>
              <w:widowControl w:val="0"/>
              <w:spacing w:before="60" w:after="60"/>
              <w:rPr>
                <w:rFonts w:cs="Arial"/>
                <w:sz w:val="18"/>
                <w:szCs w:val="18"/>
              </w:rPr>
            </w:pPr>
            <w:r w:rsidRPr="00CE1950">
              <w:rPr>
                <w:rFonts w:cs="Arial"/>
                <w:sz w:val="18"/>
                <w:szCs w:val="18"/>
              </w:rPr>
              <w:t>EN 16728:2016 + A1:2018</w:t>
            </w:r>
          </w:p>
        </w:tc>
        <w:tc>
          <w:tcPr>
            <w:tcW w:w="4140" w:type="dxa"/>
            <w:vAlign w:val="center"/>
          </w:tcPr>
          <w:p w14:paraId="3B9D886A" w14:textId="77777777" w:rsidR="00F85EE3" w:rsidRPr="00CE1950" w:rsidRDefault="00F85EE3" w:rsidP="00C4318D">
            <w:pPr>
              <w:widowControl w:val="0"/>
              <w:spacing w:before="60" w:after="60"/>
              <w:rPr>
                <w:rFonts w:cs="Arial"/>
                <w:sz w:val="18"/>
                <w:szCs w:val="18"/>
              </w:rPr>
            </w:pPr>
            <w:r w:rsidRPr="00CE1950">
              <w:rPr>
                <w:rFonts w:cs="Arial"/>
                <w:sz w:val="18"/>
                <w:szCs w:val="18"/>
              </w:rPr>
              <w:t>LPG equipment and accessories – Transportable refillable LPG cylinders other than traditional welded and brazed steel cylinders – Periodic inspection</w:t>
            </w:r>
          </w:p>
        </w:tc>
        <w:tc>
          <w:tcPr>
            <w:tcW w:w="2079" w:type="dxa"/>
            <w:vAlign w:val="center"/>
          </w:tcPr>
          <w:p w14:paraId="25872120" w14:textId="77777777" w:rsidR="00F85EE3" w:rsidRPr="00CE1950" w:rsidRDefault="00F85EE3" w:rsidP="00A56BB4">
            <w:pPr>
              <w:widowControl w:val="0"/>
              <w:spacing w:before="60" w:after="60"/>
              <w:jc w:val="center"/>
              <w:rPr>
                <w:rFonts w:cs="Arial"/>
                <w:sz w:val="18"/>
                <w:szCs w:val="18"/>
              </w:rPr>
            </w:pPr>
            <w:r w:rsidRPr="00CE1950">
              <w:rPr>
                <w:rFonts w:cs="Arial"/>
                <w:sz w:val="18"/>
                <w:szCs w:val="18"/>
              </w:rPr>
              <w:t>Mandatorily from 1 January 2022</w:t>
            </w:r>
          </w:p>
        </w:tc>
      </w:tr>
    </w:tbl>
    <w:p w14:paraId="68590274" w14:textId="5795D0A0" w:rsidR="00F85EE3" w:rsidRPr="00D4632B" w:rsidRDefault="00A56BB4" w:rsidP="00C4318D">
      <w:pPr>
        <w:pStyle w:val="SingleTxtG"/>
        <w:spacing w:before="120"/>
        <w:rPr>
          <w:lang w:val="fr-FR"/>
        </w:rPr>
      </w:pPr>
      <w:r w:rsidRPr="00D4632B">
        <w:rPr>
          <w:lang w:val="fr-FR"/>
        </w:rPr>
        <w:tab/>
      </w:r>
      <w:r w:rsidRPr="00D4632B">
        <w:rPr>
          <w:lang w:val="fr-FR"/>
        </w:rPr>
        <w:tab/>
      </w:r>
      <w:r w:rsidR="00F85EE3" w:rsidRPr="00D4632B">
        <w:rPr>
          <w:lang w:val="fr-FR"/>
        </w:rPr>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39C0009F" w14:textId="77777777" w:rsidR="00F85EE3" w:rsidRPr="00DB762A" w:rsidRDefault="00F85EE3" w:rsidP="00C4318D">
      <w:pPr>
        <w:pStyle w:val="SingleTxtG"/>
      </w:pPr>
      <w:r w:rsidRPr="00DB762A">
        <w:t>6.2.6.1.5</w:t>
      </w:r>
      <w:r w:rsidRPr="00DB762A">
        <w:tab/>
        <w:t xml:space="preserve">Amend the first sentence to read as follows: </w:t>
      </w:r>
    </w:p>
    <w:p w14:paraId="15E49D7E" w14:textId="66063411" w:rsidR="00F85EE3" w:rsidRPr="00DB762A" w:rsidRDefault="00963C27" w:rsidP="00094174">
      <w:pPr>
        <w:pStyle w:val="SingleTxtG"/>
        <w:ind w:left="2268"/>
      </w:pPr>
      <w:r>
        <w:rPr>
          <w:iCs/>
        </w:rPr>
        <w:t>“</w:t>
      </w:r>
      <w:r w:rsidR="00F85EE3" w:rsidRPr="00DB762A">
        <w:t>The internal pressure of aerosol dispensers at 50 °C shall exceed neither two-thirds of the test pressure nor 1.2 MPa (12 bar) when using flammable liquefied gases, 1.32</w:t>
      </w:r>
      <w:r w:rsidR="00A56BB4">
        <w:t> </w:t>
      </w:r>
      <w:r w:rsidR="00F85EE3" w:rsidRPr="00DB762A">
        <w:t>MPa (13.2</w:t>
      </w:r>
      <w:r w:rsidR="00A56BB4">
        <w:t> </w:t>
      </w:r>
      <w:r w:rsidR="00F85EE3" w:rsidRPr="00DB762A">
        <w:t>bar) when using non-flammable</w:t>
      </w:r>
      <w:r w:rsidR="00094174">
        <w:t xml:space="preserve"> liquefied gases, and 1.5 </w:t>
      </w:r>
      <w:r w:rsidR="00F85EE3" w:rsidRPr="00DB762A">
        <w:t>MPa (15 bar) when using non-flammable compressed or dissolved gases.</w:t>
      </w:r>
      <w:r>
        <w:rPr>
          <w:iCs/>
        </w:rPr>
        <w:t>”</w:t>
      </w:r>
      <w:r w:rsidR="00F85EE3" w:rsidRPr="00DB762A">
        <w:t>.</w:t>
      </w:r>
    </w:p>
    <w:p w14:paraId="7E7ABA6B" w14:textId="77777777" w:rsidR="00F85EE3" w:rsidRPr="00DB762A" w:rsidRDefault="00F85EE3" w:rsidP="00094174">
      <w:pPr>
        <w:pStyle w:val="SingleTxtG"/>
        <w:ind w:left="1701" w:firstLine="567"/>
        <w:rPr>
          <w:i/>
          <w:iCs/>
        </w:rPr>
      </w:pPr>
      <w:r w:rsidRPr="00DB762A">
        <w:rPr>
          <w:i/>
          <w:iCs/>
        </w:rPr>
        <w:t>(Reference document: ECE/TRANS/WP.15/AC.1/2018/17)</w:t>
      </w:r>
    </w:p>
    <w:p w14:paraId="454E9E4C" w14:textId="77777777" w:rsidR="00F85EE3" w:rsidRPr="00DB762A" w:rsidRDefault="00F85EE3" w:rsidP="00963C27">
      <w:pPr>
        <w:pStyle w:val="H1G"/>
      </w:pPr>
      <w:r w:rsidRPr="00DB762A">
        <w:lastRenderedPageBreak/>
        <w:tab/>
      </w:r>
      <w:r w:rsidRPr="00DB762A">
        <w:tab/>
        <w:t>Chapter 6.8</w:t>
      </w:r>
    </w:p>
    <w:p w14:paraId="30EC258B" w14:textId="77777777" w:rsidR="00963C27" w:rsidRDefault="00F85EE3" w:rsidP="00963C27">
      <w:pPr>
        <w:pStyle w:val="SingleTxtG"/>
        <w:keepNext/>
        <w:keepLines/>
        <w:spacing w:before="120"/>
      </w:pPr>
      <w:r w:rsidRPr="00DB762A">
        <w:t>6.8.2.6.1</w:t>
      </w:r>
      <w:r w:rsidRPr="00DB762A">
        <w:tab/>
      </w:r>
      <w:r w:rsidR="00A56BB4">
        <w:t>Amend the table</w:t>
      </w:r>
      <w:r w:rsidR="00963C27">
        <w:t xml:space="preserve"> as follows: </w:t>
      </w:r>
    </w:p>
    <w:p w14:paraId="78EED025" w14:textId="57D44EE5" w:rsidR="00A56BB4" w:rsidRDefault="00963C27" w:rsidP="00963C27">
      <w:pPr>
        <w:pStyle w:val="SingleTxtG"/>
        <w:keepNext/>
        <w:keepLines/>
        <w:spacing w:before="120"/>
        <w:ind w:firstLine="567"/>
      </w:pPr>
      <w:r>
        <w:t>(a)</w:t>
      </w:r>
      <w:r>
        <w:tab/>
        <w:t>U</w:t>
      </w:r>
      <w:r w:rsidR="00E15B59">
        <w:t>nder “</w:t>
      </w:r>
      <w:r w:rsidR="00E15B59" w:rsidRPr="00A56BB4">
        <w:rPr>
          <w:b/>
          <w:bCs/>
        </w:rPr>
        <w:t>for design and construction of tanks</w:t>
      </w:r>
      <w:r w:rsidR="00E15B59">
        <w:t>”</w:t>
      </w:r>
      <w:r w:rsidR="00A56BB4">
        <w:t>:</w:t>
      </w:r>
    </w:p>
    <w:p w14:paraId="741B9429" w14:textId="7DAB9DDB" w:rsidR="00F85EE3" w:rsidRPr="00A56BB4" w:rsidRDefault="00A56BB4" w:rsidP="00A56BB4">
      <w:pPr>
        <w:pStyle w:val="Bullet1G"/>
      </w:pPr>
      <w:r>
        <w:t>F</w:t>
      </w:r>
      <w:r w:rsidR="00F85EE3" w:rsidRPr="00DB762A">
        <w:t>or “EN 14025:2013</w:t>
      </w:r>
      <w:r w:rsidR="00D4632B">
        <w:t xml:space="preserve"> </w:t>
      </w:r>
      <w:r w:rsidR="00F85EE3" w:rsidRPr="00DB762A">
        <w:t>+</w:t>
      </w:r>
      <w:r w:rsidR="00D4632B">
        <w:t xml:space="preserve"> </w:t>
      </w:r>
      <w:r w:rsidR="00F85EE3" w:rsidRPr="00DB762A">
        <w:t>A1:2016</w:t>
      </w:r>
      <w:r w:rsidR="00E15B59">
        <w:t xml:space="preserve"> (except Annex B)</w:t>
      </w:r>
      <w:r w:rsidR="00F85EE3" w:rsidRPr="00DB762A">
        <w:t xml:space="preserve">”, in column (4), replace </w:t>
      </w:r>
      <w:r w:rsidR="00610EE2">
        <w:t>the existing text</w:t>
      </w:r>
      <w:r w:rsidR="00F85EE3" w:rsidRPr="00DB762A">
        <w:t xml:space="preserve"> with “Between 1 January 2017 and 31 December 2021”.</w:t>
      </w:r>
      <w:r w:rsidR="00F85EE3" w:rsidRPr="00A56BB4">
        <w:t xml:space="preserve"> </w:t>
      </w:r>
    </w:p>
    <w:p w14:paraId="610FDED4" w14:textId="68086070" w:rsidR="00F85EE3" w:rsidRPr="00D4632B" w:rsidRDefault="00E15B59" w:rsidP="00E15B59">
      <w:pPr>
        <w:pStyle w:val="SingleTxtG"/>
        <w:tabs>
          <w:tab w:val="left" w:pos="2410"/>
        </w:tabs>
        <w:rPr>
          <w:lang w:val="fr-FR"/>
        </w:rPr>
      </w:pPr>
      <w:r>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38E4679F" w14:textId="4B426827" w:rsidR="00F85EE3" w:rsidRPr="00DB762A" w:rsidRDefault="00E15B59" w:rsidP="00E15B59">
      <w:pPr>
        <w:pStyle w:val="Bullet1G"/>
      </w:pPr>
      <w:r>
        <w:t>A</w:t>
      </w:r>
      <w:r w:rsidRPr="00DB762A">
        <w:t xml:space="preserve">fter the </w:t>
      </w:r>
      <w:r>
        <w:t>existing row</w:t>
      </w:r>
      <w:r w:rsidRPr="00DB762A">
        <w:t xml:space="preserve"> for </w:t>
      </w:r>
      <w:r>
        <w:t>“EN 14025:2013</w:t>
      </w:r>
      <w:r w:rsidR="00D4632B">
        <w:t xml:space="preserve"> </w:t>
      </w:r>
      <w:r w:rsidRPr="00DB762A">
        <w:t>+</w:t>
      </w:r>
      <w:r w:rsidR="00D4632B">
        <w:t xml:space="preserve"> </w:t>
      </w:r>
      <w:r w:rsidRPr="00DB762A">
        <w:t>A1:2016</w:t>
      </w:r>
      <w:r>
        <w:t xml:space="preserve"> (except Annex B)</w:t>
      </w:r>
      <w:r w:rsidRPr="00DB762A">
        <w:t>”</w:t>
      </w:r>
      <w:r>
        <w:t>, add</w:t>
      </w:r>
      <w:r w:rsidR="00F85EE3" w:rsidRPr="00DB762A">
        <w:t xml:space="preserve"> the following new entries</w:t>
      </w:r>
      <w:r>
        <w:t>:</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720"/>
        <w:gridCol w:w="1530"/>
        <w:gridCol w:w="270"/>
      </w:tblGrid>
      <w:tr w:rsidR="00F85EE3" w:rsidRPr="00CE1950" w14:paraId="02D89470" w14:textId="77777777" w:rsidTr="00C4318D">
        <w:tc>
          <w:tcPr>
            <w:tcW w:w="1440" w:type="dxa"/>
            <w:vAlign w:val="center"/>
          </w:tcPr>
          <w:p w14:paraId="2D681B3A" w14:textId="77777777" w:rsidR="00F85EE3" w:rsidRPr="00CE1950" w:rsidRDefault="00F85EE3" w:rsidP="00C4318D">
            <w:pPr>
              <w:widowControl w:val="0"/>
              <w:spacing w:before="40" w:after="40"/>
              <w:rPr>
                <w:rFonts w:cs="Arial"/>
                <w:sz w:val="18"/>
                <w:szCs w:val="18"/>
              </w:rPr>
            </w:pPr>
            <w:r w:rsidRPr="00CE1950">
              <w:rPr>
                <w:rFonts w:cs="Arial"/>
                <w:iCs/>
                <w:sz w:val="18"/>
                <w:szCs w:val="18"/>
              </w:rPr>
              <w:t>EN </w:t>
            </w:r>
            <w:r w:rsidRPr="00CE1950">
              <w:rPr>
                <w:rFonts w:cs="Arial"/>
                <w:sz w:val="18"/>
                <w:szCs w:val="18"/>
              </w:rPr>
              <w:t>14025:2018</w:t>
            </w:r>
          </w:p>
        </w:tc>
        <w:tc>
          <w:tcPr>
            <w:tcW w:w="4140" w:type="dxa"/>
            <w:vAlign w:val="center"/>
          </w:tcPr>
          <w:p w14:paraId="0DE93918" w14:textId="77777777" w:rsidR="00F85EE3" w:rsidRPr="00CE1950" w:rsidRDefault="00F85EE3" w:rsidP="00C4318D">
            <w:pPr>
              <w:widowControl w:val="0"/>
              <w:spacing w:before="40" w:after="40"/>
              <w:rPr>
                <w:rFonts w:cs="Arial"/>
                <w:sz w:val="18"/>
                <w:szCs w:val="18"/>
              </w:rPr>
            </w:pPr>
            <w:r w:rsidRPr="00CE1950">
              <w:rPr>
                <w:rFonts w:cs="Arial"/>
                <w:sz w:val="18"/>
                <w:szCs w:val="18"/>
              </w:rPr>
              <w:t>Tanks for the transport of dangerous goods – Metallic pressure tanks – Design and construction</w:t>
            </w:r>
          </w:p>
          <w:p w14:paraId="474009F6" w14:textId="77777777" w:rsidR="00F85EE3" w:rsidRPr="00CE1950" w:rsidRDefault="00F85EE3" w:rsidP="00C4318D">
            <w:pPr>
              <w:widowControl w:val="0"/>
              <w:spacing w:before="40" w:after="40"/>
              <w:rPr>
                <w:rFonts w:cs="Arial"/>
                <w:i/>
                <w:sz w:val="18"/>
                <w:szCs w:val="18"/>
              </w:rPr>
            </w:pPr>
            <w:r w:rsidRPr="00CE1950">
              <w:rPr>
                <w:rFonts w:cs="Arial"/>
                <w:b/>
                <w:bCs/>
                <w:i/>
                <w:sz w:val="18"/>
                <w:szCs w:val="18"/>
              </w:rPr>
              <w:t>NOTE:</w:t>
            </w:r>
            <w:r w:rsidRPr="00CE1950">
              <w:rPr>
                <w:rFonts w:cs="Arial"/>
                <w:i/>
                <w:sz w:val="18"/>
                <w:szCs w:val="18"/>
              </w:rPr>
              <w:t xml:space="preserve"> Materials of shells shall at least be attested by a type 3.1 certificate issued in accordance with standard EN 10204.</w:t>
            </w:r>
          </w:p>
        </w:tc>
        <w:tc>
          <w:tcPr>
            <w:tcW w:w="720" w:type="dxa"/>
            <w:vAlign w:val="center"/>
          </w:tcPr>
          <w:p w14:paraId="7ECAFDB4" w14:textId="231FF056" w:rsidR="00F85EE3" w:rsidRPr="00CE1950" w:rsidRDefault="00F85EE3" w:rsidP="00C4318D">
            <w:pPr>
              <w:widowControl w:val="0"/>
              <w:spacing w:before="40" w:after="40"/>
              <w:rPr>
                <w:rFonts w:cs="Arial"/>
                <w:sz w:val="18"/>
                <w:szCs w:val="18"/>
              </w:rPr>
            </w:pPr>
            <w:r w:rsidRPr="00CE1950">
              <w:rPr>
                <w:rFonts w:cs="Arial"/>
                <w:sz w:val="18"/>
                <w:szCs w:val="18"/>
              </w:rPr>
              <w:t>6.8.2.1 and 6.8.3.1</w:t>
            </w:r>
          </w:p>
        </w:tc>
        <w:tc>
          <w:tcPr>
            <w:tcW w:w="1530" w:type="dxa"/>
            <w:vAlign w:val="center"/>
          </w:tcPr>
          <w:p w14:paraId="4C73CC57" w14:textId="77777777" w:rsidR="00F85EE3" w:rsidRPr="00CE1950" w:rsidRDefault="00F85EE3" w:rsidP="00C4318D">
            <w:pPr>
              <w:widowControl w:val="0"/>
              <w:spacing w:before="40" w:after="40"/>
              <w:jc w:val="center"/>
              <w:rPr>
                <w:rFonts w:cs="Arial"/>
                <w:sz w:val="18"/>
                <w:szCs w:val="18"/>
              </w:rPr>
            </w:pPr>
            <w:r w:rsidRPr="00CE1950">
              <w:rPr>
                <w:rFonts w:cs="Arial"/>
                <w:sz w:val="18"/>
                <w:szCs w:val="18"/>
              </w:rPr>
              <w:t>Until further notice</w:t>
            </w:r>
          </w:p>
        </w:tc>
        <w:tc>
          <w:tcPr>
            <w:tcW w:w="270" w:type="dxa"/>
            <w:vAlign w:val="center"/>
          </w:tcPr>
          <w:p w14:paraId="1172F974" w14:textId="77777777" w:rsidR="00F85EE3" w:rsidRPr="00CE1950" w:rsidRDefault="00F85EE3" w:rsidP="00C4318D">
            <w:pPr>
              <w:widowControl w:val="0"/>
              <w:spacing w:before="40" w:after="40"/>
              <w:rPr>
                <w:rFonts w:cs="Arial"/>
                <w:sz w:val="18"/>
                <w:szCs w:val="18"/>
              </w:rPr>
            </w:pPr>
          </w:p>
        </w:tc>
      </w:tr>
      <w:tr w:rsidR="00F85EE3" w:rsidRPr="00CE1950" w14:paraId="3FD17429" w14:textId="77777777" w:rsidTr="00C4318D">
        <w:tc>
          <w:tcPr>
            <w:tcW w:w="1440" w:type="dxa"/>
            <w:vAlign w:val="center"/>
          </w:tcPr>
          <w:p w14:paraId="49C33021" w14:textId="77777777" w:rsidR="00F85EE3" w:rsidRPr="00CE1950" w:rsidRDefault="00F85EE3" w:rsidP="00C4318D">
            <w:pPr>
              <w:widowControl w:val="0"/>
              <w:spacing w:before="60" w:after="60"/>
              <w:rPr>
                <w:rFonts w:cs="Arial"/>
                <w:sz w:val="18"/>
                <w:szCs w:val="18"/>
              </w:rPr>
            </w:pPr>
            <w:r w:rsidRPr="00CE1950">
              <w:rPr>
                <w:rFonts w:cs="Arial"/>
                <w:sz w:val="18"/>
                <w:szCs w:val="18"/>
              </w:rPr>
              <w:t>EN 12972:2018</w:t>
            </w:r>
          </w:p>
        </w:tc>
        <w:tc>
          <w:tcPr>
            <w:tcW w:w="4140" w:type="dxa"/>
            <w:vAlign w:val="center"/>
          </w:tcPr>
          <w:p w14:paraId="601A389B" w14:textId="77777777" w:rsidR="00F85EE3" w:rsidRPr="00CE1950" w:rsidRDefault="00F85EE3" w:rsidP="00C4318D">
            <w:pPr>
              <w:widowControl w:val="0"/>
              <w:spacing w:before="60" w:after="60"/>
              <w:rPr>
                <w:rFonts w:cs="Arial"/>
                <w:sz w:val="18"/>
                <w:szCs w:val="18"/>
              </w:rPr>
            </w:pPr>
            <w:r w:rsidRPr="00CE1950">
              <w:rPr>
                <w:rFonts w:cs="Arial"/>
                <w:sz w:val="18"/>
                <w:szCs w:val="18"/>
              </w:rPr>
              <w:t>Tanks for transport of dangerous goods – Testing, inspection and marking of metallic tanks</w:t>
            </w:r>
          </w:p>
        </w:tc>
        <w:tc>
          <w:tcPr>
            <w:tcW w:w="720" w:type="dxa"/>
            <w:vAlign w:val="center"/>
          </w:tcPr>
          <w:p w14:paraId="68FA8240" w14:textId="77777777" w:rsidR="00F85EE3" w:rsidRPr="00CE1950" w:rsidRDefault="00F85EE3" w:rsidP="00C4318D">
            <w:pPr>
              <w:widowControl w:val="0"/>
              <w:spacing w:before="60" w:after="60"/>
              <w:rPr>
                <w:rFonts w:cs="Arial"/>
                <w:sz w:val="18"/>
                <w:szCs w:val="18"/>
              </w:rPr>
            </w:pPr>
            <w:r w:rsidRPr="00CE1950">
              <w:rPr>
                <w:rFonts w:cs="Arial"/>
                <w:sz w:val="18"/>
                <w:szCs w:val="18"/>
              </w:rPr>
              <w:t>6.8.2.3</w:t>
            </w:r>
          </w:p>
        </w:tc>
        <w:tc>
          <w:tcPr>
            <w:tcW w:w="1530" w:type="dxa"/>
            <w:vAlign w:val="center"/>
          </w:tcPr>
          <w:p w14:paraId="6D63B953" w14:textId="77777777" w:rsidR="00F85EE3" w:rsidRPr="00CE1950" w:rsidRDefault="00F85EE3" w:rsidP="00C4318D">
            <w:pPr>
              <w:widowControl w:val="0"/>
              <w:spacing w:before="60" w:after="60"/>
              <w:rPr>
                <w:rFonts w:cs="Arial"/>
                <w:sz w:val="18"/>
                <w:szCs w:val="18"/>
              </w:rPr>
            </w:pPr>
            <w:r w:rsidRPr="00CE1950">
              <w:rPr>
                <w:rFonts w:cs="Arial"/>
                <w:sz w:val="18"/>
                <w:szCs w:val="18"/>
              </w:rPr>
              <w:t>Mandatorily from 1 January 2022</w:t>
            </w:r>
          </w:p>
        </w:tc>
        <w:tc>
          <w:tcPr>
            <w:tcW w:w="270" w:type="dxa"/>
            <w:vAlign w:val="center"/>
          </w:tcPr>
          <w:p w14:paraId="25C98A75" w14:textId="77777777" w:rsidR="00F85EE3" w:rsidRPr="00CE1950" w:rsidRDefault="00F85EE3" w:rsidP="00C4318D">
            <w:pPr>
              <w:widowControl w:val="0"/>
              <w:spacing w:before="60" w:after="60"/>
              <w:rPr>
                <w:rFonts w:cs="Arial"/>
                <w:sz w:val="18"/>
                <w:szCs w:val="18"/>
              </w:rPr>
            </w:pPr>
          </w:p>
        </w:tc>
      </w:tr>
    </w:tbl>
    <w:p w14:paraId="61621193" w14:textId="4765CAEA" w:rsidR="00F85EE3" w:rsidRPr="00DB762A" w:rsidRDefault="00F85EE3" w:rsidP="00C4318D">
      <w:pPr>
        <w:pStyle w:val="SingleTxtG"/>
        <w:spacing w:before="240"/>
      </w:pPr>
      <w:r w:rsidRPr="00DB762A">
        <w:tab/>
      </w:r>
      <w:r w:rsidR="00E15B59">
        <w:tab/>
      </w:r>
      <w:r w:rsidR="00E15B59">
        <w:tab/>
      </w:r>
      <w:r w:rsidR="00E15B59">
        <w:tab/>
      </w:r>
      <w:r w:rsidRPr="00DB762A">
        <w:rPr>
          <w:i/>
          <w:iCs/>
        </w:rPr>
        <w:t>(Reference document: informal document INF.29, as amended)</w:t>
      </w:r>
    </w:p>
    <w:p w14:paraId="563ACAD2" w14:textId="6AED2DBB" w:rsidR="00F85EE3" w:rsidRPr="00DB762A" w:rsidRDefault="00094174" w:rsidP="00C4318D">
      <w:pPr>
        <w:pStyle w:val="SingleTxtG"/>
        <w:spacing w:before="120"/>
        <w:rPr>
          <w:b/>
          <w:bCs/>
        </w:rPr>
      </w:pPr>
      <w:r>
        <w:rPr>
          <w:b/>
          <w:bCs/>
        </w:rPr>
        <w:tab/>
      </w:r>
      <w:r w:rsidR="007C4167">
        <w:rPr>
          <w:b/>
          <w:bCs/>
        </w:rPr>
        <w:tab/>
      </w:r>
      <w:r w:rsidR="00F85EE3" w:rsidRPr="00DB762A">
        <w:rPr>
          <w:b/>
          <w:bCs/>
        </w:rPr>
        <w:tab/>
        <w:t>[ADR only]</w:t>
      </w:r>
    </w:p>
    <w:p w14:paraId="2883B2A2" w14:textId="3E6CD245" w:rsidR="00F85EE3" w:rsidRPr="00E15B59" w:rsidRDefault="00E15B59" w:rsidP="00E15B59">
      <w:pPr>
        <w:pStyle w:val="Bullet1G"/>
        <w:spacing w:before="240"/>
      </w:pPr>
      <w:r>
        <w:t>F</w:t>
      </w:r>
      <w:r w:rsidR="00F85EE3" w:rsidRPr="00DB762A">
        <w:t>or “EN 12493:2013+A1:2014</w:t>
      </w:r>
      <w:r w:rsidR="00D4632B">
        <w:t xml:space="preserve"> </w:t>
      </w:r>
      <w:r w:rsidR="00F85EE3" w:rsidRPr="00DB762A">
        <w:t>+</w:t>
      </w:r>
      <w:r w:rsidR="00D4632B">
        <w:t xml:space="preserve"> </w:t>
      </w:r>
      <w:r w:rsidR="00F85EE3" w:rsidRPr="00DB762A">
        <w:t>AC</w:t>
      </w:r>
      <w:r>
        <w:t>:</w:t>
      </w:r>
      <w:r w:rsidR="00F85EE3" w:rsidRPr="00DB762A">
        <w:t>2015 (except Annex C)”, in column (4)</w:t>
      </w:r>
      <w:r w:rsidR="00610EE2">
        <w:t>,</w:t>
      </w:r>
      <w:r w:rsidR="00F85EE3" w:rsidRPr="00DB762A">
        <w:t xml:space="preserve"> </w:t>
      </w:r>
      <w:r w:rsidR="00610EE2">
        <w:t>replace the existing text</w:t>
      </w:r>
      <w:r w:rsidR="00610EE2" w:rsidRPr="00DB762A">
        <w:t xml:space="preserve"> </w:t>
      </w:r>
      <w:r w:rsidR="00F85EE3" w:rsidRPr="00DB762A">
        <w:t>with “Between 1 January 2017 and 31 December 2022”.</w:t>
      </w:r>
      <w:r w:rsidR="00F85EE3" w:rsidRPr="00E15B59">
        <w:t xml:space="preserve"> </w:t>
      </w:r>
    </w:p>
    <w:p w14:paraId="5F68AA3F" w14:textId="7C0AE9C1" w:rsidR="00F85EE3" w:rsidRPr="00D4632B" w:rsidRDefault="00E15B59" w:rsidP="00C4318D">
      <w:pPr>
        <w:pStyle w:val="SingleTxtG"/>
        <w:rPr>
          <w:lang w:val="fr-FR"/>
        </w:rPr>
      </w:pPr>
      <w:r>
        <w:tab/>
      </w:r>
      <w:r>
        <w:tab/>
      </w:r>
      <w:r w:rsidR="00F85EE3" w:rsidRPr="00DB762A">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4D5811F8" w14:textId="69FA3EC7" w:rsidR="00F85EE3" w:rsidRPr="00DB762A" w:rsidRDefault="00035E6A" w:rsidP="00035E6A">
      <w:pPr>
        <w:pStyle w:val="Bullet1G"/>
        <w:spacing w:before="240"/>
      </w:pPr>
      <w:r>
        <w:t>A</w:t>
      </w:r>
      <w:r w:rsidRPr="00DB762A">
        <w:t xml:space="preserve">fter the </w:t>
      </w:r>
      <w:r>
        <w:t>existing row</w:t>
      </w:r>
      <w:r w:rsidRPr="00DB762A">
        <w:t xml:space="preserve"> for </w:t>
      </w:r>
      <w:r w:rsidR="00F85EE3" w:rsidRPr="00DB762A">
        <w:tab/>
      </w:r>
      <w:r w:rsidRPr="00DB762A">
        <w:t>“EN</w:t>
      </w:r>
      <w:r>
        <w:t> </w:t>
      </w:r>
      <w:r w:rsidRPr="00DB762A">
        <w:t>12493:2013</w:t>
      </w:r>
      <w:r w:rsidR="00D4632B">
        <w:t xml:space="preserve"> </w:t>
      </w:r>
      <w:r w:rsidRPr="00DB762A">
        <w:t>+</w:t>
      </w:r>
      <w:r w:rsidR="00D4632B">
        <w:t xml:space="preserve"> </w:t>
      </w:r>
      <w:r w:rsidRPr="00DB762A">
        <w:t>A1:2014+AC</w:t>
      </w:r>
      <w:r>
        <w:t>:</w:t>
      </w:r>
      <w:r w:rsidRPr="00DB762A">
        <w:t>2015</w:t>
      </w:r>
      <w:r w:rsidR="00094174">
        <w:t xml:space="preserve"> </w:t>
      </w:r>
      <w:r>
        <w:t xml:space="preserve">(except </w:t>
      </w:r>
      <w:r w:rsidR="00D4632B">
        <w:t xml:space="preserve">Annex </w:t>
      </w:r>
      <w:r w:rsidRPr="00DB762A">
        <w:t>C)”</w:t>
      </w:r>
      <w:r>
        <w:t>, a</w:t>
      </w:r>
      <w:r w:rsidR="00F85EE3" w:rsidRPr="00DB762A">
        <w:t>dd the following new entry:</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22"/>
        <w:gridCol w:w="1701"/>
        <w:gridCol w:w="1217"/>
        <w:gridCol w:w="270"/>
      </w:tblGrid>
      <w:tr w:rsidR="00F85EE3" w:rsidRPr="00CE1950" w14:paraId="79388B3F" w14:textId="77777777" w:rsidTr="00035E6A">
        <w:tc>
          <w:tcPr>
            <w:tcW w:w="1620" w:type="dxa"/>
            <w:vAlign w:val="center"/>
          </w:tcPr>
          <w:p w14:paraId="46B64430" w14:textId="77777777" w:rsidR="00F85EE3" w:rsidRPr="00D4632B" w:rsidRDefault="00F85EE3" w:rsidP="00CE1950">
            <w:pPr>
              <w:widowControl w:val="0"/>
              <w:spacing w:before="40" w:after="40"/>
              <w:rPr>
                <w:bCs/>
                <w:iCs/>
                <w:sz w:val="18"/>
                <w:szCs w:val="18"/>
                <w:lang w:val="fr-FR"/>
              </w:rPr>
            </w:pPr>
            <w:r w:rsidRPr="00D4632B">
              <w:rPr>
                <w:bCs/>
                <w:iCs/>
                <w:sz w:val="18"/>
                <w:szCs w:val="18"/>
                <w:lang w:val="fr-FR"/>
              </w:rPr>
              <w:t>EN 12493:2013+ A2:2018 (</w:t>
            </w:r>
            <w:proofErr w:type="spellStart"/>
            <w:r w:rsidRPr="00D4632B">
              <w:rPr>
                <w:bCs/>
                <w:iCs/>
                <w:sz w:val="18"/>
                <w:szCs w:val="18"/>
                <w:lang w:val="fr-FR"/>
              </w:rPr>
              <w:t>except</w:t>
            </w:r>
            <w:proofErr w:type="spellEnd"/>
            <w:r w:rsidRPr="00D4632B">
              <w:rPr>
                <w:bCs/>
                <w:iCs/>
                <w:sz w:val="18"/>
                <w:szCs w:val="18"/>
                <w:lang w:val="fr-FR"/>
              </w:rPr>
              <w:t xml:space="preserve"> Annex C)</w:t>
            </w:r>
          </w:p>
        </w:tc>
        <w:tc>
          <w:tcPr>
            <w:tcW w:w="3022" w:type="dxa"/>
            <w:vAlign w:val="center"/>
          </w:tcPr>
          <w:p w14:paraId="5962D142" w14:textId="77777777" w:rsidR="00F85EE3" w:rsidRPr="00CE1950" w:rsidRDefault="00F85EE3" w:rsidP="00C4318D">
            <w:pPr>
              <w:widowControl w:val="0"/>
              <w:spacing w:before="40" w:after="40"/>
              <w:rPr>
                <w:bCs/>
                <w:iCs/>
                <w:sz w:val="18"/>
                <w:szCs w:val="18"/>
              </w:rPr>
            </w:pPr>
            <w:r w:rsidRPr="00CE1950">
              <w:rPr>
                <w:bCs/>
                <w:iCs/>
                <w:sz w:val="18"/>
                <w:szCs w:val="18"/>
              </w:rPr>
              <w:t>LPG equipment and accessories - Welded steel pressure vessels for LPG road tankers - Design and manufacture</w:t>
            </w:r>
          </w:p>
        </w:tc>
        <w:tc>
          <w:tcPr>
            <w:tcW w:w="1701" w:type="dxa"/>
            <w:vAlign w:val="center"/>
          </w:tcPr>
          <w:p w14:paraId="3F02B96D" w14:textId="77777777" w:rsidR="00F85EE3" w:rsidRPr="00CE1950" w:rsidRDefault="00F85EE3" w:rsidP="00C4318D">
            <w:pPr>
              <w:widowControl w:val="0"/>
              <w:spacing w:before="40" w:after="40"/>
              <w:rPr>
                <w:bCs/>
                <w:sz w:val="18"/>
                <w:szCs w:val="18"/>
              </w:rPr>
            </w:pPr>
            <w:r w:rsidRPr="00CE1950">
              <w:rPr>
                <w:bCs/>
                <w:sz w:val="18"/>
                <w:szCs w:val="18"/>
              </w:rPr>
              <w:t>6.8.2.1, 6.8.2.5</w:t>
            </w:r>
          </w:p>
          <w:p w14:paraId="66906C61" w14:textId="77777777" w:rsidR="00F85EE3" w:rsidRPr="00CE1950" w:rsidRDefault="00F85EE3" w:rsidP="00C4318D">
            <w:pPr>
              <w:widowControl w:val="0"/>
              <w:spacing w:before="40" w:after="40"/>
              <w:rPr>
                <w:bCs/>
                <w:sz w:val="18"/>
                <w:szCs w:val="18"/>
              </w:rPr>
            </w:pPr>
            <w:r w:rsidRPr="00CE1950">
              <w:rPr>
                <w:bCs/>
                <w:sz w:val="18"/>
                <w:szCs w:val="18"/>
              </w:rPr>
              <w:t>6.8.3.1, 6.8.3.5</w:t>
            </w:r>
          </w:p>
          <w:p w14:paraId="4D9AA0A6" w14:textId="61AE1E00" w:rsidR="00F85EE3" w:rsidRPr="00CE1950" w:rsidRDefault="00F85EE3" w:rsidP="00C4318D">
            <w:pPr>
              <w:widowControl w:val="0"/>
              <w:spacing w:before="40" w:after="40"/>
              <w:rPr>
                <w:bCs/>
                <w:sz w:val="18"/>
                <w:szCs w:val="18"/>
              </w:rPr>
            </w:pPr>
            <w:r w:rsidRPr="00CE1950">
              <w:rPr>
                <w:bCs/>
                <w:sz w:val="18"/>
                <w:szCs w:val="18"/>
              </w:rPr>
              <w:t>6.8.5.1 to 6.8.5.3</w:t>
            </w:r>
          </w:p>
        </w:tc>
        <w:tc>
          <w:tcPr>
            <w:tcW w:w="1217" w:type="dxa"/>
            <w:vAlign w:val="center"/>
          </w:tcPr>
          <w:p w14:paraId="4011F139" w14:textId="77777777" w:rsidR="00F85EE3" w:rsidRPr="00CE1950" w:rsidRDefault="00F85EE3" w:rsidP="00C4318D">
            <w:pPr>
              <w:widowControl w:val="0"/>
              <w:spacing w:before="40" w:after="40"/>
              <w:jc w:val="center"/>
              <w:rPr>
                <w:bCs/>
                <w:sz w:val="18"/>
                <w:szCs w:val="18"/>
              </w:rPr>
            </w:pPr>
            <w:r w:rsidRPr="00CE1950">
              <w:rPr>
                <w:bCs/>
                <w:sz w:val="18"/>
                <w:szCs w:val="18"/>
              </w:rPr>
              <w:t>Until further notice</w:t>
            </w:r>
          </w:p>
        </w:tc>
        <w:tc>
          <w:tcPr>
            <w:tcW w:w="270" w:type="dxa"/>
          </w:tcPr>
          <w:p w14:paraId="0B5FE749" w14:textId="77777777" w:rsidR="00F85EE3" w:rsidRPr="00CE1950" w:rsidRDefault="00F85EE3" w:rsidP="00C4318D">
            <w:pPr>
              <w:widowControl w:val="0"/>
              <w:spacing w:before="40" w:after="40"/>
              <w:jc w:val="center"/>
              <w:rPr>
                <w:bCs/>
                <w:sz w:val="18"/>
                <w:szCs w:val="18"/>
              </w:rPr>
            </w:pPr>
          </w:p>
        </w:tc>
      </w:tr>
    </w:tbl>
    <w:p w14:paraId="0942E4C7" w14:textId="541D1F22" w:rsidR="00F85EE3" w:rsidRDefault="00035E6A" w:rsidP="00160399">
      <w:pPr>
        <w:pStyle w:val="SingleTxtG"/>
        <w:spacing w:before="120"/>
        <w:rPr>
          <w:i/>
          <w:iCs/>
        </w:rPr>
      </w:pPr>
      <w:r>
        <w:tab/>
      </w:r>
      <w:r>
        <w:tab/>
      </w:r>
      <w:r w:rsidR="00F85EE3" w:rsidRPr="00DB762A">
        <w:tab/>
      </w:r>
      <w:r w:rsidR="00F85EE3" w:rsidRPr="00DB762A">
        <w:rPr>
          <w:i/>
          <w:iCs/>
        </w:rPr>
        <w:t>(Reference document: informal document INF.29, as amended)</w:t>
      </w:r>
    </w:p>
    <w:p w14:paraId="27763763" w14:textId="2800430A" w:rsidR="00094174" w:rsidRDefault="00094174" w:rsidP="00094174">
      <w:pPr>
        <w:pStyle w:val="SingleTxtG"/>
        <w:spacing w:before="120"/>
      </w:pPr>
      <w:r>
        <w:rPr>
          <w:b/>
          <w:bCs/>
        </w:rPr>
        <w:tab/>
      </w:r>
      <w:r w:rsidR="007C4167">
        <w:rPr>
          <w:b/>
          <w:bCs/>
        </w:rPr>
        <w:tab/>
      </w:r>
      <w:r w:rsidRPr="00DB762A">
        <w:rPr>
          <w:b/>
          <w:bCs/>
        </w:rPr>
        <w:tab/>
        <w:t>[ADR only]</w:t>
      </w:r>
    </w:p>
    <w:p w14:paraId="4764DD8A" w14:textId="5C0ADABC" w:rsidR="00035E6A" w:rsidRDefault="00035E6A" w:rsidP="00035E6A">
      <w:pPr>
        <w:pStyle w:val="SingleTxtG"/>
        <w:spacing w:before="120"/>
        <w:ind w:firstLine="567"/>
      </w:pPr>
      <w:r>
        <w:t>(b)</w:t>
      </w:r>
      <w:r>
        <w:tab/>
        <w:t>Under “</w:t>
      </w:r>
      <w:r w:rsidRPr="0003533A">
        <w:rPr>
          <w:b/>
          <w:bCs/>
        </w:rPr>
        <w:t>F</w:t>
      </w:r>
      <w:r w:rsidRPr="00035E6A">
        <w:rPr>
          <w:b/>
          <w:bCs/>
        </w:rPr>
        <w:t xml:space="preserve">or </w:t>
      </w:r>
      <w:r>
        <w:rPr>
          <w:b/>
          <w:bCs/>
        </w:rPr>
        <w:t>equipment</w:t>
      </w:r>
      <w:r>
        <w:t xml:space="preserve">”: </w:t>
      </w:r>
    </w:p>
    <w:p w14:paraId="664F678E" w14:textId="0408AE75" w:rsidR="00F85EE3" w:rsidRPr="00920269" w:rsidRDefault="00035E6A" w:rsidP="00035E6A">
      <w:pPr>
        <w:pStyle w:val="Bullet1G"/>
        <w:spacing w:before="240"/>
      </w:pPr>
      <w:r w:rsidRPr="00920269">
        <w:t>F</w:t>
      </w:r>
      <w:r w:rsidR="00F85EE3" w:rsidRPr="00920269">
        <w:t xml:space="preserve">or “EN 13317:2002+A1:2006”, in column (4), replace </w:t>
      </w:r>
      <w:r w:rsidR="0003533A" w:rsidRPr="00920269">
        <w:t xml:space="preserve">the existing text with </w:t>
      </w:r>
      <w:r w:rsidRPr="00920269">
        <w:t>“</w:t>
      </w:r>
      <w:r w:rsidR="00920269" w:rsidRPr="00920269">
        <w:t>Between 1 January 2009 and 31 December 2021”.</w:t>
      </w:r>
      <w:r w:rsidR="00F85EE3" w:rsidRPr="00920269">
        <w:t xml:space="preserve"> </w:t>
      </w:r>
    </w:p>
    <w:p w14:paraId="0F449472" w14:textId="1BC9FFBA" w:rsidR="00F85EE3" w:rsidRPr="00D4632B" w:rsidRDefault="00035E6A" w:rsidP="00C4318D">
      <w:pPr>
        <w:pStyle w:val="SingleTxtG"/>
        <w:spacing w:before="240"/>
        <w:rPr>
          <w:i/>
          <w:iCs/>
          <w:lang w:val="fr-FR"/>
        </w:rPr>
      </w:pPr>
      <w:r>
        <w:tab/>
      </w:r>
      <w:r>
        <w:tab/>
      </w:r>
      <w:r w:rsidR="00F85EE3" w:rsidRPr="00DB762A">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54FF956E" w14:textId="34BD8E3A" w:rsidR="00F85EE3" w:rsidRPr="00DB762A" w:rsidRDefault="00035E6A" w:rsidP="00035E6A">
      <w:pPr>
        <w:pStyle w:val="Bullet1G"/>
        <w:spacing w:before="240"/>
      </w:pPr>
      <w:r>
        <w:t xml:space="preserve">After the existing row </w:t>
      </w:r>
      <w:r w:rsidR="00F85EE3" w:rsidRPr="00DB762A">
        <w:t>for “EN 13317:2002+A1:2006”</w:t>
      </w:r>
      <w:r>
        <w:t xml:space="preserve"> add the following new entry</w:t>
      </w:r>
      <w:r w:rsidR="00F85EE3" w:rsidRPr="00DB762A">
        <w:t>:</w:t>
      </w:r>
    </w:p>
    <w:tbl>
      <w:tblPr>
        <w:tblW w:w="7920"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260"/>
        <w:gridCol w:w="3930"/>
        <w:gridCol w:w="900"/>
        <w:gridCol w:w="1620"/>
        <w:gridCol w:w="210"/>
      </w:tblGrid>
      <w:tr w:rsidR="00F85EE3" w:rsidRPr="00CE1950" w14:paraId="3E883615" w14:textId="77777777" w:rsidTr="00050683">
        <w:trPr>
          <w:trHeight w:val="517"/>
        </w:trPr>
        <w:tc>
          <w:tcPr>
            <w:tcW w:w="1260" w:type="dxa"/>
            <w:tcBorders>
              <w:top w:val="single" w:sz="4" w:space="0" w:color="auto"/>
            </w:tcBorders>
            <w:vAlign w:val="center"/>
          </w:tcPr>
          <w:p w14:paraId="6C1489C1" w14:textId="77777777" w:rsidR="00F85EE3" w:rsidRPr="00CE1950" w:rsidRDefault="00F85EE3" w:rsidP="00050683">
            <w:pPr>
              <w:widowControl w:val="0"/>
              <w:rPr>
                <w:rFonts w:cs="Arial"/>
                <w:sz w:val="18"/>
                <w:szCs w:val="18"/>
              </w:rPr>
            </w:pPr>
            <w:r w:rsidRPr="00CE1950">
              <w:rPr>
                <w:rFonts w:cs="Arial"/>
                <w:sz w:val="18"/>
                <w:szCs w:val="18"/>
              </w:rPr>
              <w:t>EN 13317:2018</w:t>
            </w:r>
          </w:p>
        </w:tc>
        <w:tc>
          <w:tcPr>
            <w:tcW w:w="3930" w:type="dxa"/>
            <w:tcBorders>
              <w:top w:val="single" w:sz="4" w:space="0" w:color="auto"/>
            </w:tcBorders>
            <w:vAlign w:val="center"/>
          </w:tcPr>
          <w:p w14:paraId="6AF5A76C" w14:textId="77777777" w:rsidR="00F85EE3" w:rsidRPr="00CE1950" w:rsidRDefault="00F85EE3" w:rsidP="00050683">
            <w:pPr>
              <w:widowControl w:val="0"/>
              <w:rPr>
                <w:rFonts w:cs="Arial"/>
                <w:sz w:val="18"/>
                <w:szCs w:val="18"/>
              </w:rPr>
            </w:pPr>
            <w:r w:rsidRPr="00CE1950">
              <w:rPr>
                <w:rFonts w:cs="Arial"/>
                <w:sz w:val="18"/>
                <w:szCs w:val="18"/>
              </w:rPr>
              <w:t>Tanks for transport of dangerous goods - Service equipment for tanks - Manhole cover assembly</w:t>
            </w:r>
          </w:p>
        </w:tc>
        <w:tc>
          <w:tcPr>
            <w:tcW w:w="900" w:type="dxa"/>
            <w:tcBorders>
              <w:top w:val="single" w:sz="4" w:space="0" w:color="auto"/>
            </w:tcBorders>
            <w:vAlign w:val="center"/>
          </w:tcPr>
          <w:p w14:paraId="6D24D33E" w14:textId="77777777" w:rsidR="00F85EE3" w:rsidRPr="00CE1950" w:rsidRDefault="00F85EE3" w:rsidP="00050683">
            <w:pPr>
              <w:widowControl w:val="0"/>
              <w:rPr>
                <w:rFonts w:cs="Arial"/>
                <w:sz w:val="18"/>
                <w:szCs w:val="18"/>
              </w:rPr>
            </w:pPr>
            <w:r w:rsidRPr="00CE1950">
              <w:rPr>
                <w:rFonts w:cs="Arial"/>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14:paraId="38C8D8DA" w14:textId="77777777" w:rsidR="00F85EE3" w:rsidRPr="00CE1950" w:rsidRDefault="00F85EE3" w:rsidP="00050683">
            <w:pPr>
              <w:widowControl w:val="0"/>
              <w:rPr>
                <w:rFonts w:cs="Arial"/>
                <w:sz w:val="18"/>
                <w:szCs w:val="18"/>
              </w:rPr>
            </w:pPr>
            <w:r w:rsidRPr="00CE1950">
              <w:rPr>
                <w:rFonts w:cs="Arial"/>
                <w:sz w:val="18"/>
                <w:szCs w:val="18"/>
              </w:rPr>
              <w:t>Until further notice</w:t>
            </w:r>
          </w:p>
        </w:tc>
        <w:tc>
          <w:tcPr>
            <w:tcW w:w="210" w:type="dxa"/>
            <w:tcBorders>
              <w:top w:val="single" w:sz="4" w:space="0" w:color="auto"/>
            </w:tcBorders>
            <w:vAlign w:val="center"/>
          </w:tcPr>
          <w:p w14:paraId="0C33E942" w14:textId="77777777" w:rsidR="00F85EE3" w:rsidRPr="00CE1950" w:rsidRDefault="00F85EE3" w:rsidP="00050683">
            <w:pPr>
              <w:widowControl w:val="0"/>
              <w:rPr>
                <w:rFonts w:cs="Arial"/>
                <w:sz w:val="18"/>
                <w:szCs w:val="18"/>
              </w:rPr>
            </w:pPr>
          </w:p>
        </w:tc>
      </w:tr>
    </w:tbl>
    <w:p w14:paraId="0A8FAACF" w14:textId="65AA8961" w:rsidR="00F85EE3" w:rsidRPr="00D4632B" w:rsidRDefault="00035E6A" w:rsidP="00160399">
      <w:pPr>
        <w:pStyle w:val="SingleTxtG"/>
        <w:spacing w:before="120"/>
        <w:rPr>
          <w:lang w:val="fr-FR"/>
        </w:rPr>
      </w:pPr>
      <w:r w:rsidRPr="00D4632B">
        <w:rPr>
          <w:lang w:val="fr-FR"/>
        </w:rPr>
        <w:lastRenderedPageBreak/>
        <w:tab/>
      </w:r>
      <w:r w:rsidRPr="00D4632B">
        <w:rPr>
          <w:lang w:val="fr-FR"/>
        </w:rPr>
        <w:tab/>
      </w:r>
      <w:r w:rsidR="00F85EE3" w:rsidRPr="00D4632B">
        <w:rPr>
          <w:lang w:val="fr-FR"/>
        </w:rPr>
        <w:tab/>
      </w:r>
      <w:r w:rsidR="00F85EE3" w:rsidRPr="00D4632B">
        <w:rPr>
          <w:i/>
          <w:iCs/>
          <w:lang w:val="fr-FR"/>
        </w:rPr>
        <w:t xml:space="preserve">(Reference document: </w:t>
      </w:r>
      <w:proofErr w:type="spellStart"/>
      <w:r w:rsidR="00F85EE3" w:rsidRPr="00D4632B">
        <w:rPr>
          <w:i/>
          <w:iCs/>
          <w:lang w:val="fr-FR"/>
        </w:rPr>
        <w:t>informal</w:t>
      </w:r>
      <w:proofErr w:type="spellEnd"/>
      <w:r w:rsidR="00F85EE3" w:rsidRPr="00D4632B">
        <w:rPr>
          <w:i/>
          <w:iCs/>
          <w:lang w:val="fr-FR"/>
        </w:rPr>
        <w:t xml:space="preserve"> document INF.29)</w:t>
      </w:r>
    </w:p>
    <w:p w14:paraId="5EC6229D" w14:textId="06531478" w:rsidR="00094174" w:rsidRDefault="00094174" w:rsidP="00094174">
      <w:pPr>
        <w:pStyle w:val="SingleTxtG"/>
        <w:ind w:left="2268" w:hanging="1134"/>
      </w:pPr>
      <w:r w:rsidRPr="00DB762A">
        <w:t>6.8.2.6.2</w:t>
      </w:r>
      <w:r w:rsidRPr="00DB762A">
        <w:tab/>
      </w:r>
      <w:r>
        <w:t>For</w:t>
      </w:r>
      <w:r w:rsidRPr="00DB762A">
        <w:t xml:space="preserve"> “EN 12972:2007”, in column (4), replace the existing text with “Until 30 June 2021”.</w:t>
      </w:r>
      <w:r w:rsidRPr="00E15B59">
        <w:t xml:space="preserve"> </w:t>
      </w:r>
    </w:p>
    <w:p w14:paraId="722AD7CB" w14:textId="3C44E97B" w:rsidR="00094174" w:rsidRPr="00D4632B" w:rsidRDefault="00094174" w:rsidP="00094174">
      <w:pPr>
        <w:pStyle w:val="Bullet1G"/>
        <w:numPr>
          <w:ilvl w:val="0"/>
          <w:numId w:val="0"/>
        </w:numPr>
        <w:spacing w:before="240"/>
        <w:ind w:left="2268"/>
        <w:rPr>
          <w:i/>
          <w:iCs/>
          <w:lang w:val="fr-FR"/>
        </w:rPr>
      </w:pP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20A4BE01" w14:textId="77777777" w:rsidR="00094174" w:rsidRPr="00DB762A" w:rsidRDefault="00094174" w:rsidP="0033403A">
      <w:pPr>
        <w:pStyle w:val="SingleTxtG"/>
        <w:keepNext/>
        <w:keepLines/>
        <w:ind w:left="1701" w:firstLine="567"/>
      </w:pPr>
      <w:r w:rsidRPr="00DB762A">
        <w:t>Add the following new entry to the table after the entry for “EN 12972:2007”:</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03"/>
        <w:gridCol w:w="900"/>
        <w:gridCol w:w="1620"/>
        <w:gridCol w:w="337"/>
      </w:tblGrid>
      <w:tr w:rsidR="00094174" w:rsidRPr="00CE1950" w14:paraId="661C4EFB" w14:textId="77777777" w:rsidTr="00104C98">
        <w:tc>
          <w:tcPr>
            <w:tcW w:w="1440" w:type="dxa"/>
            <w:vAlign w:val="center"/>
          </w:tcPr>
          <w:p w14:paraId="6B19F0FF" w14:textId="77777777" w:rsidR="00094174" w:rsidRPr="00CE1950" w:rsidRDefault="00094174" w:rsidP="00104C98">
            <w:pPr>
              <w:widowControl w:val="0"/>
              <w:spacing w:before="60" w:after="60"/>
              <w:rPr>
                <w:rFonts w:cs="Arial"/>
                <w:sz w:val="18"/>
                <w:szCs w:val="18"/>
              </w:rPr>
            </w:pPr>
            <w:r w:rsidRPr="00CE1950">
              <w:rPr>
                <w:rFonts w:cs="Arial"/>
                <w:sz w:val="18"/>
                <w:szCs w:val="18"/>
              </w:rPr>
              <w:t>EN 12972:2018</w:t>
            </w:r>
          </w:p>
        </w:tc>
        <w:tc>
          <w:tcPr>
            <w:tcW w:w="3803" w:type="dxa"/>
            <w:vAlign w:val="center"/>
          </w:tcPr>
          <w:p w14:paraId="5D3F4F29" w14:textId="77777777" w:rsidR="00094174" w:rsidRPr="00CE1950" w:rsidRDefault="00094174" w:rsidP="00104C98">
            <w:pPr>
              <w:widowControl w:val="0"/>
              <w:spacing w:before="60" w:after="60"/>
              <w:rPr>
                <w:rFonts w:cs="Arial"/>
                <w:sz w:val="18"/>
                <w:szCs w:val="18"/>
              </w:rPr>
            </w:pPr>
            <w:r w:rsidRPr="00CE1950">
              <w:rPr>
                <w:rFonts w:cs="Arial"/>
                <w:sz w:val="18"/>
                <w:szCs w:val="18"/>
              </w:rPr>
              <w:t>Tanks for transport of dangerous goods – Testing, inspection and marking of metallic tanks</w:t>
            </w:r>
          </w:p>
        </w:tc>
        <w:tc>
          <w:tcPr>
            <w:tcW w:w="900" w:type="dxa"/>
            <w:vAlign w:val="center"/>
          </w:tcPr>
          <w:p w14:paraId="60CCC0B8" w14:textId="77777777" w:rsidR="00094174" w:rsidRPr="00CE1950" w:rsidRDefault="00094174" w:rsidP="00104C98">
            <w:pPr>
              <w:widowControl w:val="0"/>
              <w:spacing w:before="60" w:after="60"/>
              <w:rPr>
                <w:rFonts w:cs="Arial"/>
                <w:sz w:val="18"/>
                <w:szCs w:val="18"/>
              </w:rPr>
            </w:pPr>
            <w:r w:rsidRPr="00CE1950">
              <w:rPr>
                <w:rFonts w:cs="Arial"/>
                <w:sz w:val="18"/>
                <w:szCs w:val="18"/>
              </w:rPr>
              <w:t>6.8.2.4</w:t>
            </w:r>
          </w:p>
          <w:p w14:paraId="2A0A311B" w14:textId="77777777" w:rsidR="00094174" w:rsidRPr="00CE1950" w:rsidRDefault="00094174" w:rsidP="00104C98">
            <w:pPr>
              <w:widowControl w:val="0"/>
              <w:spacing w:before="60" w:after="60"/>
              <w:rPr>
                <w:rFonts w:cs="Arial"/>
                <w:sz w:val="18"/>
                <w:szCs w:val="18"/>
              </w:rPr>
            </w:pPr>
            <w:r w:rsidRPr="00CE1950">
              <w:rPr>
                <w:rFonts w:cs="Arial"/>
                <w:sz w:val="18"/>
                <w:szCs w:val="18"/>
              </w:rPr>
              <w:t>6.8.3.4</w:t>
            </w:r>
          </w:p>
        </w:tc>
        <w:tc>
          <w:tcPr>
            <w:tcW w:w="1620" w:type="dxa"/>
            <w:vAlign w:val="center"/>
          </w:tcPr>
          <w:p w14:paraId="640A9F9D" w14:textId="77777777" w:rsidR="00094174" w:rsidRPr="00CE1950" w:rsidRDefault="00094174" w:rsidP="00104C98">
            <w:pPr>
              <w:widowControl w:val="0"/>
              <w:spacing w:before="60" w:after="60"/>
              <w:rPr>
                <w:rFonts w:cs="Arial"/>
                <w:sz w:val="18"/>
                <w:szCs w:val="18"/>
              </w:rPr>
            </w:pPr>
            <w:r w:rsidRPr="00CE1950">
              <w:rPr>
                <w:rFonts w:cs="Arial"/>
                <w:sz w:val="18"/>
                <w:szCs w:val="18"/>
              </w:rPr>
              <w:t>Mandatorily from 1 July 2021</w:t>
            </w:r>
          </w:p>
        </w:tc>
        <w:tc>
          <w:tcPr>
            <w:tcW w:w="337" w:type="dxa"/>
            <w:vAlign w:val="center"/>
          </w:tcPr>
          <w:p w14:paraId="069A3CD4" w14:textId="77777777" w:rsidR="00094174" w:rsidRPr="00CE1950" w:rsidRDefault="00094174" w:rsidP="00104C98">
            <w:pPr>
              <w:widowControl w:val="0"/>
              <w:spacing w:before="60" w:after="60"/>
              <w:rPr>
                <w:rFonts w:cs="Arial"/>
                <w:sz w:val="18"/>
                <w:szCs w:val="18"/>
              </w:rPr>
            </w:pPr>
          </w:p>
        </w:tc>
      </w:tr>
    </w:tbl>
    <w:p w14:paraId="670ED556" w14:textId="4F3CDA6C" w:rsidR="00094174" w:rsidRPr="00D4632B" w:rsidRDefault="00094174" w:rsidP="00094174">
      <w:pPr>
        <w:pStyle w:val="SingleTxtG"/>
        <w:spacing w:before="120"/>
        <w:rPr>
          <w:i/>
          <w:iCs/>
          <w:lang w:val="fr-FR"/>
        </w:rPr>
      </w:pPr>
      <w:r w:rsidRPr="00D4632B">
        <w:rPr>
          <w:lang w:val="fr-FR"/>
        </w:rPr>
        <w:tab/>
      </w:r>
      <w:r w:rsidRPr="00D4632B">
        <w:rPr>
          <w:lang w:val="fr-FR"/>
        </w:rPr>
        <w:tab/>
      </w:r>
      <w:r w:rsidRPr="00D4632B">
        <w:rPr>
          <w:lang w:val="fr-FR"/>
        </w:rPr>
        <w:tab/>
      </w:r>
      <w:r w:rsidRPr="00D4632B">
        <w:rPr>
          <w:i/>
          <w:iCs/>
          <w:lang w:val="fr-FR"/>
        </w:rPr>
        <w:t xml:space="preserve">(Reference document: </w:t>
      </w:r>
      <w:proofErr w:type="spellStart"/>
      <w:r w:rsidRPr="00D4632B">
        <w:rPr>
          <w:i/>
          <w:iCs/>
          <w:lang w:val="fr-FR"/>
        </w:rPr>
        <w:t>informal</w:t>
      </w:r>
      <w:proofErr w:type="spellEnd"/>
      <w:r w:rsidRPr="00D4632B">
        <w:rPr>
          <w:i/>
          <w:iCs/>
          <w:lang w:val="fr-FR"/>
        </w:rPr>
        <w:t xml:space="preserve"> document INF.29)</w:t>
      </w:r>
    </w:p>
    <w:p w14:paraId="3798E066" w14:textId="77777777" w:rsidR="00094174" w:rsidRPr="00DB762A" w:rsidRDefault="00094174" w:rsidP="00094174">
      <w:pPr>
        <w:pStyle w:val="SingleTxtG"/>
      </w:pPr>
      <w:r w:rsidRPr="00DB762A">
        <w:t>6.8.3.4.12</w:t>
      </w:r>
      <w:r w:rsidRPr="00DB762A">
        <w:tab/>
        <w:t>Replace “6.8.3.4.6” by “6.8.2.4.2 and 6.8.2.4.3”.</w:t>
      </w:r>
    </w:p>
    <w:p w14:paraId="7EE56B10" w14:textId="63D1DFB5" w:rsidR="00094174" w:rsidRPr="00DB762A" w:rsidRDefault="00094174" w:rsidP="00094174">
      <w:pPr>
        <w:pStyle w:val="SingleTxtG"/>
        <w:ind w:left="0"/>
        <w:rPr>
          <w:i/>
          <w:iCs/>
        </w:rPr>
      </w:pPr>
      <w:r w:rsidRPr="00DB762A">
        <w:tab/>
      </w:r>
      <w:r w:rsidRPr="00DB762A">
        <w:tab/>
      </w:r>
      <w:r w:rsidRPr="00DB762A">
        <w:rPr>
          <w:i/>
          <w:iCs/>
        </w:rPr>
        <w:t>(Reference document: informal document INF.30)</w:t>
      </w:r>
    </w:p>
    <w:p w14:paraId="26A5FD81" w14:textId="48FAFAEE" w:rsidR="00094174" w:rsidRDefault="00094174" w:rsidP="00094174">
      <w:pPr>
        <w:pStyle w:val="SingleTxtG"/>
        <w:spacing w:before="120"/>
      </w:pPr>
      <w:r>
        <w:rPr>
          <w:b/>
          <w:bCs/>
        </w:rPr>
        <w:tab/>
      </w:r>
      <w:r w:rsidRPr="00DB762A">
        <w:rPr>
          <w:b/>
          <w:bCs/>
        </w:rPr>
        <w:t>[ADR only]</w:t>
      </w:r>
    </w:p>
    <w:p w14:paraId="44987F3F" w14:textId="39956D5E" w:rsidR="00F85EE3" w:rsidRPr="00DB762A" w:rsidRDefault="00F85EE3" w:rsidP="00094174">
      <w:pPr>
        <w:pStyle w:val="SingleTxtG"/>
        <w:spacing w:before="120"/>
        <w:ind w:left="2268" w:hanging="1134"/>
        <w:rPr>
          <w:iCs/>
        </w:rPr>
      </w:pPr>
      <w:r w:rsidRPr="00DB762A">
        <w:t>6.8.4 (d)</w:t>
      </w:r>
      <w:r w:rsidRPr="00DB762A">
        <w:tab/>
        <w:t>In TT11, in the paragraph after the Table, replace “EN 14025:2013 + A1:2016” by “EN 14025:2018” and replace “EN 12493:2013</w:t>
      </w:r>
      <w:r w:rsidR="00D4632B">
        <w:t xml:space="preserve"> </w:t>
      </w:r>
      <w:r w:rsidRPr="00DB762A">
        <w:t>+</w:t>
      </w:r>
      <w:r w:rsidR="00D4632B">
        <w:t xml:space="preserve"> </w:t>
      </w:r>
      <w:r w:rsidRPr="00DB762A">
        <w:t>A1:2014</w:t>
      </w:r>
      <w:r w:rsidR="00963C27">
        <w:t xml:space="preserve"> </w:t>
      </w:r>
      <w:r w:rsidRPr="00DB762A">
        <w:t>+</w:t>
      </w:r>
      <w:r w:rsidR="00963C27">
        <w:t xml:space="preserve"> </w:t>
      </w:r>
      <w:r w:rsidRPr="00DB762A">
        <w:t>AC:2015” by “EN 12493:2013</w:t>
      </w:r>
      <w:r w:rsidR="00D4632B">
        <w:t xml:space="preserve"> </w:t>
      </w:r>
      <w:r w:rsidRPr="00DB762A">
        <w:t>+</w:t>
      </w:r>
      <w:r w:rsidR="00D4632B">
        <w:t xml:space="preserve"> </w:t>
      </w:r>
      <w:r w:rsidRPr="00DB762A">
        <w:t>A2:2018”.</w:t>
      </w:r>
      <w:r w:rsidRPr="00DB762A">
        <w:rPr>
          <w:iCs/>
        </w:rPr>
        <w:t xml:space="preserve"> </w:t>
      </w:r>
    </w:p>
    <w:p w14:paraId="295668A2" w14:textId="1E54337E" w:rsidR="00F85EE3" w:rsidRPr="00DB762A" w:rsidRDefault="00F85EE3" w:rsidP="00C4318D">
      <w:pPr>
        <w:pStyle w:val="SingleTxtG"/>
        <w:spacing w:before="240"/>
      </w:pPr>
      <w:r w:rsidRPr="00DB762A">
        <w:tab/>
      </w:r>
      <w:r w:rsidRPr="00DB762A">
        <w:rPr>
          <w:i/>
          <w:iCs/>
        </w:rPr>
        <w:t>(Reference document: informal document INF.29, as amended)</w:t>
      </w:r>
    </w:p>
    <w:p w14:paraId="72F8D309" w14:textId="77777777" w:rsidR="00F85EE3" w:rsidRPr="00DB762A" w:rsidRDefault="00F85EE3" w:rsidP="00BB557A">
      <w:pPr>
        <w:pStyle w:val="H1G"/>
      </w:pPr>
      <w:r w:rsidRPr="00DB762A">
        <w:tab/>
      </w:r>
      <w:r w:rsidRPr="00DB762A">
        <w:tab/>
        <w:t>Chapter 6.9</w:t>
      </w:r>
    </w:p>
    <w:p w14:paraId="4EC4E559" w14:textId="77777777" w:rsidR="00F85EE3" w:rsidRPr="00DB762A" w:rsidRDefault="00F85EE3" w:rsidP="00C4318D">
      <w:pPr>
        <w:pStyle w:val="SingleTxtG"/>
        <w:rPr>
          <w:b/>
          <w:bCs/>
        </w:rPr>
      </w:pPr>
      <w:r w:rsidRPr="00DB762A">
        <w:rPr>
          <w:b/>
          <w:bCs/>
        </w:rPr>
        <w:t>[ADR]</w:t>
      </w:r>
    </w:p>
    <w:p w14:paraId="729F6284" w14:textId="2C2B9807" w:rsidR="00F85EE3" w:rsidRPr="00DB762A" w:rsidRDefault="00F85EE3" w:rsidP="00C4318D">
      <w:pPr>
        <w:pStyle w:val="SingleTxtG"/>
      </w:pPr>
      <w:r w:rsidRPr="00DB762A">
        <w:t>6.9.6.1</w:t>
      </w:r>
      <w:r w:rsidRPr="00DB762A">
        <w:tab/>
      </w:r>
      <w:r w:rsidRPr="00DB762A">
        <w:tab/>
      </w:r>
      <w:r w:rsidR="00094174">
        <w:t>At the end of the second indent, replace “</w:t>
      </w:r>
      <w:r w:rsidR="00963C27">
        <w:t>.</w:t>
      </w:r>
      <w:r w:rsidR="00094174">
        <w:t>” with “;” and a</w:t>
      </w:r>
      <w:r w:rsidRPr="00DB762A">
        <w:t>dd the following third indent:</w:t>
      </w:r>
    </w:p>
    <w:p w14:paraId="67936454" w14:textId="43AC496D" w:rsidR="00F85EE3" w:rsidRPr="00DB762A" w:rsidRDefault="00F85EE3" w:rsidP="00920269">
      <w:pPr>
        <w:pStyle w:val="SingleTxtG"/>
        <w:ind w:left="2552" w:hanging="284"/>
      </w:pPr>
      <w:r w:rsidRPr="00DB762A">
        <w:t>“</w:t>
      </w:r>
      <w:r w:rsidR="00F65FF6">
        <w:t xml:space="preserve">- </w:t>
      </w:r>
      <w:r w:rsidR="00F65FF6">
        <w:tab/>
      </w:r>
      <w:r w:rsidRPr="00DB762A">
        <w:t>where a tank code is required in accordance with 6.8.2.5.2, the second part of the tank code shall indicate the highest value of the calculation pressure for the substance(s) permitted for carriage according to the type approval certificate.”</w:t>
      </w:r>
      <w:r w:rsidR="000E581B">
        <w:t>.</w:t>
      </w:r>
    </w:p>
    <w:p w14:paraId="1C7CC675" w14:textId="77777777" w:rsidR="00F85EE3" w:rsidRPr="00DB762A" w:rsidRDefault="00F85EE3" w:rsidP="00C4318D">
      <w:pPr>
        <w:pStyle w:val="SingleTxtG"/>
        <w:ind w:left="0"/>
        <w:rPr>
          <w:i/>
          <w:iCs/>
        </w:rPr>
      </w:pPr>
      <w:r w:rsidRPr="00DB762A">
        <w:tab/>
      </w:r>
      <w:r w:rsidRPr="00DB762A">
        <w:tab/>
      </w:r>
      <w:r w:rsidRPr="00DB762A">
        <w:rPr>
          <w:i/>
          <w:iCs/>
        </w:rPr>
        <w:t>(Reference document: informal document INF.30, as amended)</w:t>
      </w:r>
    </w:p>
    <w:p w14:paraId="79D6251B" w14:textId="77777777" w:rsidR="00F85EE3" w:rsidRPr="00DB762A" w:rsidRDefault="00F85EE3" w:rsidP="00160399">
      <w:pPr>
        <w:pStyle w:val="SingleTxtG"/>
        <w:keepNext/>
        <w:keepLines/>
        <w:rPr>
          <w:b/>
          <w:bCs/>
        </w:rPr>
      </w:pPr>
      <w:r w:rsidRPr="00DB762A">
        <w:rPr>
          <w:b/>
          <w:bCs/>
        </w:rPr>
        <w:t>[RID]</w:t>
      </w:r>
    </w:p>
    <w:p w14:paraId="275A7C43" w14:textId="424043FC" w:rsidR="00F85EE3" w:rsidRPr="00DB762A" w:rsidRDefault="00F85EE3" w:rsidP="00160399">
      <w:pPr>
        <w:pStyle w:val="SingleTxtG"/>
        <w:keepNext/>
        <w:keepLines/>
      </w:pPr>
      <w:r w:rsidRPr="00DB762A">
        <w:t>6.9.6.1</w:t>
      </w:r>
      <w:r w:rsidRPr="00DB762A">
        <w:tab/>
      </w:r>
      <w:r w:rsidRPr="00DB762A">
        <w:tab/>
      </w:r>
      <w:r w:rsidR="00094174">
        <w:t>At the end of the second indent, replace “</w:t>
      </w:r>
      <w:r w:rsidR="00963C27">
        <w:t>.</w:t>
      </w:r>
      <w:r w:rsidR="00094174">
        <w:t>” with “;” and a</w:t>
      </w:r>
      <w:r w:rsidRPr="00DB762A">
        <w:t>dd the following third indent:</w:t>
      </w:r>
    </w:p>
    <w:p w14:paraId="555DEF21" w14:textId="4389B0EA" w:rsidR="00F85EE3" w:rsidRPr="00DB762A" w:rsidRDefault="00F85EE3" w:rsidP="00920269">
      <w:pPr>
        <w:pStyle w:val="SingleTxtG"/>
        <w:ind w:left="2552" w:hanging="284"/>
      </w:pPr>
      <w:r w:rsidRPr="00DB762A">
        <w:t>“</w:t>
      </w:r>
      <w:r w:rsidR="00F65FF6">
        <w:t>-</w:t>
      </w:r>
      <w:r w:rsidR="00F65FF6">
        <w:tab/>
      </w:r>
      <w:r w:rsidRPr="00DB762A">
        <w:t>the second part of the tank code shall indicate the highest value of the calculation pressure for the substance(s) permitted for carriage according to the type approval certificate.”</w:t>
      </w:r>
      <w:r w:rsidR="000E581B">
        <w:t>.</w:t>
      </w:r>
    </w:p>
    <w:p w14:paraId="0FABA832" w14:textId="77777777" w:rsidR="00F85EE3" w:rsidRPr="00DB762A" w:rsidRDefault="00F85EE3" w:rsidP="00C4318D">
      <w:pPr>
        <w:pStyle w:val="SingleTxtG"/>
        <w:ind w:left="0"/>
        <w:rPr>
          <w:i/>
          <w:iCs/>
        </w:rPr>
      </w:pPr>
      <w:r w:rsidRPr="00DB762A">
        <w:tab/>
      </w:r>
      <w:r w:rsidRPr="00DB762A">
        <w:tab/>
      </w:r>
      <w:r w:rsidRPr="00DB762A">
        <w:rPr>
          <w:i/>
          <w:iCs/>
        </w:rPr>
        <w:t>(Reference document: informal document INF.30, as amended)</w:t>
      </w:r>
    </w:p>
    <w:p w14:paraId="47604C86" w14:textId="77777777" w:rsidR="00F85EE3" w:rsidRPr="00DB762A" w:rsidRDefault="00F85EE3"/>
    <w:p w14:paraId="5A427200" w14:textId="421C6016" w:rsidR="007D184D" w:rsidRPr="00DB762A" w:rsidRDefault="007D184D">
      <w:pPr>
        <w:suppressAutoHyphens w:val="0"/>
        <w:spacing w:line="240" w:lineRule="auto"/>
        <w:rPr>
          <w:highlight w:val="yellow"/>
        </w:rPr>
      </w:pPr>
      <w:r w:rsidRPr="00DB762A">
        <w:rPr>
          <w:highlight w:val="yellow"/>
        </w:rPr>
        <w:br w:type="page"/>
      </w:r>
    </w:p>
    <w:p w14:paraId="7D9127AA" w14:textId="42EC11E5" w:rsidR="000728A1" w:rsidRPr="00DB762A" w:rsidRDefault="00583B15" w:rsidP="000728A1">
      <w:pPr>
        <w:pStyle w:val="HChG"/>
        <w:rPr>
          <w:lang w:val="en-GB"/>
        </w:rPr>
      </w:pPr>
      <w:r w:rsidRPr="00DB762A">
        <w:rPr>
          <w:lang w:val="en-GB"/>
        </w:rPr>
        <w:lastRenderedPageBreak/>
        <w:tab/>
      </w:r>
      <w:r w:rsidR="000728A1" w:rsidRPr="00DB762A">
        <w:rPr>
          <w:lang w:val="en-GB"/>
        </w:rPr>
        <w:tab/>
        <w:t xml:space="preserve">Annex </w:t>
      </w:r>
      <w:r w:rsidRPr="00DB762A">
        <w:rPr>
          <w:lang w:val="en-GB"/>
        </w:rPr>
        <w:t>III</w:t>
      </w:r>
    </w:p>
    <w:p w14:paraId="78BB52C2" w14:textId="2F5B5506" w:rsidR="000728A1" w:rsidRPr="00DB762A" w:rsidRDefault="000728A1" w:rsidP="000728A1">
      <w:pPr>
        <w:pStyle w:val="HChG"/>
        <w:rPr>
          <w:lang w:val="en-GB"/>
        </w:rPr>
      </w:pPr>
      <w:r w:rsidRPr="00DB762A">
        <w:rPr>
          <w:lang w:val="en-GB"/>
        </w:rPr>
        <w:tab/>
      </w:r>
      <w:r w:rsidRPr="00DB762A">
        <w:rPr>
          <w:lang w:val="en-GB"/>
        </w:rPr>
        <w:tab/>
        <w:t xml:space="preserve">Guideline for the application of EN 12972 (Tanks for transport of dangerous goods - Testing, inspection and marking of metallic tanks) </w:t>
      </w:r>
      <w:r w:rsidR="0099404C">
        <w:rPr>
          <w:lang w:val="en-GB"/>
        </w:rPr>
        <w:t>for</w:t>
      </w:r>
      <w:r w:rsidRPr="00DB762A">
        <w:rPr>
          <w:lang w:val="en-GB"/>
        </w:rPr>
        <w:t xml:space="preserve"> compliance with RID/ADR</w:t>
      </w:r>
    </w:p>
    <w:p w14:paraId="4562D2F0" w14:textId="7D1AF7AA" w:rsidR="000728A1" w:rsidRPr="00DB762A" w:rsidRDefault="000728A1" w:rsidP="000728A1">
      <w:pPr>
        <w:pStyle w:val="SingleTxtG"/>
      </w:pPr>
      <w:r w:rsidRPr="00DB762A">
        <w:t>In order to comply with the requirements of RID/ADR, EN</w:t>
      </w:r>
      <w:r w:rsidR="00920269">
        <w:t> </w:t>
      </w:r>
      <w:r w:rsidRPr="00DB762A">
        <w:t xml:space="preserve">12972:2007 referenced in </w:t>
      </w:r>
      <w:r w:rsidR="00920269" w:rsidRPr="00DB762A">
        <w:t xml:space="preserve">6.8.2.6.2 </w:t>
      </w:r>
      <w:r w:rsidR="00920269">
        <w:t xml:space="preserve">of </w:t>
      </w:r>
      <w:r w:rsidRPr="00DB762A">
        <w:t>RID/ADR need</w:t>
      </w:r>
      <w:r w:rsidR="0099404C">
        <w:t>s</w:t>
      </w:r>
      <w:r w:rsidRPr="00DB762A">
        <w:t xml:space="preserve"> to be applied together with the requirements of RID/ADR in</w:t>
      </w:r>
      <w:r w:rsidR="00920269">
        <w:t> </w:t>
      </w:r>
      <w:r w:rsidRPr="00DB762A">
        <w:t>1.1.5.</w:t>
      </w:r>
    </w:p>
    <w:p w14:paraId="7B4321C4" w14:textId="77777777" w:rsidR="000728A1" w:rsidRPr="00DB762A" w:rsidRDefault="000728A1" w:rsidP="000728A1">
      <w:pPr>
        <w:pStyle w:val="SingleTxtG"/>
      </w:pPr>
      <w:r w:rsidRPr="00DB762A">
        <w:t>EN 12972:2018 has been published and it has been decided that this standard will be referenced in the 2021 edition of RID/ADR.</w:t>
      </w:r>
    </w:p>
    <w:p w14:paraId="59736193" w14:textId="7F60E426" w:rsidR="000728A1" w:rsidRPr="00DB762A" w:rsidRDefault="000728A1" w:rsidP="000728A1">
      <w:pPr>
        <w:pStyle w:val="SingleTxtG"/>
      </w:pPr>
      <w:r w:rsidRPr="00DB762A">
        <w:t xml:space="preserve">To aid compliance with and consistent application of the 2019 edition of RID/ADR, competent authorities are encouraged to approve the use of EN 12972:2018 </w:t>
      </w:r>
      <w:r w:rsidR="00920269" w:rsidRPr="00DB762A">
        <w:t>for</w:t>
      </w:r>
      <w:r w:rsidRPr="00DB762A">
        <w:t xml:space="preserve"> testing and </w:t>
      </w:r>
      <w:r w:rsidR="0099404C">
        <w:t>inspection of</w:t>
      </w:r>
      <w:r w:rsidR="0099404C" w:rsidRPr="00DB762A">
        <w:t xml:space="preserve"> </w:t>
      </w:r>
      <w:r w:rsidRPr="00DB762A">
        <w:t>tanks according to RID/ADR 6.8.2.7 paragraph 3 as soon as possible, but no later than 1 January 2020.</w:t>
      </w:r>
    </w:p>
    <w:p w14:paraId="3A732A88" w14:textId="77777777" w:rsidR="000728A1" w:rsidRPr="00DB762A" w:rsidRDefault="000728A1" w:rsidP="000728A1">
      <w:pPr>
        <w:pStyle w:val="H23G"/>
        <w:rPr>
          <w:b w:val="0"/>
          <w:bCs/>
          <w:i/>
          <w:iCs/>
        </w:rPr>
      </w:pPr>
      <w:r w:rsidRPr="00DB762A">
        <w:tab/>
      </w:r>
      <w:r w:rsidRPr="00DB762A">
        <w:tab/>
      </w:r>
      <w:r w:rsidRPr="00DB762A">
        <w:rPr>
          <w:b w:val="0"/>
          <w:bCs/>
          <w:i/>
          <w:iCs/>
        </w:rPr>
        <w:t>(Reference document: Informal document INF.30, as amended)</w:t>
      </w:r>
    </w:p>
    <w:p w14:paraId="49FD4210" w14:textId="77777777" w:rsidR="00583B15" w:rsidRPr="00DB762A" w:rsidRDefault="00583B15">
      <w:pPr>
        <w:suppressAutoHyphens w:val="0"/>
        <w:spacing w:line="240" w:lineRule="auto"/>
        <w:rPr>
          <w:b/>
          <w:sz w:val="28"/>
        </w:rPr>
      </w:pPr>
      <w:r w:rsidRPr="00DB762A">
        <w:br w:type="page"/>
      </w:r>
    </w:p>
    <w:p w14:paraId="757761FE" w14:textId="435FB706" w:rsidR="00583B15" w:rsidRPr="00DB762A" w:rsidRDefault="00583B15" w:rsidP="007D184D">
      <w:pPr>
        <w:pStyle w:val="HChG"/>
        <w:rPr>
          <w:lang w:val="en-GB"/>
        </w:rPr>
      </w:pPr>
      <w:r w:rsidRPr="00DB762A">
        <w:rPr>
          <w:lang w:val="en-GB"/>
        </w:rPr>
        <w:lastRenderedPageBreak/>
        <w:tab/>
      </w:r>
      <w:r w:rsidRPr="00DB762A">
        <w:rPr>
          <w:lang w:val="en-GB"/>
        </w:rPr>
        <w:tab/>
        <w:t>Annex IV</w:t>
      </w:r>
    </w:p>
    <w:p w14:paraId="7FF74B60" w14:textId="77777777" w:rsidR="00583B15" w:rsidRPr="00DB762A" w:rsidRDefault="00583B15" w:rsidP="00AC3F0B">
      <w:pPr>
        <w:pStyle w:val="HChG"/>
        <w:rPr>
          <w:lang w:val="en-GB"/>
        </w:rPr>
      </w:pPr>
      <w:r w:rsidRPr="00DB762A">
        <w:rPr>
          <w:lang w:val="en-GB"/>
        </w:rPr>
        <w:tab/>
      </w:r>
      <w:r w:rsidRPr="00DB762A">
        <w:rPr>
          <w:lang w:val="en-GB"/>
        </w:rPr>
        <w:tab/>
        <w:t>Terms of reference for the informal working group on the improvement of accident reporting</w:t>
      </w:r>
    </w:p>
    <w:p w14:paraId="4D1396B0" w14:textId="77777777" w:rsidR="00583B15" w:rsidRPr="00DB762A" w:rsidRDefault="00583B15" w:rsidP="007D184D">
      <w:pPr>
        <w:pStyle w:val="SingleTxtG"/>
      </w:pPr>
      <w:r w:rsidRPr="00DB762A">
        <w:t>The informal working group shall organise its work by examining the points (a) to (h) hereafter. It may complement and adapt them as appropriate during its first session and report to the joint meeting as appropriate.</w:t>
      </w:r>
    </w:p>
    <w:p w14:paraId="0388BEAD" w14:textId="77777777" w:rsidR="00583B15" w:rsidRPr="00DB762A" w:rsidRDefault="00583B15" w:rsidP="007D184D">
      <w:pPr>
        <w:pStyle w:val="SingleTxtG"/>
        <w:ind w:left="1701" w:hanging="567"/>
      </w:pPr>
      <w:r w:rsidRPr="00DB762A">
        <w:t>(a)</w:t>
      </w:r>
      <w:r w:rsidRPr="00DB762A">
        <w:tab/>
        <w:t>Clarify the purpose of reporting information on accidents and identify the use of the reported information (1.8.3.6, 1.8.5, etc);</w:t>
      </w:r>
    </w:p>
    <w:p w14:paraId="30079311" w14:textId="77777777" w:rsidR="00583B15" w:rsidRPr="00DB762A" w:rsidRDefault="00583B15" w:rsidP="007D184D">
      <w:pPr>
        <w:pStyle w:val="SingleTxtG"/>
        <w:ind w:left="1701" w:hanging="567"/>
      </w:pPr>
      <w:r w:rsidRPr="00DB762A">
        <w:t>(b)</w:t>
      </w:r>
      <w:r w:rsidRPr="00DB762A">
        <w:tab/>
        <w:t>Clarify the participants responsible for sending the report and/or complementary information to the report;</w:t>
      </w:r>
    </w:p>
    <w:p w14:paraId="2DA1D110" w14:textId="77777777" w:rsidR="00583B15" w:rsidRPr="00DB762A" w:rsidRDefault="00583B15" w:rsidP="007D184D">
      <w:pPr>
        <w:pStyle w:val="SingleTxtG"/>
        <w:ind w:left="1701" w:hanging="567"/>
      </w:pPr>
      <w:r w:rsidRPr="00DB762A">
        <w:t>(c)</w:t>
      </w:r>
      <w:r w:rsidRPr="00DB762A">
        <w:tab/>
        <w:t>Examine anonymity issues;</w:t>
      </w:r>
    </w:p>
    <w:p w14:paraId="33DE1D24" w14:textId="431D93F2" w:rsidR="00583B15" w:rsidRPr="00DB762A" w:rsidRDefault="00583B15" w:rsidP="007D184D">
      <w:pPr>
        <w:pStyle w:val="SingleTxtG"/>
        <w:ind w:left="1701" w:hanging="567"/>
      </w:pPr>
      <w:r w:rsidRPr="00DB762A">
        <w:t>(d)</w:t>
      </w:r>
      <w:r w:rsidRPr="00DB762A">
        <w:tab/>
        <w:t>Study the relevant information necessary for the report according to its intended use (such as: lessons learnt from single occurrences, lessons learnt from repeated occurrences, risk assessment) and propose relevant improvements to RID/ADR/ADN;</w:t>
      </w:r>
    </w:p>
    <w:p w14:paraId="6B10CF1C" w14:textId="77777777" w:rsidR="00583B15" w:rsidRPr="00DB762A" w:rsidRDefault="00583B15" w:rsidP="007D184D">
      <w:pPr>
        <w:pStyle w:val="SingleTxtG"/>
        <w:ind w:left="1701" w:hanging="567"/>
      </w:pPr>
      <w:r w:rsidRPr="00DB762A">
        <w:t>(e)</w:t>
      </w:r>
      <w:r w:rsidRPr="00DB762A">
        <w:tab/>
        <w:t>Propose measures to facilitate the collection of the report by competent authorities and the transmission of relevant information to the UNECE and OTIF secretariats;</w:t>
      </w:r>
    </w:p>
    <w:p w14:paraId="7EE647A0" w14:textId="77777777" w:rsidR="00583B15" w:rsidRPr="00DB762A" w:rsidRDefault="00583B15" w:rsidP="007D184D">
      <w:pPr>
        <w:pStyle w:val="SingleTxtG"/>
        <w:ind w:left="1701" w:hanging="567"/>
      </w:pPr>
      <w:r w:rsidRPr="00DB762A">
        <w:t>(f)</w:t>
      </w:r>
      <w:r w:rsidRPr="00DB762A">
        <w:tab/>
        <w:t xml:space="preserve">Exchange of experience from competent authorities on methods that are used to ensure the accuracy of accident reporting; </w:t>
      </w:r>
    </w:p>
    <w:p w14:paraId="6356B90A" w14:textId="5239BC6D" w:rsidR="00583B15" w:rsidRPr="00DB762A" w:rsidRDefault="00583B15" w:rsidP="007D184D">
      <w:pPr>
        <w:pStyle w:val="SingleTxtG"/>
        <w:ind w:left="1701" w:hanging="567"/>
      </w:pPr>
      <w:r w:rsidRPr="00DB762A">
        <w:t>(g)</w:t>
      </w:r>
      <w:r w:rsidRPr="00DB762A">
        <w:tab/>
        <w:t>Take into account relevant input including the contributions provided by the transport of dangerous goods workshop for risk management</w:t>
      </w:r>
      <w:r w:rsidR="00414422">
        <w:t>, i</w:t>
      </w:r>
      <w:r w:rsidRPr="00DB762A">
        <w:t>n particular the list established by workgroup A and the “input parameter table” for the harmonised risk estimation model;</w:t>
      </w:r>
    </w:p>
    <w:p w14:paraId="11058E7A" w14:textId="77777777" w:rsidR="00583B15" w:rsidRPr="00DB762A" w:rsidRDefault="00583B15" w:rsidP="007D184D">
      <w:pPr>
        <w:pStyle w:val="SingleTxtG"/>
        <w:ind w:left="1701" w:hanging="567"/>
      </w:pPr>
      <w:r w:rsidRPr="00DB762A">
        <w:t>(h)</w:t>
      </w:r>
      <w:r w:rsidRPr="00DB762A">
        <w:tab/>
        <w:t>Take into account the relevant IT tools, including coordination with the development of the common occurrence reporting system (COR).</w:t>
      </w:r>
    </w:p>
    <w:p w14:paraId="1D3789A2" w14:textId="77777777" w:rsidR="00583B15" w:rsidRPr="00DB762A" w:rsidRDefault="00583B15" w:rsidP="007D184D">
      <w:pPr>
        <w:pStyle w:val="H23G"/>
        <w:rPr>
          <w:b w:val="0"/>
          <w:bCs/>
          <w:i/>
          <w:iCs/>
        </w:rPr>
      </w:pPr>
      <w:r w:rsidRPr="00DB762A">
        <w:tab/>
      </w:r>
      <w:r w:rsidRPr="00DB762A">
        <w:tab/>
      </w:r>
      <w:r w:rsidRPr="00DB762A">
        <w:rPr>
          <w:b w:val="0"/>
          <w:bCs/>
          <w:i/>
          <w:iCs/>
        </w:rPr>
        <w:t>(Reference document: Informal document INF.31/Rev.1, as amended)</w:t>
      </w:r>
    </w:p>
    <w:p w14:paraId="58C1BCA7" w14:textId="62CC1995" w:rsidR="000F23E3" w:rsidRPr="00DB762A" w:rsidRDefault="00583B15" w:rsidP="00583B15">
      <w:pPr>
        <w:spacing w:before="240"/>
        <w:ind w:left="1134" w:right="1134"/>
        <w:jc w:val="center"/>
        <w:rPr>
          <w:u w:val="single"/>
        </w:rPr>
      </w:pPr>
      <w:r w:rsidRPr="00DB762A">
        <w:rPr>
          <w:u w:val="single"/>
        </w:rPr>
        <w:tab/>
      </w:r>
      <w:r w:rsidRPr="00DB762A">
        <w:rPr>
          <w:u w:val="single"/>
        </w:rPr>
        <w:tab/>
      </w:r>
      <w:r w:rsidRPr="00DB762A">
        <w:rPr>
          <w:u w:val="single"/>
        </w:rPr>
        <w:tab/>
      </w:r>
    </w:p>
    <w:p w14:paraId="1B6F3739" w14:textId="77777777" w:rsidR="000F23E3" w:rsidRPr="00DB762A" w:rsidRDefault="000F23E3" w:rsidP="00BB557A">
      <w:pPr>
        <w:pStyle w:val="HChG"/>
      </w:pPr>
    </w:p>
    <w:sectPr w:rsidR="000F23E3" w:rsidRPr="00DB762A" w:rsidSect="00486BF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1E54" w14:textId="77777777" w:rsidR="00D4632B" w:rsidRDefault="00D4632B"/>
  </w:endnote>
  <w:endnote w:type="continuationSeparator" w:id="0">
    <w:p w14:paraId="67487DCB" w14:textId="77777777" w:rsidR="00D4632B" w:rsidRDefault="00D4632B"/>
  </w:endnote>
  <w:endnote w:type="continuationNotice" w:id="1">
    <w:p w14:paraId="49AAAFDB" w14:textId="77777777" w:rsidR="00D4632B" w:rsidRDefault="00D46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8CCC" w14:textId="07866D2C" w:rsidR="00D4632B" w:rsidRPr="00C34EE0" w:rsidRDefault="00D4632B" w:rsidP="00C34EE0">
    <w:pPr>
      <w:pStyle w:val="Footer"/>
      <w:tabs>
        <w:tab w:val="right" w:pos="9638"/>
      </w:tabs>
    </w:pPr>
    <w:r w:rsidRPr="00C34EE0">
      <w:rPr>
        <w:b/>
        <w:sz w:val="18"/>
      </w:rPr>
      <w:fldChar w:fldCharType="begin"/>
    </w:r>
    <w:r w:rsidRPr="00C34EE0">
      <w:rPr>
        <w:b/>
        <w:sz w:val="18"/>
      </w:rPr>
      <w:instrText xml:space="preserve"> PAGE  \* MERGEFORMAT </w:instrText>
    </w:r>
    <w:r w:rsidRPr="00C34EE0">
      <w:rPr>
        <w:b/>
        <w:sz w:val="18"/>
      </w:rPr>
      <w:fldChar w:fldCharType="separate"/>
    </w:r>
    <w:r w:rsidR="00891D5E">
      <w:rPr>
        <w:b/>
        <w:noProof/>
        <w:sz w:val="18"/>
      </w:rPr>
      <w:t>22</w:t>
    </w:r>
    <w:r w:rsidRPr="00C34E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58DB" w14:textId="6DAF27E5" w:rsidR="00D4632B" w:rsidRPr="00C34EE0" w:rsidRDefault="00D4632B" w:rsidP="00C34EE0">
    <w:pPr>
      <w:pStyle w:val="Footer"/>
      <w:tabs>
        <w:tab w:val="right" w:pos="9638"/>
      </w:tabs>
      <w:rPr>
        <w:b/>
        <w:sz w:val="18"/>
      </w:rPr>
    </w:pPr>
    <w:r>
      <w:tab/>
    </w:r>
    <w:r w:rsidRPr="00C34EE0">
      <w:rPr>
        <w:b/>
        <w:sz w:val="18"/>
      </w:rPr>
      <w:fldChar w:fldCharType="begin"/>
    </w:r>
    <w:r w:rsidRPr="00C34EE0">
      <w:rPr>
        <w:b/>
        <w:sz w:val="18"/>
      </w:rPr>
      <w:instrText xml:space="preserve"> PAGE  \* MERGEFORMAT </w:instrText>
    </w:r>
    <w:r w:rsidRPr="00C34EE0">
      <w:rPr>
        <w:b/>
        <w:sz w:val="18"/>
      </w:rPr>
      <w:fldChar w:fldCharType="separate"/>
    </w:r>
    <w:r w:rsidR="00891D5E">
      <w:rPr>
        <w:b/>
        <w:noProof/>
        <w:sz w:val="18"/>
      </w:rPr>
      <w:t>19</w:t>
    </w:r>
    <w:r w:rsidRPr="00C34E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FF9A" w14:textId="77777777" w:rsidR="00D4632B" w:rsidRPr="000B175B" w:rsidRDefault="00D4632B" w:rsidP="000B175B">
      <w:pPr>
        <w:tabs>
          <w:tab w:val="right" w:pos="2155"/>
        </w:tabs>
        <w:spacing w:after="80"/>
        <w:ind w:left="680"/>
        <w:rPr>
          <w:u w:val="single"/>
        </w:rPr>
      </w:pPr>
      <w:r>
        <w:rPr>
          <w:u w:val="single"/>
        </w:rPr>
        <w:tab/>
      </w:r>
    </w:p>
  </w:footnote>
  <w:footnote w:type="continuationSeparator" w:id="0">
    <w:p w14:paraId="2DB13A5F" w14:textId="77777777" w:rsidR="00D4632B" w:rsidRPr="00FC68B7" w:rsidRDefault="00D4632B" w:rsidP="00FC68B7">
      <w:pPr>
        <w:tabs>
          <w:tab w:val="left" w:pos="2155"/>
        </w:tabs>
        <w:spacing w:after="80"/>
        <w:ind w:left="680"/>
        <w:rPr>
          <w:u w:val="single"/>
        </w:rPr>
      </w:pPr>
      <w:r>
        <w:rPr>
          <w:u w:val="single"/>
        </w:rPr>
        <w:tab/>
      </w:r>
    </w:p>
  </w:footnote>
  <w:footnote w:type="continuationNotice" w:id="1">
    <w:p w14:paraId="76987418" w14:textId="77777777" w:rsidR="00D4632B" w:rsidRDefault="00D4632B"/>
  </w:footnote>
  <w:footnote w:id="2">
    <w:p w14:paraId="1614BD78" w14:textId="7279AACE" w:rsidR="00D4632B" w:rsidRPr="00D4632B" w:rsidRDefault="00D4632B" w:rsidP="002A62C6">
      <w:pPr>
        <w:pStyle w:val="FootnoteText"/>
        <w:rPr>
          <w:sz w:val="20"/>
          <w:lang w:val="en-GB"/>
        </w:rPr>
      </w:pPr>
      <w:r>
        <w:rPr>
          <w:rStyle w:val="FootnoteReference"/>
          <w:sz w:val="20"/>
        </w:rPr>
        <w:tab/>
      </w:r>
      <w:r w:rsidRPr="005D5932">
        <w:rPr>
          <w:rStyle w:val="FootnoteReference"/>
          <w:sz w:val="20"/>
        </w:rPr>
        <w:t>*</w:t>
      </w:r>
      <w:r>
        <w:rPr>
          <w:sz w:val="20"/>
        </w:rPr>
        <w:tab/>
      </w:r>
      <w:r w:rsidRPr="005D5932">
        <w:rPr>
          <w:szCs w:val="18"/>
        </w:rPr>
        <w:t>Circulated by the Intergovernmental Organization for International Carriage by Rail (OTIF) under the symbol OTIF/RID/RC/201</w:t>
      </w:r>
      <w:r w:rsidRPr="005D5932">
        <w:rPr>
          <w:szCs w:val="18"/>
          <w:lang w:val="en-GB"/>
        </w:rPr>
        <w:t>7</w:t>
      </w:r>
      <w:r w:rsidRPr="005D5932">
        <w:rPr>
          <w:szCs w:val="18"/>
        </w:rPr>
        <w:t>-B.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58F9E448" w14:textId="28F63C4D" w:rsidR="00D4632B" w:rsidRPr="00D4632B" w:rsidRDefault="00D4632B">
      <w:pPr>
        <w:pStyle w:val="FootnoteText"/>
        <w:rPr>
          <w:lang w:val="en-GB"/>
        </w:rPr>
      </w:pPr>
      <w:r>
        <w:tab/>
      </w:r>
      <w:r>
        <w:rPr>
          <w:rStyle w:val="FootnoteReference"/>
        </w:rPr>
        <w:t>**</w:t>
      </w:r>
      <w:r>
        <w:tab/>
        <w:t xml:space="preserve"> For practical reasons, annex I has been published as an addendum, with the symbol ECE/TRANS/WP.15/AC.1/</w:t>
      </w:r>
      <w:r w:rsidRPr="00D4632B">
        <w:rPr>
          <w:lang w:val="en-GB"/>
        </w:rPr>
        <w:t>152</w:t>
      </w:r>
      <w:r>
        <w:t>/Add.1.</w:t>
      </w:r>
    </w:p>
  </w:footnote>
  <w:footnote w:id="4">
    <w:p w14:paraId="6BE1653B" w14:textId="77777777" w:rsidR="00D4632B" w:rsidRPr="00D4632B" w:rsidRDefault="00D4632B" w:rsidP="002116C5">
      <w:pPr>
        <w:pStyle w:val="FootnoteText"/>
        <w:rPr>
          <w:lang w:val="en-GB"/>
        </w:rPr>
      </w:pPr>
      <w:r>
        <w:tab/>
      </w:r>
      <w:r>
        <w:rPr>
          <w:rStyle w:val="FootnoteReference"/>
        </w:rPr>
        <w:footnoteRef/>
      </w:r>
      <w:r>
        <w:t xml:space="preserve"> </w:t>
      </w:r>
      <w:r>
        <w:tab/>
      </w:r>
      <w:r w:rsidRPr="009B3637">
        <w:t>Council Directive 75/324/EEC of 20 May 1975 on the approximation of the laws of the Member States</w:t>
      </w:r>
      <w:r>
        <w:t xml:space="preserve"> relating to aerosol dispensers,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B368" w14:textId="0D8D01D0" w:rsidR="00D4632B" w:rsidRPr="00C34EE0" w:rsidRDefault="00D4632B" w:rsidP="00C34EE0">
    <w:pPr>
      <w:pStyle w:val="Header"/>
    </w:pPr>
    <w:r>
      <w:t>ECE/TRANS/WP.15/AC.1/152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687B" w14:textId="7DFA4A0D" w:rsidR="00D4632B" w:rsidRPr="00C34EE0" w:rsidRDefault="00D4632B" w:rsidP="00486BF7">
    <w:pPr>
      <w:pStyle w:val="Header"/>
      <w:jc w:val="right"/>
    </w:pPr>
    <w:r>
      <w:t>ECE/TRANS/WP.15/AC.1/152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052BE"/>
    <w:multiLevelType w:val="hybridMultilevel"/>
    <w:tmpl w:val="FFFCF2A4"/>
    <w:lvl w:ilvl="0" w:tplc="FDAEA28A">
      <w:start w:val="1"/>
      <w:numFmt w:val="bullet"/>
      <w:lvlText w:val="⁃"/>
      <w:lvlJc w:val="left"/>
      <w:pPr>
        <w:ind w:left="1494" w:hanging="360"/>
      </w:pPr>
      <w:rPr>
        <w:rFonts w:ascii="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2438"/>
        </w:tabs>
        <w:ind w:left="2438" w:hanging="170"/>
      </w:pPr>
      <w:rPr>
        <w:rFonts w:ascii="Times New Roman" w:hAnsi="Times New Roman" w:cs="Times New Roman" w:hint="default"/>
        <w:b w:val="0"/>
        <w:i w:val="0"/>
        <w:sz w:val="20"/>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4"/>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4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3A"/>
    <w:rsid w:val="00000169"/>
    <w:rsid w:val="0000040B"/>
    <w:rsid w:val="0000392D"/>
    <w:rsid w:val="00003DF1"/>
    <w:rsid w:val="00004A3F"/>
    <w:rsid w:val="000054CA"/>
    <w:rsid w:val="000060DC"/>
    <w:rsid w:val="000121F5"/>
    <w:rsid w:val="0001478F"/>
    <w:rsid w:val="00015D98"/>
    <w:rsid w:val="00017DD9"/>
    <w:rsid w:val="00030E46"/>
    <w:rsid w:val="00031528"/>
    <w:rsid w:val="00031D0B"/>
    <w:rsid w:val="00032082"/>
    <w:rsid w:val="00033207"/>
    <w:rsid w:val="000335E0"/>
    <w:rsid w:val="0003533A"/>
    <w:rsid w:val="00035D3C"/>
    <w:rsid w:val="00035E6A"/>
    <w:rsid w:val="00037E7D"/>
    <w:rsid w:val="00040393"/>
    <w:rsid w:val="00040B67"/>
    <w:rsid w:val="00041743"/>
    <w:rsid w:val="00042653"/>
    <w:rsid w:val="0004650F"/>
    <w:rsid w:val="00046B1F"/>
    <w:rsid w:val="0004788F"/>
    <w:rsid w:val="00050683"/>
    <w:rsid w:val="00050F6B"/>
    <w:rsid w:val="00050FD1"/>
    <w:rsid w:val="000514E1"/>
    <w:rsid w:val="00052E33"/>
    <w:rsid w:val="00057E97"/>
    <w:rsid w:val="0006190A"/>
    <w:rsid w:val="00063631"/>
    <w:rsid w:val="00063BC4"/>
    <w:rsid w:val="0006414A"/>
    <w:rsid w:val="0006542A"/>
    <w:rsid w:val="00065EA7"/>
    <w:rsid w:val="00066D85"/>
    <w:rsid w:val="00067BA0"/>
    <w:rsid w:val="000728A1"/>
    <w:rsid w:val="00072C8C"/>
    <w:rsid w:val="000733B5"/>
    <w:rsid w:val="00074C22"/>
    <w:rsid w:val="0007643F"/>
    <w:rsid w:val="00077281"/>
    <w:rsid w:val="00077EF6"/>
    <w:rsid w:val="00080117"/>
    <w:rsid w:val="0008071E"/>
    <w:rsid w:val="00081815"/>
    <w:rsid w:val="00081AF1"/>
    <w:rsid w:val="000831C3"/>
    <w:rsid w:val="00084E26"/>
    <w:rsid w:val="00085B97"/>
    <w:rsid w:val="0008607E"/>
    <w:rsid w:val="000906D8"/>
    <w:rsid w:val="000931C0"/>
    <w:rsid w:val="0009365C"/>
    <w:rsid w:val="00093D15"/>
    <w:rsid w:val="00094174"/>
    <w:rsid w:val="000941F1"/>
    <w:rsid w:val="0009665E"/>
    <w:rsid w:val="00097C0E"/>
    <w:rsid w:val="000A0A4B"/>
    <w:rsid w:val="000A0D1A"/>
    <w:rsid w:val="000A1232"/>
    <w:rsid w:val="000A338B"/>
    <w:rsid w:val="000A35FB"/>
    <w:rsid w:val="000A5081"/>
    <w:rsid w:val="000A6228"/>
    <w:rsid w:val="000A6BD2"/>
    <w:rsid w:val="000B0595"/>
    <w:rsid w:val="000B09B7"/>
    <w:rsid w:val="000B175B"/>
    <w:rsid w:val="000B3A0F"/>
    <w:rsid w:val="000B4873"/>
    <w:rsid w:val="000B4EF7"/>
    <w:rsid w:val="000B5312"/>
    <w:rsid w:val="000B7049"/>
    <w:rsid w:val="000B77A4"/>
    <w:rsid w:val="000B7D12"/>
    <w:rsid w:val="000C295D"/>
    <w:rsid w:val="000C2C03"/>
    <w:rsid w:val="000C2D2E"/>
    <w:rsid w:val="000C4C4B"/>
    <w:rsid w:val="000C6040"/>
    <w:rsid w:val="000C7522"/>
    <w:rsid w:val="000D0827"/>
    <w:rsid w:val="000D1F64"/>
    <w:rsid w:val="000D2DE2"/>
    <w:rsid w:val="000D35B0"/>
    <w:rsid w:val="000E0415"/>
    <w:rsid w:val="000E2040"/>
    <w:rsid w:val="000E23AA"/>
    <w:rsid w:val="000E581B"/>
    <w:rsid w:val="000F0053"/>
    <w:rsid w:val="000F007A"/>
    <w:rsid w:val="000F04C5"/>
    <w:rsid w:val="000F0B5A"/>
    <w:rsid w:val="000F1572"/>
    <w:rsid w:val="000F23E3"/>
    <w:rsid w:val="000F3A84"/>
    <w:rsid w:val="000F573C"/>
    <w:rsid w:val="00100351"/>
    <w:rsid w:val="0010043A"/>
    <w:rsid w:val="00101476"/>
    <w:rsid w:val="001015C6"/>
    <w:rsid w:val="00104C98"/>
    <w:rsid w:val="001051E8"/>
    <w:rsid w:val="0010596B"/>
    <w:rsid w:val="00105A2A"/>
    <w:rsid w:val="001103AA"/>
    <w:rsid w:val="001133C8"/>
    <w:rsid w:val="00113550"/>
    <w:rsid w:val="00115E4B"/>
    <w:rsid w:val="00116601"/>
    <w:rsid w:val="0011666B"/>
    <w:rsid w:val="001174BE"/>
    <w:rsid w:val="00121952"/>
    <w:rsid w:val="00122737"/>
    <w:rsid w:val="0012297E"/>
    <w:rsid w:val="0012344B"/>
    <w:rsid w:val="00126A4F"/>
    <w:rsid w:val="00132273"/>
    <w:rsid w:val="001327A9"/>
    <w:rsid w:val="00132CFF"/>
    <w:rsid w:val="00135EF2"/>
    <w:rsid w:val="00136960"/>
    <w:rsid w:val="00136A95"/>
    <w:rsid w:val="001415CE"/>
    <w:rsid w:val="0014183A"/>
    <w:rsid w:val="00145266"/>
    <w:rsid w:val="00145652"/>
    <w:rsid w:val="001465B0"/>
    <w:rsid w:val="00146DBB"/>
    <w:rsid w:val="00146DBC"/>
    <w:rsid w:val="00151798"/>
    <w:rsid w:val="00152726"/>
    <w:rsid w:val="00152CBA"/>
    <w:rsid w:val="001533C5"/>
    <w:rsid w:val="00153A81"/>
    <w:rsid w:val="00155058"/>
    <w:rsid w:val="00155256"/>
    <w:rsid w:val="00155407"/>
    <w:rsid w:val="00160399"/>
    <w:rsid w:val="00162DFF"/>
    <w:rsid w:val="00164462"/>
    <w:rsid w:val="00164C1B"/>
    <w:rsid w:val="001651F3"/>
    <w:rsid w:val="00165F3A"/>
    <w:rsid w:val="001707B7"/>
    <w:rsid w:val="0017123D"/>
    <w:rsid w:val="00171481"/>
    <w:rsid w:val="001754EB"/>
    <w:rsid w:val="001831DF"/>
    <w:rsid w:val="0018638B"/>
    <w:rsid w:val="001942CC"/>
    <w:rsid w:val="001948F6"/>
    <w:rsid w:val="00195C46"/>
    <w:rsid w:val="00196682"/>
    <w:rsid w:val="00197E29"/>
    <w:rsid w:val="001A0458"/>
    <w:rsid w:val="001A1FCE"/>
    <w:rsid w:val="001A3E62"/>
    <w:rsid w:val="001A7AAA"/>
    <w:rsid w:val="001B063A"/>
    <w:rsid w:val="001B0B7C"/>
    <w:rsid w:val="001B1062"/>
    <w:rsid w:val="001B15ED"/>
    <w:rsid w:val="001B308A"/>
    <w:rsid w:val="001B3436"/>
    <w:rsid w:val="001B3F17"/>
    <w:rsid w:val="001B4B04"/>
    <w:rsid w:val="001B5475"/>
    <w:rsid w:val="001B6ED2"/>
    <w:rsid w:val="001B7DD3"/>
    <w:rsid w:val="001C0E86"/>
    <w:rsid w:val="001C1B54"/>
    <w:rsid w:val="001C2FD8"/>
    <w:rsid w:val="001C30DE"/>
    <w:rsid w:val="001C4A14"/>
    <w:rsid w:val="001C4B8C"/>
    <w:rsid w:val="001C5C40"/>
    <w:rsid w:val="001C6663"/>
    <w:rsid w:val="001C6DDA"/>
    <w:rsid w:val="001C6E34"/>
    <w:rsid w:val="001C72A0"/>
    <w:rsid w:val="001C7895"/>
    <w:rsid w:val="001C7EA6"/>
    <w:rsid w:val="001D0C8C"/>
    <w:rsid w:val="001D1419"/>
    <w:rsid w:val="001D26DF"/>
    <w:rsid w:val="001D3A03"/>
    <w:rsid w:val="001D51D7"/>
    <w:rsid w:val="001D76BD"/>
    <w:rsid w:val="001D7E34"/>
    <w:rsid w:val="001E1FB9"/>
    <w:rsid w:val="001E3E31"/>
    <w:rsid w:val="001E4C9B"/>
    <w:rsid w:val="001E4E89"/>
    <w:rsid w:val="001E5FC4"/>
    <w:rsid w:val="001E6B06"/>
    <w:rsid w:val="001E7B67"/>
    <w:rsid w:val="001E7D66"/>
    <w:rsid w:val="001F0917"/>
    <w:rsid w:val="001F0C2B"/>
    <w:rsid w:val="001F2B5D"/>
    <w:rsid w:val="001F7E66"/>
    <w:rsid w:val="002006D0"/>
    <w:rsid w:val="00200A8E"/>
    <w:rsid w:val="00201168"/>
    <w:rsid w:val="00201BF3"/>
    <w:rsid w:val="00202DA8"/>
    <w:rsid w:val="00203610"/>
    <w:rsid w:val="00204086"/>
    <w:rsid w:val="00205E83"/>
    <w:rsid w:val="00210708"/>
    <w:rsid w:val="002116C5"/>
    <w:rsid w:val="00211D75"/>
    <w:rsid w:val="00211E0B"/>
    <w:rsid w:val="00213D05"/>
    <w:rsid w:val="0021409E"/>
    <w:rsid w:val="00214F95"/>
    <w:rsid w:val="002217E2"/>
    <w:rsid w:val="002234EA"/>
    <w:rsid w:val="00225A14"/>
    <w:rsid w:val="00231839"/>
    <w:rsid w:val="00231C60"/>
    <w:rsid w:val="00232AF1"/>
    <w:rsid w:val="002344FE"/>
    <w:rsid w:val="00234850"/>
    <w:rsid w:val="00236B71"/>
    <w:rsid w:val="0023731E"/>
    <w:rsid w:val="00237950"/>
    <w:rsid w:val="002418E7"/>
    <w:rsid w:val="0024299C"/>
    <w:rsid w:val="0024641D"/>
    <w:rsid w:val="0024694D"/>
    <w:rsid w:val="00252BF2"/>
    <w:rsid w:val="00255BA1"/>
    <w:rsid w:val="002564A7"/>
    <w:rsid w:val="00257DFE"/>
    <w:rsid w:val="00265697"/>
    <w:rsid w:val="00266604"/>
    <w:rsid w:val="00267F5F"/>
    <w:rsid w:val="002701E5"/>
    <w:rsid w:val="002706AC"/>
    <w:rsid w:val="002718C9"/>
    <w:rsid w:val="00272635"/>
    <w:rsid w:val="00275599"/>
    <w:rsid w:val="00275B07"/>
    <w:rsid w:val="00276362"/>
    <w:rsid w:val="00280728"/>
    <w:rsid w:val="00280E3A"/>
    <w:rsid w:val="00282ADB"/>
    <w:rsid w:val="0028312B"/>
    <w:rsid w:val="00284661"/>
    <w:rsid w:val="00286B4D"/>
    <w:rsid w:val="0029388C"/>
    <w:rsid w:val="00293DBE"/>
    <w:rsid w:val="00293F36"/>
    <w:rsid w:val="00295179"/>
    <w:rsid w:val="00295DC5"/>
    <w:rsid w:val="002969CD"/>
    <w:rsid w:val="00297A22"/>
    <w:rsid w:val="002A45B8"/>
    <w:rsid w:val="002A62C6"/>
    <w:rsid w:val="002B2F07"/>
    <w:rsid w:val="002B4251"/>
    <w:rsid w:val="002B49DE"/>
    <w:rsid w:val="002B4FCF"/>
    <w:rsid w:val="002B6EB2"/>
    <w:rsid w:val="002C08C9"/>
    <w:rsid w:val="002C1AD3"/>
    <w:rsid w:val="002C2992"/>
    <w:rsid w:val="002C510D"/>
    <w:rsid w:val="002C670F"/>
    <w:rsid w:val="002D4343"/>
    <w:rsid w:val="002D4643"/>
    <w:rsid w:val="002D6BA2"/>
    <w:rsid w:val="002E0D0A"/>
    <w:rsid w:val="002E1CCB"/>
    <w:rsid w:val="002E2A4F"/>
    <w:rsid w:val="002E33A2"/>
    <w:rsid w:val="002E46C0"/>
    <w:rsid w:val="002E5D30"/>
    <w:rsid w:val="002E5E51"/>
    <w:rsid w:val="002F175C"/>
    <w:rsid w:val="002F2962"/>
    <w:rsid w:val="002F3F07"/>
    <w:rsid w:val="002F4FF9"/>
    <w:rsid w:val="002F57A9"/>
    <w:rsid w:val="00300E65"/>
    <w:rsid w:val="003019B8"/>
    <w:rsid w:val="00302CDB"/>
    <w:rsid w:val="00302E18"/>
    <w:rsid w:val="003031FD"/>
    <w:rsid w:val="0030498D"/>
    <w:rsid w:val="0030605F"/>
    <w:rsid w:val="003060F0"/>
    <w:rsid w:val="00307016"/>
    <w:rsid w:val="00311695"/>
    <w:rsid w:val="00311BDD"/>
    <w:rsid w:val="00316BD4"/>
    <w:rsid w:val="00321D51"/>
    <w:rsid w:val="00321DE3"/>
    <w:rsid w:val="003229D8"/>
    <w:rsid w:val="00323199"/>
    <w:rsid w:val="00323A22"/>
    <w:rsid w:val="00324C61"/>
    <w:rsid w:val="003263D9"/>
    <w:rsid w:val="00327CB5"/>
    <w:rsid w:val="00330A66"/>
    <w:rsid w:val="003333E3"/>
    <w:rsid w:val="0033403A"/>
    <w:rsid w:val="003341F1"/>
    <w:rsid w:val="003358A8"/>
    <w:rsid w:val="00335DC2"/>
    <w:rsid w:val="00336B57"/>
    <w:rsid w:val="003431D7"/>
    <w:rsid w:val="003435D5"/>
    <w:rsid w:val="00343AEB"/>
    <w:rsid w:val="00343C35"/>
    <w:rsid w:val="00344465"/>
    <w:rsid w:val="003456AF"/>
    <w:rsid w:val="003505A4"/>
    <w:rsid w:val="00352709"/>
    <w:rsid w:val="00353E30"/>
    <w:rsid w:val="00353FB1"/>
    <w:rsid w:val="00361231"/>
    <w:rsid w:val="0036260D"/>
    <w:rsid w:val="00362ACF"/>
    <w:rsid w:val="00362DC3"/>
    <w:rsid w:val="00365426"/>
    <w:rsid w:val="00367985"/>
    <w:rsid w:val="0037007C"/>
    <w:rsid w:val="00371178"/>
    <w:rsid w:val="00372B53"/>
    <w:rsid w:val="00372D68"/>
    <w:rsid w:val="00374353"/>
    <w:rsid w:val="003778B1"/>
    <w:rsid w:val="0038084E"/>
    <w:rsid w:val="00382A89"/>
    <w:rsid w:val="00383E16"/>
    <w:rsid w:val="003856C4"/>
    <w:rsid w:val="00390E8F"/>
    <w:rsid w:val="00391772"/>
    <w:rsid w:val="00395244"/>
    <w:rsid w:val="00397AB2"/>
    <w:rsid w:val="003A1EF9"/>
    <w:rsid w:val="003A2438"/>
    <w:rsid w:val="003A2EEF"/>
    <w:rsid w:val="003A5622"/>
    <w:rsid w:val="003A5A1B"/>
    <w:rsid w:val="003A61F7"/>
    <w:rsid w:val="003A6810"/>
    <w:rsid w:val="003A7E6B"/>
    <w:rsid w:val="003B0990"/>
    <w:rsid w:val="003B1BE1"/>
    <w:rsid w:val="003B1F7C"/>
    <w:rsid w:val="003B460B"/>
    <w:rsid w:val="003C2AF1"/>
    <w:rsid w:val="003C2CC4"/>
    <w:rsid w:val="003C2D56"/>
    <w:rsid w:val="003C37FF"/>
    <w:rsid w:val="003C6232"/>
    <w:rsid w:val="003D1B89"/>
    <w:rsid w:val="003D20D1"/>
    <w:rsid w:val="003D2A93"/>
    <w:rsid w:val="003D4B23"/>
    <w:rsid w:val="003D607D"/>
    <w:rsid w:val="003D6718"/>
    <w:rsid w:val="003D67AD"/>
    <w:rsid w:val="003E3CCA"/>
    <w:rsid w:val="003E470D"/>
    <w:rsid w:val="003E65F0"/>
    <w:rsid w:val="003E6F29"/>
    <w:rsid w:val="003F1492"/>
    <w:rsid w:val="003F27B6"/>
    <w:rsid w:val="003F46A5"/>
    <w:rsid w:val="003F49D8"/>
    <w:rsid w:val="003F6EC1"/>
    <w:rsid w:val="00400015"/>
    <w:rsid w:val="00400DE3"/>
    <w:rsid w:val="00403D2A"/>
    <w:rsid w:val="00404943"/>
    <w:rsid w:val="00406F66"/>
    <w:rsid w:val="0040764D"/>
    <w:rsid w:val="00410836"/>
    <w:rsid w:val="00410A71"/>
    <w:rsid w:val="00410C89"/>
    <w:rsid w:val="00414422"/>
    <w:rsid w:val="004156A3"/>
    <w:rsid w:val="00415F59"/>
    <w:rsid w:val="00417C74"/>
    <w:rsid w:val="00420FA3"/>
    <w:rsid w:val="00421B49"/>
    <w:rsid w:val="00421D10"/>
    <w:rsid w:val="00422915"/>
    <w:rsid w:val="00422C12"/>
    <w:rsid w:val="00422E03"/>
    <w:rsid w:val="00423B2E"/>
    <w:rsid w:val="0042550B"/>
    <w:rsid w:val="00425712"/>
    <w:rsid w:val="00426B9B"/>
    <w:rsid w:val="00426F8C"/>
    <w:rsid w:val="0043198D"/>
    <w:rsid w:val="004325CB"/>
    <w:rsid w:val="00433A3D"/>
    <w:rsid w:val="004357E8"/>
    <w:rsid w:val="004363DD"/>
    <w:rsid w:val="00436658"/>
    <w:rsid w:val="00436F16"/>
    <w:rsid w:val="00441BD3"/>
    <w:rsid w:val="00441EE6"/>
    <w:rsid w:val="0044258E"/>
    <w:rsid w:val="00442788"/>
    <w:rsid w:val="00442A83"/>
    <w:rsid w:val="004432D2"/>
    <w:rsid w:val="0044449A"/>
    <w:rsid w:val="004444AB"/>
    <w:rsid w:val="00445421"/>
    <w:rsid w:val="00445A15"/>
    <w:rsid w:val="004463D8"/>
    <w:rsid w:val="0044692D"/>
    <w:rsid w:val="00447A43"/>
    <w:rsid w:val="00451771"/>
    <w:rsid w:val="00452A22"/>
    <w:rsid w:val="004544E9"/>
    <w:rsid w:val="0045495B"/>
    <w:rsid w:val="00456B77"/>
    <w:rsid w:val="004576F1"/>
    <w:rsid w:val="00462B7E"/>
    <w:rsid w:val="004733EF"/>
    <w:rsid w:val="00473416"/>
    <w:rsid w:val="00474365"/>
    <w:rsid w:val="00474AF9"/>
    <w:rsid w:val="00474CBE"/>
    <w:rsid w:val="0047534E"/>
    <w:rsid w:val="0047574E"/>
    <w:rsid w:val="004760BD"/>
    <w:rsid w:val="00476359"/>
    <w:rsid w:val="00477B0D"/>
    <w:rsid w:val="00477D7B"/>
    <w:rsid w:val="004822A4"/>
    <w:rsid w:val="0048397A"/>
    <w:rsid w:val="00483FFD"/>
    <w:rsid w:val="00484858"/>
    <w:rsid w:val="00486BF7"/>
    <w:rsid w:val="00487CDE"/>
    <w:rsid w:val="0049065C"/>
    <w:rsid w:val="0049193A"/>
    <w:rsid w:val="00492647"/>
    <w:rsid w:val="00492922"/>
    <w:rsid w:val="004938CD"/>
    <w:rsid w:val="00494B6F"/>
    <w:rsid w:val="004A2890"/>
    <w:rsid w:val="004A36AB"/>
    <w:rsid w:val="004A56F9"/>
    <w:rsid w:val="004A6B94"/>
    <w:rsid w:val="004B36D0"/>
    <w:rsid w:val="004B64C0"/>
    <w:rsid w:val="004B78F8"/>
    <w:rsid w:val="004C2461"/>
    <w:rsid w:val="004C2780"/>
    <w:rsid w:val="004C38FC"/>
    <w:rsid w:val="004C47F0"/>
    <w:rsid w:val="004C4D9D"/>
    <w:rsid w:val="004C666C"/>
    <w:rsid w:val="004C7462"/>
    <w:rsid w:val="004D4606"/>
    <w:rsid w:val="004D5AE4"/>
    <w:rsid w:val="004D6D47"/>
    <w:rsid w:val="004D7447"/>
    <w:rsid w:val="004E2DF3"/>
    <w:rsid w:val="004E2E1A"/>
    <w:rsid w:val="004E30F6"/>
    <w:rsid w:val="004E59C6"/>
    <w:rsid w:val="004E62FD"/>
    <w:rsid w:val="004E77B2"/>
    <w:rsid w:val="004F2D9A"/>
    <w:rsid w:val="004F4446"/>
    <w:rsid w:val="004F5C04"/>
    <w:rsid w:val="005009FC"/>
    <w:rsid w:val="00503F08"/>
    <w:rsid w:val="005043F0"/>
    <w:rsid w:val="00504B2D"/>
    <w:rsid w:val="0050537F"/>
    <w:rsid w:val="0051203D"/>
    <w:rsid w:val="00513AA2"/>
    <w:rsid w:val="00513FFD"/>
    <w:rsid w:val="00514703"/>
    <w:rsid w:val="0052136D"/>
    <w:rsid w:val="005247F1"/>
    <w:rsid w:val="005270D8"/>
    <w:rsid w:val="0052775E"/>
    <w:rsid w:val="00530009"/>
    <w:rsid w:val="00530AA9"/>
    <w:rsid w:val="00532188"/>
    <w:rsid w:val="00532BE8"/>
    <w:rsid w:val="0053511C"/>
    <w:rsid w:val="00535495"/>
    <w:rsid w:val="00537AF9"/>
    <w:rsid w:val="005420F2"/>
    <w:rsid w:val="00542C3C"/>
    <w:rsid w:val="0054453B"/>
    <w:rsid w:val="0054488D"/>
    <w:rsid w:val="005465F5"/>
    <w:rsid w:val="00550827"/>
    <w:rsid w:val="005513D0"/>
    <w:rsid w:val="005516DC"/>
    <w:rsid w:val="00551D9D"/>
    <w:rsid w:val="0055431F"/>
    <w:rsid w:val="005556F3"/>
    <w:rsid w:val="005558E6"/>
    <w:rsid w:val="00556DCE"/>
    <w:rsid w:val="00560371"/>
    <w:rsid w:val="005628B6"/>
    <w:rsid w:val="005644BA"/>
    <w:rsid w:val="00565C16"/>
    <w:rsid w:val="00565CE5"/>
    <w:rsid w:val="00566D45"/>
    <w:rsid w:val="00570B87"/>
    <w:rsid w:val="00571C9C"/>
    <w:rsid w:val="00571F74"/>
    <w:rsid w:val="005736F8"/>
    <w:rsid w:val="00577426"/>
    <w:rsid w:val="005776C8"/>
    <w:rsid w:val="0057785E"/>
    <w:rsid w:val="005831C4"/>
    <w:rsid w:val="00583B15"/>
    <w:rsid w:val="00585A8E"/>
    <w:rsid w:val="00587574"/>
    <w:rsid w:val="00590B53"/>
    <w:rsid w:val="0059244B"/>
    <w:rsid w:val="00592947"/>
    <w:rsid w:val="005933CC"/>
    <w:rsid w:val="00593FED"/>
    <w:rsid w:val="00594022"/>
    <w:rsid w:val="00595497"/>
    <w:rsid w:val="00596C5B"/>
    <w:rsid w:val="005A5181"/>
    <w:rsid w:val="005B33AD"/>
    <w:rsid w:val="005B33B7"/>
    <w:rsid w:val="005B3DB3"/>
    <w:rsid w:val="005B4E13"/>
    <w:rsid w:val="005C105A"/>
    <w:rsid w:val="005C29C2"/>
    <w:rsid w:val="005C4BA7"/>
    <w:rsid w:val="005C5226"/>
    <w:rsid w:val="005D092D"/>
    <w:rsid w:val="005D0F9D"/>
    <w:rsid w:val="005D28DC"/>
    <w:rsid w:val="005D3823"/>
    <w:rsid w:val="005D4E46"/>
    <w:rsid w:val="005D5932"/>
    <w:rsid w:val="005E1941"/>
    <w:rsid w:val="005E5759"/>
    <w:rsid w:val="005E68AA"/>
    <w:rsid w:val="005F242B"/>
    <w:rsid w:val="005F7B75"/>
    <w:rsid w:val="006001EE"/>
    <w:rsid w:val="0060240C"/>
    <w:rsid w:val="00602C17"/>
    <w:rsid w:val="00605042"/>
    <w:rsid w:val="00606B2C"/>
    <w:rsid w:val="0060714B"/>
    <w:rsid w:val="006105A3"/>
    <w:rsid w:val="00610634"/>
    <w:rsid w:val="00610EE2"/>
    <w:rsid w:val="00611B0F"/>
    <w:rsid w:val="00611FC4"/>
    <w:rsid w:val="00611FCD"/>
    <w:rsid w:val="0061501D"/>
    <w:rsid w:val="006176FB"/>
    <w:rsid w:val="00617E91"/>
    <w:rsid w:val="00622CAB"/>
    <w:rsid w:val="00623FEB"/>
    <w:rsid w:val="0062408B"/>
    <w:rsid w:val="00624C84"/>
    <w:rsid w:val="006258F5"/>
    <w:rsid w:val="006263F6"/>
    <w:rsid w:val="00627F52"/>
    <w:rsid w:val="00627FAC"/>
    <w:rsid w:val="00630F7C"/>
    <w:rsid w:val="00632429"/>
    <w:rsid w:val="0063275B"/>
    <w:rsid w:val="00632ACB"/>
    <w:rsid w:val="00633738"/>
    <w:rsid w:val="006357B7"/>
    <w:rsid w:val="0063759E"/>
    <w:rsid w:val="00640B26"/>
    <w:rsid w:val="00643CC5"/>
    <w:rsid w:val="006444B6"/>
    <w:rsid w:val="00647338"/>
    <w:rsid w:val="00647A01"/>
    <w:rsid w:val="00652481"/>
    <w:rsid w:val="0065252F"/>
    <w:rsid w:val="00652D0A"/>
    <w:rsid w:val="006566B6"/>
    <w:rsid w:val="0065768F"/>
    <w:rsid w:val="006613F1"/>
    <w:rsid w:val="0066208B"/>
    <w:rsid w:val="00662BB6"/>
    <w:rsid w:val="006635C4"/>
    <w:rsid w:val="006649DD"/>
    <w:rsid w:val="00665BFE"/>
    <w:rsid w:val="0066735C"/>
    <w:rsid w:val="00671568"/>
    <w:rsid w:val="00671767"/>
    <w:rsid w:val="00674184"/>
    <w:rsid w:val="00677B55"/>
    <w:rsid w:val="006801FC"/>
    <w:rsid w:val="006816AC"/>
    <w:rsid w:val="00683839"/>
    <w:rsid w:val="00684C21"/>
    <w:rsid w:val="00685273"/>
    <w:rsid w:val="00686D28"/>
    <w:rsid w:val="00687215"/>
    <w:rsid w:val="0069203A"/>
    <w:rsid w:val="00692D4E"/>
    <w:rsid w:val="00692D77"/>
    <w:rsid w:val="00695210"/>
    <w:rsid w:val="0069634E"/>
    <w:rsid w:val="006968ED"/>
    <w:rsid w:val="0069753F"/>
    <w:rsid w:val="00697634"/>
    <w:rsid w:val="006A20E0"/>
    <w:rsid w:val="006A2530"/>
    <w:rsid w:val="006A49FD"/>
    <w:rsid w:val="006A6497"/>
    <w:rsid w:val="006A716E"/>
    <w:rsid w:val="006A7B1E"/>
    <w:rsid w:val="006A7F73"/>
    <w:rsid w:val="006B0835"/>
    <w:rsid w:val="006B27C8"/>
    <w:rsid w:val="006B48CE"/>
    <w:rsid w:val="006B5F46"/>
    <w:rsid w:val="006C0582"/>
    <w:rsid w:val="006C2AF5"/>
    <w:rsid w:val="006C3589"/>
    <w:rsid w:val="006C5611"/>
    <w:rsid w:val="006D0EFD"/>
    <w:rsid w:val="006D3354"/>
    <w:rsid w:val="006D37AF"/>
    <w:rsid w:val="006D3F5E"/>
    <w:rsid w:val="006D51D0"/>
    <w:rsid w:val="006E0743"/>
    <w:rsid w:val="006E1098"/>
    <w:rsid w:val="006E1C54"/>
    <w:rsid w:val="006E373B"/>
    <w:rsid w:val="006E5434"/>
    <w:rsid w:val="006E564B"/>
    <w:rsid w:val="006E7191"/>
    <w:rsid w:val="006F0F23"/>
    <w:rsid w:val="006F2405"/>
    <w:rsid w:val="006F2F25"/>
    <w:rsid w:val="006F384F"/>
    <w:rsid w:val="006F5323"/>
    <w:rsid w:val="006F5451"/>
    <w:rsid w:val="006F7F02"/>
    <w:rsid w:val="0070161B"/>
    <w:rsid w:val="0070167D"/>
    <w:rsid w:val="007021B3"/>
    <w:rsid w:val="007023C0"/>
    <w:rsid w:val="00703577"/>
    <w:rsid w:val="0070426D"/>
    <w:rsid w:val="00705894"/>
    <w:rsid w:val="00705CEC"/>
    <w:rsid w:val="00711527"/>
    <w:rsid w:val="00712CDA"/>
    <w:rsid w:val="00712E41"/>
    <w:rsid w:val="007138DB"/>
    <w:rsid w:val="0071393D"/>
    <w:rsid w:val="00714191"/>
    <w:rsid w:val="00715391"/>
    <w:rsid w:val="00715F79"/>
    <w:rsid w:val="00716106"/>
    <w:rsid w:val="00717AEC"/>
    <w:rsid w:val="007222EB"/>
    <w:rsid w:val="0072336C"/>
    <w:rsid w:val="00724AD3"/>
    <w:rsid w:val="0072515C"/>
    <w:rsid w:val="0072632A"/>
    <w:rsid w:val="00727812"/>
    <w:rsid w:val="007279DE"/>
    <w:rsid w:val="0073061C"/>
    <w:rsid w:val="007307CE"/>
    <w:rsid w:val="007327D5"/>
    <w:rsid w:val="007330A5"/>
    <w:rsid w:val="00736E7E"/>
    <w:rsid w:val="00737388"/>
    <w:rsid w:val="00737451"/>
    <w:rsid w:val="007374F0"/>
    <w:rsid w:val="00741403"/>
    <w:rsid w:val="007436AB"/>
    <w:rsid w:val="00744BF8"/>
    <w:rsid w:val="00744C35"/>
    <w:rsid w:val="007466E5"/>
    <w:rsid w:val="007506E7"/>
    <w:rsid w:val="00751129"/>
    <w:rsid w:val="00752B75"/>
    <w:rsid w:val="0075564D"/>
    <w:rsid w:val="00755847"/>
    <w:rsid w:val="007607EA"/>
    <w:rsid w:val="007629C8"/>
    <w:rsid w:val="00763963"/>
    <w:rsid w:val="00767B7A"/>
    <w:rsid w:val="0077047D"/>
    <w:rsid w:val="007717DA"/>
    <w:rsid w:val="00771A0B"/>
    <w:rsid w:val="00773F5D"/>
    <w:rsid w:val="007749DC"/>
    <w:rsid w:val="007764B8"/>
    <w:rsid w:val="00776BBC"/>
    <w:rsid w:val="00777BC0"/>
    <w:rsid w:val="00780F4A"/>
    <w:rsid w:val="00781DA5"/>
    <w:rsid w:val="0078303B"/>
    <w:rsid w:val="00786509"/>
    <w:rsid w:val="00792301"/>
    <w:rsid w:val="007933A5"/>
    <w:rsid w:val="00793BB3"/>
    <w:rsid w:val="00794C60"/>
    <w:rsid w:val="00794DD2"/>
    <w:rsid w:val="007958A0"/>
    <w:rsid w:val="00797CEA"/>
    <w:rsid w:val="007A6E87"/>
    <w:rsid w:val="007A7D2B"/>
    <w:rsid w:val="007A7E95"/>
    <w:rsid w:val="007B168D"/>
    <w:rsid w:val="007B2392"/>
    <w:rsid w:val="007B4FC6"/>
    <w:rsid w:val="007B5E96"/>
    <w:rsid w:val="007B6AEB"/>
    <w:rsid w:val="007B6BA5"/>
    <w:rsid w:val="007B714D"/>
    <w:rsid w:val="007C017C"/>
    <w:rsid w:val="007C0774"/>
    <w:rsid w:val="007C2B1D"/>
    <w:rsid w:val="007C3390"/>
    <w:rsid w:val="007C4167"/>
    <w:rsid w:val="007C4F4B"/>
    <w:rsid w:val="007C6F84"/>
    <w:rsid w:val="007C7861"/>
    <w:rsid w:val="007D092F"/>
    <w:rsid w:val="007D0E04"/>
    <w:rsid w:val="007D1070"/>
    <w:rsid w:val="007D184D"/>
    <w:rsid w:val="007D1C06"/>
    <w:rsid w:val="007D5C00"/>
    <w:rsid w:val="007D629E"/>
    <w:rsid w:val="007D63DF"/>
    <w:rsid w:val="007E01E9"/>
    <w:rsid w:val="007E456C"/>
    <w:rsid w:val="007E4A9C"/>
    <w:rsid w:val="007E5FAA"/>
    <w:rsid w:val="007E63F3"/>
    <w:rsid w:val="007E7601"/>
    <w:rsid w:val="007F4D7F"/>
    <w:rsid w:val="007F5C32"/>
    <w:rsid w:val="007F6611"/>
    <w:rsid w:val="00800004"/>
    <w:rsid w:val="00800DAD"/>
    <w:rsid w:val="00801FC5"/>
    <w:rsid w:val="00804002"/>
    <w:rsid w:val="008052FE"/>
    <w:rsid w:val="00807085"/>
    <w:rsid w:val="00807D81"/>
    <w:rsid w:val="008101FD"/>
    <w:rsid w:val="00810700"/>
    <w:rsid w:val="00811920"/>
    <w:rsid w:val="0081432F"/>
    <w:rsid w:val="00814460"/>
    <w:rsid w:val="008152FA"/>
    <w:rsid w:val="00815AD0"/>
    <w:rsid w:val="00815C1E"/>
    <w:rsid w:val="008163C8"/>
    <w:rsid w:val="00822786"/>
    <w:rsid w:val="008242D7"/>
    <w:rsid w:val="008257B1"/>
    <w:rsid w:val="00830CAE"/>
    <w:rsid w:val="00831797"/>
    <w:rsid w:val="00832B23"/>
    <w:rsid w:val="008350CD"/>
    <w:rsid w:val="008355AF"/>
    <w:rsid w:val="00836914"/>
    <w:rsid w:val="00840CA0"/>
    <w:rsid w:val="00840E84"/>
    <w:rsid w:val="0084224F"/>
    <w:rsid w:val="00843767"/>
    <w:rsid w:val="008442C5"/>
    <w:rsid w:val="00845E55"/>
    <w:rsid w:val="008464E0"/>
    <w:rsid w:val="00846594"/>
    <w:rsid w:val="008470ED"/>
    <w:rsid w:val="008471AE"/>
    <w:rsid w:val="00851FAB"/>
    <w:rsid w:val="00854E27"/>
    <w:rsid w:val="00855F47"/>
    <w:rsid w:val="00856455"/>
    <w:rsid w:val="008566DF"/>
    <w:rsid w:val="00856878"/>
    <w:rsid w:val="00857655"/>
    <w:rsid w:val="008577EE"/>
    <w:rsid w:val="00857E55"/>
    <w:rsid w:val="008609D2"/>
    <w:rsid w:val="00865832"/>
    <w:rsid w:val="00866321"/>
    <w:rsid w:val="0086758C"/>
    <w:rsid w:val="008679D9"/>
    <w:rsid w:val="00873139"/>
    <w:rsid w:val="00873E92"/>
    <w:rsid w:val="0087713A"/>
    <w:rsid w:val="00877742"/>
    <w:rsid w:val="00881080"/>
    <w:rsid w:val="00883445"/>
    <w:rsid w:val="00883C38"/>
    <w:rsid w:val="0088448B"/>
    <w:rsid w:val="00884825"/>
    <w:rsid w:val="00885463"/>
    <w:rsid w:val="00886020"/>
    <w:rsid w:val="008878DE"/>
    <w:rsid w:val="00887CB0"/>
    <w:rsid w:val="00891D5E"/>
    <w:rsid w:val="00892EB4"/>
    <w:rsid w:val="008933C6"/>
    <w:rsid w:val="008979B1"/>
    <w:rsid w:val="008A11DB"/>
    <w:rsid w:val="008A2A4B"/>
    <w:rsid w:val="008A3663"/>
    <w:rsid w:val="008A5C90"/>
    <w:rsid w:val="008A5D9B"/>
    <w:rsid w:val="008A6200"/>
    <w:rsid w:val="008A6326"/>
    <w:rsid w:val="008A6B25"/>
    <w:rsid w:val="008A6C4F"/>
    <w:rsid w:val="008A739E"/>
    <w:rsid w:val="008B0C8D"/>
    <w:rsid w:val="008B2335"/>
    <w:rsid w:val="008B2394"/>
    <w:rsid w:val="008B23C8"/>
    <w:rsid w:val="008B25D2"/>
    <w:rsid w:val="008B34F1"/>
    <w:rsid w:val="008B7466"/>
    <w:rsid w:val="008C2520"/>
    <w:rsid w:val="008C2625"/>
    <w:rsid w:val="008C26F9"/>
    <w:rsid w:val="008C3D32"/>
    <w:rsid w:val="008C5A59"/>
    <w:rsid w:val="008C751D"/>
    <w:rsid w:val="008D01F8"/>
    <w:rsid w:val="008D201D"/>
    <w:rsid w:val="008D367F"/>
    <w:rsid w:val="008D36A9"/>
    <w:rsid w:val="008D3A52"/>
    <w:rsid w:val="008D48F9"/>
    <w:rsid w:val="008D545A"/>
    <w:rsid w:val="008D74D5"/>
    <w:rsid w:val="008E0678"/>
    <w:rsid w:val="008E1365"/>
    <w:rsid w:val="008E37BA"/>
    <w:rsid w:val="008F1C0D"/>
    <w:rsid w:val="008F2214"/>
    <w:rsid w:val="008F34C3"/>
    <w:rsid w:val="008F4018"/>
    <w:rsid w:val="008F5B2B"/>
    <w:rsid w:val="008F6595"/>
    <w:rsid w:val="008F6AE7"/>
    <w:rsid w:val="0090195C"/>
    <w:rsid w:val="00901E72"/>
    <w:rsid w:val="00902471"/>
    <w:rsid w:val="00902D7B"/>
    <w:rsid w:val="009032E1"/>
    <w:rsid w:val="009034E0"/>
    <w:rsid w:val="00905E26"/>
    <w:rsid w:val="0090746E"/>
    <w:rsid w:val="00907866"/>
    <w:rsid w:val="00910D42"/>
    <w:rsid w:val="00913B9C"/>
    <w:rsid w:val="00914E7F"/>
    <w:rsid w:val="00915306"/>
    <w:rsid w:val="00917751"/>
    <w:rsid w:val="00920269"/>
    <w:rsid w:val="00921145"/>
    <w:rsid w:val="009223CA"/>
    <w:rsid w:val="00922634"/>
    <w:rsid w:val="00923FF8"/>
    <w:rsid w:val="00927BCC"/>
    <w:rsid w:val="00930932"/>
    <w:rsid w:val="00930A78"/>
    <w:rsid w:val="00930C20"/>
    <w:rsid w:val="0093299D"/>
    <w:rsid w:val="00935E6C"/>
    <w:rsid w:val="009364FC"/>
    <w:rsid w:val="0094064C"/>
    <w:rsid w:val="00940F93"/>
    <w:rsid w:val="00946DF9"/>
    <w:rsid w:val="00947812"/>
    <w:rsid w:val="00947FDC"/>
    <w:rsid w:val="00950856"/>
    <w:rsid w:val="00951D5B"/>
    <w:rsid w:val="0095261E"/>
    <w:rsid w:val="00953931"/>
    <w:rsid w:val="00953C69"/>
    <w:rsid w:val="00954311"/>
    <w:rsid w:val="009575B6"/>
    <w:rsid w:val="00961B0E"/>
    <w:rsid w:val="0096398A"/>
    <w:rsid w:val="00963C27"/>
    <w:rsid w:val="009673BC"/>
    <w:rsid w:val="0097313D"/>
    <w:rsid w:val="009760F3"/>
    <w:rsid w:val="009774FA"/>
    <w:rsid w:val="0097765C"/>
    <w:rsid w:val="00980412"/>
    <w:rsid w:val="00983D96"/>
    <w:rsid w:val="0098709D"/>
    <w:rsid w:val="009879AE"/>
    <w:rsid w:val="009929ED"/>
    <w:rsid w:val="0099404C"/>
    <w:rsid w:val="009A0AF8"/>
    <w:rsid w:val="009A0E8D"/>
    <w:rsid w:val="009A73C7"/>
    <w:rsid w:val="009B19B9"/>
    <w:rsid w:val="009B26E7"/>
    <w:rsid w:val="009B2984"/>
    <w:rsid w:val="009C0B4A"/>
    <w:rsid w:val="009C0E16"/>
    <w:rsid w:val="009C3AA6"/>
    <w:rsid w:val="009C6954"/>
    <w:rsid w:val="009C737B"/>
    <w:rsid w:val="009D028F"/>
    <w:rsid w:val="009D1184"/>
    <w:rsid w:val="009D16FC"/>
    <w:rsid w:val="009D3A6E"/>
    <w:rsid w:val="009D7607"/>
    <w:rsid w:val="009E1335"/>
    <w:rsid w:val="009E1D23"/>
    <w:rsid w:val="009E44B7"/>
    <w:rsid w:val="009F07D5"/>
    <w:rsid w:val="009F0DB7"/>
    <w:rsid w:val="009F77FD"/>
    <w:rsid w:val="00A00A3F"/>
    <w:rsid w:val="00A01489"/>
    <w:rsid w:val="00A01B31"/>
    <w:rsid w:val="00A0578E"/>
    <w:rsid w:val="00A05F6A"/>
    <w:rsid w:val="00A06B93"/>
    <w:rsid w:val="00A100E9"/>
    <w:rsid w:val="00A12250"/>
    <w:rsid w:val="00A12932"/>
    <w:rsid w:val="00A16230"/>
    <w:rsid w:val="00A17B18"/>
    <w:rsid w:val="00A2275D"/>
    <w:rsid w:val="00A23EBF"/>
    <w:rsid w:val="00A256BF"/>
    <w:rsid w:val="00A3026E"/>
    <w:rsid w:val="00A307A7"/>
    <w:rsid w:val="00A30D49"/>
    <w:rsid w:val="00A338F1"/>
    <w:rsid w:val="00A35B47"/>
    <w:rsid w:val="00A36F39"/>
    <w:rsid w:val="00A37B72"/>
    <w:rsid w:val="00A37D48"/>
    <w:rsid w:val="00A408F7"/>
    <w:rsid w:val="00A40F81"/>
    <w:rsid w:val="00A42F4B"/>
    <w:rsid w:val="00A47A48"/>
    <w:rsid w:val="00A47DEA"/>
    <w:rsid w:val="00A47E21"/>
    <w:rsid w:val="00A55CF9"/>
    <w:rsid w:val="00A56987"/>
    <w:rsid w:val="00A56BB4"/>
    <w:rsid w:val="00A6078E"/>
    <w:rsid w:val="00A634B4"/>
    <w:rsid w:val="00A638D7"/>
    <w:rsid w:val="00A651BF"/>
    <w:rsid w:val="00A653D1"/>
    <w:rsid w:val="00A70C6D"/>
    <w:rsid w:val="00A72F22"/>
    <w:rsid w:val="00A7360F"/>
    <w:rsid w:val="00A748A6"/>
    <w:rsid w:val="00A769F4"/>
    <w:rsid w:val="00A76CA9"/>
    <w:rsid w:val="00A776B4"/>
    <w:rsid w:val="00A77861"/>
    <w:rsid w:val="00A8117F"/>
    <w:rsid w:val="00A831DA"/>
    <w:rsid w:val="00A8424C"/>
    <w:rsid w:val="00A84634"/>
    <w:rsid w:val="00A85414"/>
    <w:rsid w:val="00A90B58"/>
    <w:rsid w:val="00A94361"/>
    <w:rsid w:val="00AA09F5"/>
    <w:rsid w:val="00AA1878"/>
    <w:rsid w:val="00AA2847"/>
    <w:rsid w:val="00AA293C"/>
    <w:rsid w:val="00AB4E8E"/>
    <w:rsid w:val="00AB791C"/>
    <w:rsid w:val="00AC0BF0"/>
    <w:rsid w:val="00AC34A9"/>
    <w:rsid w:val="00AC3F0B"/>
    <w:rsid w:val="00AC7E41"/>
    <w:rsid w:val="00AD69A4"/>
    <w:rsid w:val="00AD6DA8"/>
    <w:rsid w:val="00AD7BD1"/>
    <w:rsid w:val="00AD7C72"/>
    <w:rsid w:val="00AE2A1F"/>
    <w:rsid w:val="00AE5C15"/>
    <w:rsid w:val="00AF1FF0"/>
    <w:rsid w:val="00AF5071"/>
    <w:rsid w:val="00B00D9D"/>
    <w:rsid w:val="00B01716"/>
    <w:rsid w:val="00B02D17"/>
    <w:rsid w:val="00B0511F"/>
    <w:rsid w:val="00B06BB7"/>
    <w:rsid w:val="00B06F79"/>
    <w:rsid w:val="00B16FE0"/>
    <w:rsid w:val="00B2085C"/>
    <w:rsid w:val="00B21995"/>
    <w:rsid w:val="00B22B3B"/>
    <w:rsid w:val="00B22DED"/>
    <w:rsid w:val="00B30179"/>
    <w:rsid w:val="00B30607"/>
    <w:rsid w:val="00B320D2"/>
    <w:rsid w:val="00B32805"/>
    <w:rsid w:val="00B3318A"/>
    <w:rsid w:val="00B33B5C"/>
    <w:rsid w:val="00B36845"/>
    <w:rsid w:val="00B36C89"/>
    <w:rsid w:val="00B36E6F"/>
    <w:rsid w:val="00B421C1"/>
    <w:rsid w:val="00B439CC"/>
    <w:rsid w:val="00B44A50"/>
    <w:rsid w:val="00B45B0B"/>
    <w:rsid w:val="00B45DC8"/>
    <w:rsid w:val="00B462E1"/>
    <w:rsid w:val="00B46B6E"/>
    <w:rsid w:val="00B5473B"/>
    <w:rsid w:val="00B55438"/>
    <w:rsid w:val="00B55C71"/>
    <w:rsid w:val="00B56E4A"/>
    <w:rsid w:val="00B56E9C"/>
    <w:rsid w:val="00B62D0E"/>
    <w:rsid w:val="00B64B1F"/>
    <w:rsid w:val="00B6553F"/>
    <w:rsid w:val="00B65B5D"/>
    <w:rsid w:val="00B74E78"/>
    <w:rsid w:val="00B767A8"/>
    <w:rsid w:val="00B7744A"/>
    <w:rsid w:val="00B77D05"/>
    <w:rsid w:val="00B77ED6"/>
    <w:rsid w:val="00B81206"/>
    <w:rsid w:val="00B815A8"/>
    <w:rsid w:val="00B81D6E"/>
    <w:rsid w:val="00B81E12"/>
    <w:rsid w:val="00B8309A"/>
    <w:rsid w:val="00B830CF"/>
    <w:rsid w:val="00B84CD6"/>
    <w:rsid w:val="00B87F3C"/>
    <w:rsid w:val="00B914CE"/>
    <w:rsid w:val="00B946FA"/>
    <w:rsid w:val="00B950F1"/>
    <w:rsid w:val="00B96F3A"/>
    <w:rsid w:val="00BA0698"/>
    <w:rsid w:val="00BA2FD0"/>
    <w:rsid w:val="00BA3704"/>
    <w:rsid w:val="00BA3A1B"/>
    <w:rsid w:val="00BA4C02"/>
    <w:rsid w:val="00BA5EE1"/>
    <w:rsid w:val="00BB0C8E"/>
    <w:rsid w:val="00BB1A7C"/>
    <w:rsid w:val="00BB33CF"/>
    <w:rsid w:val="00BB385E"/>
    <w:rsid w:val="00BB4516"/>
    <w:rsid w:val="00BB557A"/>
    <w:rsid w:val="00BB5FDA"/>
    <w:rsid w:val="00BB6A80"/>
    <w:rsid w:val="00BB7886"/>
    <w:rsid w:val="00BB7E7B"/>
    <w:rsid w:val="00BC3CE0"/>
    <w:rsid w:val="00BC3FA0"/>
    <w:rsid w:val="00BC5B09"/>
    <w:rsid w:val="00BC6E4D"/>
    <w:rsid w:val="00BC74E9"/>
    <w:rsid w:val="00BD100F"/>
    <w:rsid w:val="00BD3F9F"/>
    <w:rsid w:val="00BD543B"/>
    <w:rsid w:val="00BE14FF"/>
    <w:rsid w:val="00BE3763"/>
    <w:rsid w:val="00BE3ABF"/>
    <w:rsid w:val="00BE54F3"/>
    <w:rsid w:val="00BE6003"/>
    <w:rsid w:val="00BE6A1F"/>
    <w:rsid w:val="00BE6F46"/>
    <w:rsid w:val="00BE7BE8"/>
    <w:rsid w:val="00BF32BE"/>
    <w:rsid w:val="00BF42EA"/>
    <w:rsid w:val="00BF4F7D"/>
    <w:rsid w:val="00BF62A8"/>
    <w:rsid w:val="00BF68A8"/>
    <w:rsid w:val="00C013CC"/>
    <w:rsid w:val="00C01BE0"/>
    <w:rsid w:val="00C033FD"/>
    <w:rsid w:val="00C03847"/>
    <w:rsid w:val="00C05748"/>
    <w:rsid w:val="00C11A03"/>
    <w:rsid w:val="00C13475"/>
    <w:rsid w:val="00C1382B"/>
    <w:rsid w:val="00C14DBD"/>
    <w:rsid w:val="00C16466"/>
    <w:rsid w:val="00C16C92"/>
    <w:rsid w:val="00C1778D"/>
    <w:rsid w:val="00C2017D"/>
    <w:rsid w:val="00C223E1"/>
    <w:rsid w:val="00C22C0C"/>
    <w:rsid w:val="00C22EAE"/>
    <w:rsid w:val="00C2412F"/>
    <w:rsid w:val="00C24968"/>
    <w:rsid w:val="00C263EB"/>
    <w:rsid w:val="00C269BE"/>
    <w:rsid w:val="00C32C10"/>
    <w:rsid w:val="00C34EE0"/>
    <w:rsid w:val="00C35A18"/>
    <w:rsid w:val="00C35F2A"/>
    <w:rsid w:val="00C40255"/>
    <w:rsid w:val="00C4318D"/>
    <w:rsid w:val="00C4527F"/>
    <w:rsid w:val="00C454EA"/>
    <w:rsid w:val="00C463DD"/>
    <w:rsid w:val="00C4724C"/>
    <w:rsid w:val="00C516FD"/>
    <w:rsid w:val="00C51EA8"/>
    <w:rsid w:val="00C539A1"/>
    <w:rsid w:val="00C629A0"/>
    <w:rsid w:val="00C62C2A"/>
    <w:rsid w:val="00C64270"/>
    <w:rsid w:val="00C64629"/>
    <w:rsid w:val="00C65F8D"/>
    <w:rsid w:val="00C66857"/>
    <w:rsid w:val="00C6797A"/>
    <w:rsid w:val="00C7158E"/>
    <w:rsid w:val="00C724BB"/>
    <w:rsid w:val="00C726AB"/>
    <w:rsid w:val="00C72AEE"/>
    <w:rsid w:val="00C745C3"/>
    <w:rsid w:val="00C75422"/>
    <w:rsid w:val="00C7751A"/>
    <w:rsid w:val="00C81359"/>
    <w:rsid w:val="00C827CF"/>
    <w:rsid w:val="00C8324A"/>
    <w:rsid w:val="00C83F4A"/>
    <w:rsid w:val="00C85BE7"/>
    <w:rsid w:val="00C86669"/>
    <w:rsid w:val="00C87D82"/>
    <w:rsid w:val="00C914D6"/>
    <w:rsid w:val="00C92BDC"/>
    <w:rsid w:val="00C94D8F"/>
    <w:rsid w:val="00C951F1"/>
    <w:rsid w:val="00C97C32"/>
    <w:rsid w:val="00CA1C88"/>
    <w:rsid w:val="00CA21ED"/>
    <w:rsid w:val="00CA348D"/>
    <w:rsid w:val="00CA5218"/>
    <w:rsid w:val="00CB0145"/>
    <w:rsid w:val="00CB0F6F"/>
    <w:rsid w:val="00CB2CB5"/>
    <w:rsid w:val="00CB3E03"/>
    <w:rsid w:val="00CB43CD"/>
    <w:rsid w:val="00CB6282"/>
    <w:rsid w:val="00CB7959"/>
    <w:rsid w:val="00CC43C6"/>
    <w:rsid w:val="00CC4F3B"/>
    <w:rsid w:val="00CC50BB"/>
    <w:rsid w:val="00CD2894"/>
    <w:rsid w:val="00CD2AF3"/>
    <w:rsid w:val="00CD33F2"/>
    <w:rsid w:val="00CD4A7D"/>
    <w:rsid w:val="00CD60E5"/>
    <w:rsid w:val="00CE1950"/>
    <w:rsid w:val="00CE23CE"/>
    <w:rsid w:val="00CE4504"/>
    <w:rsid w:val="00CE4A8F"/>
    <w:rsid w:val="00CE612A"/>
    <w:rsid w:val="00CE797D"/>
    <w:rsid w:val="00CE7B3D"/>
    <w:rsid w:val="00CE7E5D"/>
    <w:rsid w:val="00CF1453"/>
    <w:rsid w:val="00CF18A2"/>
    <w:rsid w:val="00CF531B"/>
    <w:rsid w:val="00CF6044"/>
    <w:rsid w:val="00D03E1C"/>
    <w:rsid w:val="00D054B1"/>
    <w:rsid w:val="00D06BF0"/>
    <w:rsid w:val="00D11E21"/>
    <w:rsid w:val="00D16165"/>
    <w:rsid w:val="00D2031B"/>
    <w:rsid w:val="00D205EB"/>
    <w:rsid w:val="00D2069D"/>
    <w:rsid w:val="00D242C4"/>
    <w:rsid w:val="00D245A5"/>
    <w:rsid w:val="00D25E86"/>
    <w:rsid w:val="00D25FE2"/>
    <w:rsid w:val="00D279F5"/>
    <w:rsid w:val="00D3193F"/>
    <w:rsid w:val="00D33DEB"/>
    <w:rsid w:val="00D346E1"/>
    <w:rsid w:val="00D43252"/>
    <w:rsid w:val="00D44C2B"/>
    <w:rsid w:val="00D4632B"/>
    <w:rsid w:val="00D46C1A"/>
    <w:rsid w:val="00D47EEA"/>
    <w:rsid w:val="00D51CDE"/>
    <w:rsid w:val="00D55FB5"/>
    <w:rsid w:val="00D609BE"/>
    <w:rsid w:val="00D61729"/>
    <w:rsid w:val="00D62FF6"/>
    <w:rsid w:val="00D70CAE"/>
    <w:rsid w:val="00D7143A"/>
    <w:rsid w:val="00D71D60"/>
    <w:rsid w:val="00D73715"/>
    <w:rsid w:val="00D75057"/>
    <w:rsid w:val="00D773DF"/>
    <w:rsid w:val="00D77D82"/>
    <w:rsid w:val="00D8313E"/>
    <w:rsid w:val="00D837A0"/>
    <w:rsid w:val="00D83974"/>
    <w:rsid w:val="00D8762B"/>
    <w:rsid w:val="00D90168"/>
    <w:rsid w:val="00D93B9F"/>
    <w:rsid w:val="00D95303"/>
    <w:rsid w:val="00D977E3"/>
    <w:rsid w:val="00D978C6"/>
    <w:rsid w:val="00DA0272"/>
    <w:rsid w:val="00DA0557"/>
    <w:rsid w:val="00DA0971"/>
    <w:rsid w:val="00DA2CCF"/>
    <w:rsid w:val="00DA3682"/>
    <w:rsid w:val="00DA3845"/>
    <w:rsid w:val="00DA3C1C"/>
    <w:rsid w:val="00DA5B8E"/>
    <w:rsid w:val="00DA6158"/>
    <w:rsid w:val="00DA70EA"/>
    <w:rsid w:val="00DA73DE"/>
    <w:rsid w:val="00DB0603"/>
    <w:rsid w:val="00DB09BB"/>
    <w:rsid w:val="00DB0B87"/>
    <w:rsid w:val="00DB20F9"/>
    <w:rsid w:val="00DB2345"/>
    <w:rsid w:val="00DB2373"/>
    <w:rsid w:val="00DB46A9"/>
    <w:rsid w:val="00DB762A"/>
    <w:rsid w:val="00DC2958"/>
    <w:rsid w:val="00DC5F2F"/>
    <w:rsid w:val="00DC7A4B"/>
    <w:rsid w:val="00DD092C"/>
    <w:rsid w:val="00DD0A4A"/>
    <w:rsid w:val="00DD23FE"/>
    <w:rsid w:val="00DD28C6"/>
    <w:rsid w:val="00DD2F73"/>
    <w:rsid w:val="00DD4FB0"/>
    <w:rsid w:val="00DD6D29"/>
    <w:rsid w:val="00DE261F"/>
    <w:rsid w:val="00DE295F"/>
    <w:rsid w:val="00DE2B7E"/>
    <w:rsid w:val="00DE3E80"/>
    <w:rsid w:val="00DE529E"/>
    <w:rsid w:val="00DE5A00"/>
    <w:rsid w:val="00DE6779"/>
    <w:rsid w:val="00DE7D38"/>
    <w:rsid w:val="00DF05F6"/>
    <w:rsid w:val="00DF1C18"/>
    <w:rsid w:val="00DF5D1E"/>
    <w:rsid w:val="00DF5ECD"/>
    <w:rsid w:val="00E004ED"/>
    <w:rsid w:val="00E02837"/>
    <w:rsid w:val="00E046DF"/>
    <w:rsid w:val="00E04BB6"/>
    <w:rsid w:val="00E1137D"/>
    <w:rsid w:val="00E11EF5"/>
    <w:rsid w:val="00E1206D"/>
    <w:rsid w:val="00E12930"/>
    <w:rsid w:val="00E12BAB"/>
    <w:rsid w:val="00E12D7E"/>
    <w:rsid w:val="00E1532C"/>
    <w:rsid w:val="00E15B59"/>
    <w:rsid w:val="00E1736F"/>
    <w:rsid w:val="00E1771E"/>
    <w:rsid w:val="00E17E04"/>
    <w:rsid w:val="00E2002E"/>
    <w:rsid w:val="00E205A9"/>
    <w:rsid w:val="00E20B55"/>
    <w:rsid w:val="00E24634"/>
    <w:rsid w:val="00E25709"/>
    <w:rsid w:val="00E259B2"/>
    <w:rsid w:val="00E27346"/>
    <w:rsid w:val="00E3119D"/>
    <w:rsid w:val="00E33345"/>
    <w:rsid w:val="00E352D0"/>
    <w:rsid w:val="00E36AC9"/>
    <w:rsid w:val="00E40CD6"/>
    <w:rsid w:val="00E41D6B"/>
    <w:rsid w:val="00E42B08"/>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466C"/>
    <w:rsid w:val="00E771F8"/>
    <w:rsid w:val="00E775D1"/>
    <w:rsid w:val="00E77E4E"/>
    <w:rsid w:val="00E80B61"/>
    <w:rsid w:val="00E82058"/>
    <w:rsid w:val="00E86FE2"/>
    <w:rsid w:val="00E90453"/>
    <w:rsid w:val="00E90C69"/>
    <w:rsid w:val="00E91366"/>
    <w:rsid w:val="00E915A7"/>
    <w:rsid w:val="00E92F5D"/>
    <w:rsid w:val="00E94902"/>
    <w:rsid w:val="00E94C44"/>
    <w:rsid w:val="00E95429"/>
    <w:rsid w:val="00E95590"/>
    <w:rsid w:val="00E96630"/>
    <w:rsid w:val="00E96661"/>
    <w:rsid w:val="00EA3A2B"/>
    <w:rsid w:val="00EA7683"/>
    <w:rsid w:val="00EA796C"/>
    <w:rsid w:val="00EA7F03"/>
    <w:rsid w:val="00EB3AA1"/>
    <w:rsid w:val="00EB7DDE"/>
    <w:rsid w:val="00EC0D05"/>
    <w:rsid w:val="00EC1C01"/>
    <w:rsid w:val="00EC28CA"/>
    <w:rsid w:val="00EC30B8"/>
    <w:rsid w:val="00EC3606"/>
    <w:rsid w:val="00EC3D60"/>
    <w:rsid w:val="00EC41EE"/>
    <w:rsid w:val="00EC5D0F"/>
    <w:rsid w:val="00EC62C0"/>
    <w:rsid w:val="00EC6527"/>
    <w:rsid w:val="00ED1464"/>
    <w:rsid w:val="00ED2211"/>
    <w:rsid w:val="00ED325A"/>
    <w:rsid w:val="00ED40D5"/>
    <w:rsid w:val="00ED5381"/>
    <w:rsid w:val="00ED7A2A"/>
    <w:rsid w:val="00EE04CF"/>
    <w:rsid w:val="00EE085F"/>
    <w:rsid w:val="00EE0F98"/>
    <w:rsid w:val="00EE4D6C"/>
    <w:rsid w:val="00EE7922"/>
    <w:rsid w:val="00EF1D7A"/>
    <w:rsid w:val="00EF1D7F"/>
    <w:rsid w:val="00EF297C"/>
    <w:rsid w:val="00EF2BBE"/>
    <w:rsid w:val="00EF30EB"/>
    <w:rsid w:val="00EF5927"/>
    <w:rsid w:val="00EF6476"/>
    <w:rsid w:val="00F01EFD"/>
    <w:rsid w:val="00F02137"/>
    <w:rsid w:val="00F02E48"/>
    <w:rsid w:val="00F031AC"/>
    <w:rsid w:val="00F04766"/>
    <w:rsid w:val="00F073F2"/>
    <w:rsid w:val="00F0775A"/>
    <w:rsid w:val="00F07DBC"/>
    <w:rsid w:val="00F07F0B"/>
    <w:rsid w:val="00F12319"/>
    <w:rsid w:val="00F12765"/>
    <w:rsid w:val="00F14E66"/>
    <w:rsid w:val="00F16B64"/>
    <w:rsid w:val="00F2387E"/>
    <w:rsid w:val="00F24B8B"/>
    <w:rsid w:val="00F26312"/>
    <w:rsid w:val="00F27310"/>
    <w:rsid w:val="00F31053"/>
    <w:rsid w:val="00F31E5F"/>
    <w:rsid w:val="00F3597B"/>
    <w:rsid w:val="00F35AE9"/>
    <w:rsid w:val="00F434C7"/>
    <w:rsid w:val="00F44E85"/>
    <w:rsid w:val="00F53186"/>
    <w:rsid w:val="00F536D4"/>
    <w:rsid w:val="00F56707"/>
    <w:rsid w:val="00F56B9B"/>
    <w:rsid w:val="00F572CC"/>
    <w:rsid w:val="00F6004C"/>
    <w:rsid w:val="00F6100A"/>
    <w:rsid w:val="00F6201B"/>
    <w:rsid w:val="00F63B54"/>
    <w:rsid w:val="00F65FF6"/>
    <w:rsid w:val="00F66048"/>
    <w:rsid w:val="00F67911"/>
    <w:rsid w:val="00F735FB"/>
    <w:rsid w:val="00F80B30"/>
    <w:rsid w:val="00F811E0"/>
    <w:rsid w:val="00F82A52"/>
    <w:rsid w:val="00F8320D"/>
    <w:rsid w:val="00F836EC"/>
    <w:rsid w:val="00F8566F"/>
    <w:rsid w:val="00F85EE3"/>
    <w:rsid w:val="00F90BA3"/>
    <w:rsid w:val="00F91E5B"/>
    <w:rsid w:val="00F92E41"/>
    <w:rsid w:val="00F93781"/>
    <w:rsid w:val="00F93EBA"/>
    <w:rsid w:val="00F96492"/>
    <w:rsid w:val="00F9665D"/>
    <w:rsid w:val="00FA0395"/>
    <w:rsid w:val="00FA0F24"/>
    <w:rsid w:val="00FA1F9F"/>
    <w:rsid w:val="00FA23EA"/>
    <w:rsid w:val="00FA33C3"/>
    <w:rsid w:val="00FA408B"/>
    <w:rsid w:val="00FA5616"/>
    <w:rsid w:val="00FB10EF"/>
    <w:rsid w:val="00FB3817"/>
    <w:rsid w:val="00FB3F92"/>
    <w:rsid w:val="00FB613B"/>
    <w:rsid w:val="00FC1AB2"/>
    <w:rsid w:val="00FC3057"/>
    <w:rsid w:val="00FC476A"/>
    <w:rsid w:val="00FC5AD0"/>
    <w:rsid w:val="00FC66C6"/>
    <w:rsid w:val="00FC68B7"/>
    <w:rsid w:val="00FD2805"/>
    <w:rsid w:val="00FD28F8"/>
    <w:rsid w:val="00FE106A"/>
    <w:rsid w:val="00FE21F4"/>
    <w:rsid w:val="00FE2517"/>
    <w:rsid w:val="00FE25CD"/>
    <w:rsid w:val="00FE2F90"/>
    <w:rsid w:val="00FE5A08"/>
    <w:rsid w:val="00FE7B75"/>
    <w:rsid w:val="00FF145D"/>
    <w:rsid w:val="00FF352C"/>
    <w:rsid w:val="00FF6EB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1466E61B"/>
  <w15:docId w15:val="{E772177C-8E57-4CC5-ABE9-31E275BA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link w:val="BalloonTextChar"/>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noteTextChar">
    <w:name w:val="Footnote Text Char"/>
    <w:aliases w:val="5_G Char"/>
    <w:link w:val="FootnoteText"/>
    <w:rsid w:val="00C75422"/>
    <w:rPr>
      <w:sz w:val="18"/>
      <w:lang w:eastAsia="en-US"/>
    </w:rPr>
  </w:style>
  <w:style w:type="paragraph" w:customStyle="1" w:styleId="SingleTxt">
    <w:name w:val="__Single Txt"/>
    <w:basedOn w:val="Normal"/>
    <w:rsid w:val="00EF59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customStyle="1" w:styleId="HCh">
    <w:name w:val="_ H _Ch"/>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paragraph" w:customStyle="1" w:styleId="H1">
    <w:name w:val="_ H_1"/>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lang w:eastAsia="zh-CN"/>
    </w:rPr>
  </w:style>
  <w:style w:type="paragraph" w:customStyle="1" w:styleId="H23">
    <w:name w:val="_ H_2/3"/>
    <w:basedOn w:val="H1"/>
    <w:next w:val="SingleTxt"/>
    <w:rsid w:val="00EF5927"/>
    <w:pPr>
      <w:spacing w:line="240" w:lineRule="exact"/>
      <w:outlineLvl w:val="1"/>
    </w:pPr>
    <w:rPr>
      <w:spacing w:val="2"/>
      <w:sz w:val="20"/>
    </w:rPr>
  </w:style>
  <w:style w:type="character" w:customStyle="1" w:styleId="shorttext">
    <w:name w:val="short_text"/>
    <w:rsid w:val="00857E55"/>
  </w:style>
  <w:style w:type="character" w:customStyle="1" w:styleId="hps">
    <w:name w:val="hps"/>
    <w:rsid w:val="00857E55"/>
  </w:style>
  <w:style w:type="character" w:customStyle="1" w:styleId="Heading3Char">
    <w:name w:val="Heading 3 Char"/>
    <w:link w:val="Heading3"/>
    <w:rsid w:val="00266604"/>
    <w:rPr>
      <w:lang w:eastAsia="en-US"/>
    </w:rPr>
  </w:style>
  <w:style w:type="character" w:customStyle="1" w:styleId="Heading1Char">
    <w:name w:val="Heading 1 Char"/>
    <w:aliases w:val="Table_G Char"/>
    <w:link w:val="Heading1"/>
    <w:rsid w:val="00B22B3B"/>
    <w:rPr>
      <w:lang w:eastAsia="en-US"/>
    </w:rPr>
  </w:style>
  <w:style w:type="character" w:customStyle="1" w:styleId="Heading2Char">
    <w:name w:val="Heading 2 Char"/>
    <w:link w:val="Heading2"/>
    <w:rsid w:val="00B22B3B"/>
    <w:rPr>
      <w:lang w:eastAsia="en-US"/>
    </w:rPr>
  </w:style>
  <w:style w:type="character" w:customStyle="1" w:styleId="Heading4Char">
    <w:name w:val="Heading 4 Char"/>
    <w:link w:val="Heading4"/>
    <w:rsid w:val="00B22B3B"/>
    <w:rPr>
      <w:lang w:eastAsia="en-US"/>
    </w:rPr>
  </w:style>
  <w:style w:type="character" w:customStyle="1" w:styleId="Heading5Char">
    <w:name w:val="Heading 5 Char"/>
    <w:link w:val="Heading5"/>
    <w:rsid w:val="00B22B3B"/>
    <w:rPr>
      <w:lang w:eastAsia="en-US"/>
    </w:rPr>
  </w:style>
  <w:style w:type="character" w:customStyle="1" w:styleId="Heading6Char">
    <w:name w:val="Heading 6 Char"/>
    <w:link w:val="Heading6"/>
    <w:rsid w:val="00B22B3B"/>
    <w:rPr>
      <w:lang w:eastAsia="en-US"/>
    </w:rPr>
  </w:style>
  <w:style w:type="character" w:customStyle="1" w:styleId="Heading7Char">
    <w:name w:val="Heading 7 Char"/>
    <w:link w:val="Heading7"/>
    <w:rsid w:val="00B22B3B"/>
    <w:rPr>
      <w:lang w:eastAsia="en-US"/>
    </w:rPr>
  </w:style>
  <w:style w:type="character" w:customStyle="1" w:styleId="Heading8Char">
    <w:name w:val="Heading 8 Char"/>
    <w:link w:val="Heading8"/>
    <w:rsid w:val="00B22B3B"/>
    <w:rPr>
      <w:lang w:eastAsia="en-US"/>
    </w:rPr>
  </w:style>
  <w:style w:type="character" w:customStyle="1" w:styleId="Heading9Char">
    <w:name w:val="Heading 9 Char"/>
    <w:link w:val="Heading9"/>
    <w:rsid w:val="00B22B3B"/>
    <w:rPr>
      <w:lang w:eastAsia="en-US"/>
    </w:rPr>
  </w:style>
  <w:style w:type="character" w:customStyle="1" w:styleId="HeaderChar">
    <w:name w:val="Header Char"/>
    <w:aliases w:val="6_G Char"/>
    <w:link w:val="Header"/>
    <w:rsid w:val="00B22B3B"/>
    <w:rPr>
      <w:b/>
      <w:sz w:val="18"/>
      <w:lang w:eastAsia="en-US"/>
    </w:rPr>
  </w:style>
  <w:style w:type="character" w:customStyle="1" w:styleId="EndnoteTextChar">
    <w:name w:val="Endnote Text Char"/>
    <w:aliases w:val="2_G Char"/>
    <w:link w:val="EndnoteText"/>
    <w:rsid w:val="00B22B3B"/>
    <w:rPr>
      <w:sz w:val="18"/>
      <w:lang w:val="x-none" w:eastAsia="en-US"/>
    </w:rPr>
  </w:style>
  <w:style w:type="character" w:customStyle="1" w:styleId="FooterChar">
    <w:name w:val="Footer Char"/>
    <w:aliases w:val="3_G Char"/>
    <w:link w:val="Footer"/>
    <w:rsid w:val="00B22B3B"/>
    <w:rPr>
      <w:sz w:val="16"/>
      <w:lang w:eastAsia="en-US"/>
    </w:rPr>
  </w:style>
  <w:style w:type="paragraph" w:customStyle="1" w:styleId="Style1">
    <w:name w:val="Style1"/>
    <w:basedOn w:val="Normal"/>
    <w:rsid w:val="00B22B3B"/>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H23GChar">
    <w:name w:val="_ H_2/3_G Char"/>
    <w:link w:val="H23G"/>
    <w:rsid w:val="00B22B3B"/>
    <w:rPr>
      <w:b/>
      <w:lang w:eastAsia="en-US"/>
    </w:rPr>
  </w:style>
  <w:style w:type="character" w:customStyle="1" w:styleId="BalloonTextChar">
    <w:name w:val="Balloon Text Char"/>
    <w:link w:val="BalloonText"/>
    <w:rsid w:val="00B22B3B"/>
    <w:rPr>
      <w:rFonts w:ascii="Tahoma" w:hAnsi="Tahoma" w:cs="Tahoma"/>
      <w:sz w:val="16"/>
      <w:szCs w:val="16"/>
      <w:lang w:eastAsia="en-US"/>
    </w:rPr>
  </w:style>
  <w:style w:type="character" w:customStyle="1" w:styleId="CommentTextChar">
    <w:name w:val="Comment Text Char"/>
    <w:rsid w:val="00B22B3B"/>
    <w:rPr>
      <w:lang w:val="x-none" w:eastAsia="en-US"/>
    </w:rPr>
  </w:style>
  <w:style w:type="paragraph" w:styleId="CommentSubject">
    <w:name w:val="annotation subject"/>
    <w:basedOn w:val="CommentText"/>
    <w:next w:val="CommentText"/>
    <w:link w:val="CommentSubjectChar"/>
    <w:rsid w:val="00B22B3B"/>
    <w:rPr>
      <w:b/>
      <w:bCs/>
    </w:rPr>
  </w:style>
  <w:style w:type="character" w:customStyle="1" w:styleId="CommentTextChar1">
    <w:name w:val="Comment Text Char1"/>
    <w:link w:val="CommentText"/>
    <w:rsid w:val="00B22B3B"/>
    <w:rPr>
      <w:lang w:eastAsia="en-US"/>
    </w:rPr>
  </w:style>
  <w:style w:type="character" w:customStyle="1" w:styleId="CommentSubjectChar">
    <w:name w:val="Comment Subject Char"/>
    <w:link w:val="CommentSubject"/>
    <w:rsid w:val="00B22B3B"/>
    <w:rPr>
      <w:b/>
      <w:bCs/>
      <w:lang w:eastAsia="en-US"/>
    </w:rPr>
  </w:style>
  <w:style w:type="paragraph" w:customStyle="1" w:styleId="Rom1">
    <w:name w:val="Rom1"/>
    <w:basedOn w:val="SingleTxtG"/>
    <w:semiHidden/>
    <w:rsid w:val="00B22B3B"/>
    <w:pPr>
      <w:numPr>
        <w:numId w:val="17"/>
      </w:numPr>
      <w:tabs>
        <w:tab w:val="clear" w:pos="1440"/>
      </w:tabs>
      <w:ind w:left="2268" w:hanging="397"/>
    </w:pPr>
    <w:rPr>
      <w:lang w:val="fr-CH"/>
    </w:rPr>
  </w:style>
  <w:style w:type="paragraph" w:customStyle="1" w:styleId="Default">
    <w:name w:val="Default"/>
    <w:rsid w:val="00280E3A"/>
    <w:pPr>
      <w:autoSpaceDE w:val="0"/>
      <w:autoSpaceDN w:val="0"/>
      <w:adjustRightInd w:val="0"/>
    </w:pPr>
    <w:rPr>
      <w:rFonts w:ascii="Arial" w:eastAsia="MS Mincho" w:hAnsi="Arial" w:cs="Arial"/>
      <w:color w:val="000000"/>
      <w:sz w:val="24"/>
      <w:szCs w:val="24"/>
    </w:rPr>
  </w:style>
  <w:style w:type="paragraph" w:styleId="Revision">
    <w:name w:val="Revision"/>
    <w:hidden/>
    <w:uiPriority w:val="99"/>
    <w:semiHidden/>
    <w:rsid w:val="004A6B94"/>
    <w:rPr>
      <w:lang w:eastAsia="en-US"/>
    </w:rPr>
  </w:style>
  <w:style w:type="table" w:customStyle="1" w:styleId="TableGrid20">
    <w:name w:val="Table Grid2"/>
    <w:basedOn w:val="TableNormal"/>
    <w:next w:val="TableGrid"/>
    <w:rsid w:val="00F9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948">
      <w:bodyDiv w:val="1"/>
      <w:marLeft w:val="0"/>
      <w:marRight w:val="0"/>
      <w:marTop w:val="0"/>
      <w:marBottom w:val="0"/>
      <w:divBdr>
        <w:top w:val="none" w:sz="0" w:space="0" w:color="auto"/>
        <w:left w:val="none" w:sz="0" w:space="0" w:color="auto"/>
        <w:bottom w:val="none" w:sz="0" w:space="0" w:color="auto"/>
        <w:right w:val="none" w:sz="0" w:space="0" w:color="auto"/>
      </w:divBdr>
    </w:div>
    <w:div w:id="243495460">
      <w:bodyDiv w:val="1"/>
      <w:marLeft w:val="0"/>
      <w:marRight w:val="0"/>
      <w:marTop w:val="0"/>
      <w:marBottom w:val="0"/>
      <w:divBdr>
        <w:top w:val="none" w:sz="0" w:space="0" w:color="auto"/>
        <w:left w:val="none" w:sz="0" w:space="0" w:color="auto"/>
        <w:bottom w:val="none" w:sz="0" w:space="0" w:color="auto"/>
        <w:right w:val="none" w:sz="0" w:space="0" w:color="auto"/>
      </w:divBdr>
    </w:div>
    <w:div w:id="275329796">
      <w:bodyDiv w:val="1"/>
      <w:marLeft w:val="0"/>
      <w:marRight w:val="0"/>
      <w:marTop w:val="0"/>
      <w:marBottom w:val="0"/>
      <w:divBdr>
        <w:top w:val="none" w:sz="0" w:space="0" w:color="auto"/>
        <w:left w:val="none" w:sz="0" w:space="0" w:color="auto"/>
        <w:bottom w:val="none" w:sz="0" w:space="0" w:color="auto"/>
        <w:right w:val="none" w:sz="0" w:space="0" w:color="auto"/>
      </w:divBdr>
    </w:div>
    <w:div w:id="406808578">
      <w:bodyDiv w:val="1"/>
      <w:marLeft w:val="0"/>
      <w:marRight w:val="0"/>
      <w:marTop w:val="0"/>
      <w:marBottom w:val="0"/>
      <w:divBdr>
        <w:top w:val="none" w:sz="0" w:space="0" w:color="auto"/>
        <w:left w:val="none" w:sz="0" w:space="0" w:color="auto"/>
        <w:bottom w:val="none" w:sz="0" w:space="0" w:color="auto"/>
        <w:right w:val="none" w:sz="0" w:space="0" w:color="auto"/>
      </w:divBdr>
    </w:div>
    <w:div w:id="457334556">
      <w:bodyDiv w:val="1"/>
      <w:marLeft w:val="0"/>
      <w:marRight w:val="0"/>
      <w:marTop w:val="0"/>
      <w:marBottom w:val="0"/>
      <w:divBdr>
        <w:top w:val="none" w:sz="0" w:space="0" w:color="auto"/>
        <w:left w:val="none" w:sz="0" w:space="0" w:color="auto"/>
        <w:bottom w:val="none" w:sz="0" w:space="0" w:color="auto"/>
        <w:right w:val="none" w:sz="0" w:space="0" w:color="auto"/>
      </w:divBdr>
    </w:div>
    <w:div w:id="470440537">
      <w:bodyDiv w:val="1"/>
      <w:marLeft w:val="0"/>
      <w:marRight w:val="0"/>
      <w:marTop w:val="0"/>
      <w:marBottom w:val="0"/>
      <w:divBdr>
        <w:top w:val="none" w:sz="0" w:space="0" w:color="auto"/>
        <w:left w:val="none" w:sz="0" w:space="0" w:color="auto"/>
        <w:bottom w:val="none" w:sz="0" w:space="0" w:color="auto"/>
        <w:right w:val="none" w:sz="0" w:space="0" w:color="auto"/>
      </w:divBdr>
    </w:div>
    <w:div w:id="503516270">
      <w:bodyDiv w:val="1"/>
      <w:marLeft w:val="0"/>
      <w:marRight w:val="0"/>
      <w:marTop w:val="0"/>
      <w:marBottom w:val="0"/>
      <w:divBdr>
        <w:top w:val="none" w:sz="0" w:space="0" w:color="auto"/>
        <w:left w:val="none" w:sz="0" w:space="0" w:color="auto"/>
        <w:bottom w:val="none" w:sz="0" w:space="0" w:color="auto"/>
        <w:right w:val="none" w:sz="0" w:space="0" w:color="auto"/>
      </w:divBdr>
    </w:div>
    <w:div w:id="551889417">
      <w:bodyDiv w:val="1"/>
      <w:marLeft w:val="0"/>
      <w:marRight w:val="0"/>
      <w:marTop w:val="0"/>
      <w:marBottom w:val="0"/>
      <w:divBdr>
        <w:top w:val="none" w:sz="0" w:space="0" w:color="auto"/>
        <w:left w:val="none" w:sz="0" w:space="0" w:color="auto"/>
        <w:bottom w:val="none" w:sz="0" w:space="0" w:color="auto"/>
        <w:right w:val="none" w:sz="0" w:space="0" w:color="auto"/>
      </w:divBdr>
    </w:div>
    <w:div w:id="565994675">
      <w:bodyDiv w:val="1"/>
      <w:marLeft w:val="0"/>
      <w:marRight w:val="0"/>
      <w:marTop w:val="0"/>
      <w:marBottom w:val="0"/>
      <w:divBdr>
        <w:top w:val="none" w:sz="0" w:space="0" w:color="auto"/>
        <w:left w:val="none" w:sz="0" w:space="0" w:color="auto"/>
        <w:bottom w:val="none" w:sz="0" w:space="0" w:color="auto"/>
        <w:right w:val="none" w:sz="0" w:space="0" w:color="auto"/>
      </w:divBdr>
    </w:div>
    <w:div w:id="629167030">
      <w:bodyDiv w:val="1"/>
      <w:marLeft w:val="0"/>
      <w:marRight w:val="0"/>
      <w:marTop w:val="0"/>
      <w:marBottom w:val="0"/>
      <w:divBdr>
        <w:top w:val="none" w:sz="0" w:space="0" w:color="auto"/>
        <w:left w:val="none" w:sz="0" w:space="0" w:color="auto"/>
        <w:bottom w:val="none" w:sz="0" w:space="0" w:color="auto"/>
        <w:right w:val="none" w:sz="0" w:space="0" w:color="auto"/>
      </w:divBdr>
    </w:div>
    <w:div w:id="658075907">
      <w:bodyDiv w:val="1"/>
      <w:marLeft w:val="0"/>
      <w:marRight w:val="0"/>
      <w:marTop w:val="0"/>
      <w:marBottom w:val="0"/>
      <w:divBdr>
        <w:top w:val="none" w:sz="0" w:space="0" w:color="auto"/>
        <w:left w:val="none" w:sz="0" w:space="0" w:color="auto"/>
        <w:bottom w:val="none" w:sz="0" w:space="0" w:color="auto"/>
        <w:right w:val="none" w:sz="0" w:space="0" w:color="auto"/>
      </w:divBdr>
    </w:div>
    <w:div w:id="706641355">
      <w:bodyDiv w:val="1"/>
      <w:marLeft w:val="0"/>
      <w:marRight w:val="0"/>
      <w:marTop w:val="0"/>
      <w:marBottom w:val="0"/>
      <w:divBdr>
        <w:top w:val="none" w:sz="0" w:space="0" w:color="auto"/>
        <w:left w:val="none" w:sz="0" w:space="0" w:color="auto"/>
        <w:bottom w:val="none" w:sz="0" w:space="0" w:color="auto"/>
        <w:right w:val="none" w:sz="0" w:space="0" w:color="auto"/>
      </w:divBdr>
    </w:div>
    <w:div w:id="832573326">
      <w:bodyDiv w:val="1"/>
      <w:marLeft w:val="0"/>
      <w:marRight w:val="0"/>
      <w:marTop w:val="0"/>
      <w:marBottom w:val="0"/>
      <w:divBdr>
        <w:top w:val="none" w:sz="0" w:space="0" w:color="auto"/>
        <w:left w:val="none" w:sz="0" w:space="0" w:color="auto"/>
        <w:bottom w:val="none" w:sz="0" w:space="0" w:color="auto"/>
        <w:right w:val="none" w:sz="0" w:space="0" w:color="auto"/>
      </w:divBdr>
    </w:div>
    <w:div w:id="993024250">
      <w:bodyDiv w:val="1"/>
      <w:marLeft w:val="0"/>
      <w:marRight w:val="0"/>
      <w:marTop w:val="0"/>
      <w:marBottom w:val="0"/>
      <w:divBdr>
        <w:top w:val="none" w:sz="0" w:space="0" w:color="auto"/>
        <w:left w:val="none" w:sz="0" w:space="0" w:color="auto"/>
        <w:bottom w:val="none" w:sz="0" w:space="0" w:color="auto"/>
        <w:right w:val="none" w:sz="0" w:space="0" w:color="auto"/>
      </w:divBdr>
    </w:div>
    <w:div w:id="1020736000">
      <w:bodyDiv w:val="1"/>
      <w:marLeft w:val="0"/>
      <w:marRight w:val="0"/>
      <w:marTop w:val="0"/>
      <w:marBottom w:val="0"/>
      <w:divBdr>
        <w:top w:val="none" w:sz="0" w:space="0" w:color="auto"/>
        <w:left w:val="none" w:sz="0" w:space="0" w:color="auto"/>
        <w:bottom w:val="none" w:sz="0" w:space="0" w:color="auto"/>
        <w:right w:val="none" w:sz="0" w:space="0" w:color="auto"/>
      </w:divBdr>
    </w:div>
    <w:div w:id="1058168234">
      <w:bodyDiv w:val="1"/>
      <w:marLeft w:val="0"/>
      <w:marRight w:val="0"/>
      <w:marTop w:val="0"/>
      <w:marBottom w:val="0"/>
      <w:divBdr>
        <w:top w:val="none" w:sz="0" w:space="0" w:color="auto"/>
        <w:left w:val="none" w:sz="0" w:space="0" w:color="auto"/>
        <w:bottom w:val="none" w:sz="0" w:space="0" w:color="auto"/>
        <w:right w:val="none" w:sz="0" w:space="0" w:color="auto"/>
      </w:divBdr>
    </w:div>
    <w:div w:id="1104157539">
      <w:bodyDiv w:val="1"/>
      <w:marLeft w:val="0"/>
      <w:marRight w:val="0"/>
      <w:marTop w:val="0"/>
      <w:marBottom w:val="0"/>
      <w:divBdr>
        <w:top w:val="none" w:sz="0" w:space="0" w:color="auto"/>
        <w:left w:val="none" w:sz="0" w:space="0" w:color="auto"/>
        <w:bottom w:val="none" w:sz="0" w:space="0" w:color="auto"/>
        <w:right w:val="none" w:sz="0" w:space="0" w:color="auto"/>
      </w:divBdr>
    </w:div>
    <w:div w:id="1201287068">
      <w:bodyDiv w:val="1"/>
      <w:marLeft w:val="0"/>
      <w:marRight w:val="0"/>
      <w:marTop w:val="0"/>
      <w:marBottom w:val="0"/>
      <w:divBdr>
        <w:top w:val="none" w:sz="0" w:space="0" w:color="auto"/>
        <w:left w:val="none" w:sz="0" w:space="0" w:color="auto"/>
        <w:bottom w:val="none" w:sz="0" w:space="0" w:color="auto"/>
        <w:right w:val="none" w:sz="0" w:space="0" w:color="auto"/>
      </w:divBdr>
    </w:div>
    <w:div w:id="1249730304">
      <w:bodyDiv w:val="1"/>
      <w:marLeft w:val="0"/>
      <w:marRight w:val="0"/>
      <w:marTop w:val="0"/>
      <w:marBottom w:val="0"/>
      <w:divBdr>
        <w:top w:val="none" w:sz="0" w:space="0" w:color="auto"/>
        <w:left w:val="none" w:sz="0" w:space="0" w:color="auto"/>
        <w:bottom w:val="none" w:sz="0" w:space="0" w:color="auto"/>
        <w:right w:val="none" w:sz="0" w:space="0" w:color="auto"/>
      </w:divBdr>
    </w:div>
    <w:div w:id="1256014198">
      <w:bodyDiv w:val="1"/>
      <w:marLeft w:val="0"/>
      <w:marRight w:val="0"/>
      <w:marTop w:val="0"/>
      <w:marBottom w:val="0"/>
      <w:divBdr>
        <w:top w:val="none" w:sz="0" w:space="0" w:color="auto"/>
        <w:left w:val="none" w:sz="0" w:space="0" w:color="auto"/>
        <w:bottom w:val="none" w:sz="0" w:space="0" w:color="auto"/>
        <w:right w:val="none" w:sz="0" w:space="0" w:color="auto"/>
      </w:divBdr>
    </w:div>
    <w:div w:id="1303193030">
      <w:bodyDiv w:val="1"/>
      <w:marLeft w:val="0"/>
      <w:marRight w:val="0"/>
      <w:marTop w:val="0"/>
      <w:marBottom w:val="0"/>
      <w:divBdr>
        <w:top w:val="none" w:sz="0" w:space="0" w:color="auto"/>
        <w:left w:val="none" w:sz="0" w:space="0" w:color="auto"/>
        <w:bottom w:val="none" w:sz="0" w:space="0" w:color="auto"/>
        <w:right w:val="none" w:sz="0" w:space="0" w:color="auto"/>
      </w:divBdr>
    </w:div>
    <w:div w:id="1341084647">
      <w:bodyDiv w:val="1"/>
      <w:marLeft w:val="0"/>
      <w:marRight w:val="0"/>
      <w:marTop w:val="0"/>
      <w:marBottom w:val="0"/>
      <w:divBdr>
        <w:top w:val="none" w:sz="0" w:space="0" w:color="auto"/>
        <w:left w:val="none" w:sz="0" w:space="0" w:color="auto"/>
        <w:bottom w:val="none" w:sz="0" w:space="0" w:color="auto"/>
        <w:right w:val="none" w:sz="0" w:space="0" w:color="auto"/>
      </w:divBdr>
    </w:div>
    <w:div w:id="1391539697">
      <w:bodyDiv w:val="1"/>
      <w:marLeft w:val="0"/>
      <w:marRight w:val="0"/>
      <w:marTop w:val="0"/>
      <w:marBottom w:val="0"/>
      <w:divBdr>
        <w:top w:val="none" w:sz="0" w:space="0" w:color="auto"/>
        <w:left w:val="none" w:sz="0" w:space="0" w:color="auto"/>
        <w:bottom w:val="none" w:sz="0" w:space="0" w:color="auto"/>
        <w:right w:val="none" w:sz="0" w:space="0" w:color="auto"/>
      </w:divBdr>
    </w:div>
    <w:div w:id="1409691453">
      <w:bodyDiv w:val="1"/>
      <w:marLeft w:val="0"/>
      <w:marRight w:val="0"/>
      <w:marTop w:val="0"/>
      <w:marBottom w:val="0"/>
      <w:divBdr>
        <w:top w:val="none" w:sz="0" w:space="0" w:color="auto"/>
        <w:left w:val="none" w:sz="0" w:space="0" w:color="auto"/>
        <w:bottom w:val="none" w:sz="0" w:space="0" w:color="auto"/>
        <w:right w:val="none" w:sz="0" w:space="0" w:color="auto"/>
      </w:divBdr>
    </w:div>
    <w:div w:id="1456871456">
      <w:bodyDiv w:val="1"/>
      <w:marLeft w:val="0"/>
      <w:marRight w:val="0"/>
      <w:marTop w:val="0"/>
      <w:marBottom w:val="0"/>
      <w:divBdr>
        <w:top w:val="none" w:sz="0" w:space="0" w:color="auto"/>
        <w:left w:val="none" w:sz="0" w:space="0" w:color="auto"/>
        <w:bottom w:val="none" w:sz="0" w:space="0" w:color="auto"/>
        <w:right w:val="none" w:sz="0" w:space="0" w:color="auto"/>
      </w:divBdr>
    </w:div>
    <w:div w:id="1469319680">
      <w:bodyDiv w:val="1"/>
      <w:marLeft w:val="0"/>
      <w:marRight w:val="0"/>
      <w:marTop w:val="0"/>
      <w:marBottom w:val="0"/>
      <w:divBdr>
        <w:top w:val="none" w:sz="0" w:space="0" w:color="auto"/>
        <w:left w:val="none" w:sz="0" w:space="0" w:color="auto"/>
        <w:bottom w:val="none" w:sz="0" w:space="0" w:color="auto"/>
        <w:right w:val="none" w:sz="0" w:space="0" w:color="auto"/>
      </w:divBdr>
    </w:div>
    <w:div w:id="1499927167">
      <w:bodyDiv w:val="1"/>
      <w:marLeft w:val="0"/>
      <w:marRight w:val="0"/>
      <w:marTop w:val="0"/>
      <w:marBottom w:val="0"/>
      <w:divBdr>
        <w:top w:val="none" w:sz="0" w:space="0" w:color="auto"/>
        <w:left w:val="none" w:sz="0" w:space="0" w:color="auto"/>
        <w:bottom w:val="none" w:sz="0" w:space="0" w:color="auto"/>
        <w:right w:val="none" w:sz="0" w:space="0" w:color="auto"/>
      </w:divBdr>
    </w:div>
    <w:div w:id="1546989654">
      <w:bodyDiv w:val="1"/>
      <w:marLeft w:val="0"/>
      <w:marRight w:val="0"/>
      <w:marTop w:val="0"/>
      <w:marBottom w:val="0"/>
      <w:divBdr>
        <w:top w:val="none" w:sz="0" w:space="0" w:color="auto"/>
        <w:left w:val="none" w:sz="0" w:space="0" w:color="auto"/>
        <w:bottom w:val="none" w:sz="0" w:space="0" w:color="auto"/>
        <w:right w:val="none" w:sz="0" w:space="0" w:color="auto"/>
      </w:divBdr>
    </w:div>
    <w:div w:id="1566181519">
      <w:bodyDiv w:val="1"/>
      <w:marLeft w:val="0"/>
      <w:marRight w:val="0"/>
      <w:marTop w:val="0"/>
      <w:marBottom w:val="0"/>
      <w:divBdr>
        <w:top w:val="none" w:sz="0" w:space="0" w:color="auto"/>
        <w:left w:val="none" w:sz="0" w:space="0" w:color="auto"/>
        <w:bottom w:val="none" w:sz="0" w:space="0" w:color="auto"/>
        <w:right w:val="none" w:sz="0" w:space="0" w:color="auto"/>
      </w:divBdr>
    </w:div>
    <w:div w:id="1572736113">
      <w:bodyDiv w:val="1"/>
      <w:marLeft w:val="0"/>
      <w:marRight w:val="0"/>
      <w:marTop w:val="0"/>
      <w:marBottom w:val="0"/>
      <w:divBdr>
        <w:top w:val="none" w:sz="0" w:space="0" w:color="auto"/>
        <w:left w:val="none" w:sz="0" w:space="0" w:color="auto"/>
        <w:bottom w:val="none" w:sz="0" w:space="0" w:color="auto"/>
        <w:right w:val="none" w:sz="0" w:space="0" w:color="auto"/>
      </w:divBdr>
    </w:div>
    <w:div w:id="1574660454">
      <w:bodyDiv w:val="1"/>
      <w:marLeft w:val="0"/>
      <w:marRight w:val="0"/>
      <w:marTop w:val="0"/>
      <w:marBottom w:val="0"/>
      <w:divBdr>
        <w:top w:val="none" w:sz="0" w:space="0" w:color="auto"/>
        <w:left w:val="none" w:sz="0" w:space="0" w:color="auto"/>
        <w:bottom w:val="none" w:sz="0" w:space="0" w:color="auto"/>
        <w:right w:val="none" w:sz="0" w:space="0" w:color="auto"/>
      </w:divBdr>
    </w:div>
    <w:div w:id="1600789931">
      <w:bodyDiv w:val="1"/>
      <w:marLeft w:val="0"/>
      <w:marRight w:val="0"/>
      <w:marTop w:val="0"/>
      <w:marBottom w:val="0"/>
      <w:divBdr>
        <w:top w:val="none" w:sz="0" w:space="0" w:color="auto"/>
        <w:left w:val="none" w:sz="0" w:space="0" w:color="auto"/>
        <w:bottom w:val="none" w:sz="0" w:space="0" w:color="auto"/>
        <w:right w:val="none" w:sz="0" w:space="0" w:color="auto"/>
      </w:divBdr>
    </w:div>
    <w:div w:id="1613980186">
      <w:bodyDiv w:val="1"/>
      <w:marLeft w:val="0"/>
      <w:marRight w:val="0"/>
      <w:marTop w:val="0"/>
      <w:marBottom w:val="0"/>
      <w:divBdr>
        <w:top w:val="none" w:sz="0" w:space="0" w:color="auto"/>
        <w:left w:val="none" w:sz="0" w:space="0" w:color="auto"/>
        <w:bottom w:val="none" w:sz="0" w:space="0" w:color="auto"/>
        <w:right w:val="none" w:sz="0" w:space="0" w:color="auto"/>
      </w:divBdr>
    </w:div>
    <w:div w:id="1641618420">
      <w:bodyDiv w:val="1"/>
      <w:marLeft w:val="0"/>
      <w:marRight w:val="0"/>
      <w:marTop w:val="0"/>
      <w:marBottom w:val="0"/>
      <w:divBdr>
        <w:top w:val="none" w:sz="0" w:space="0" w:color="auto"/>
        <w:left w:val="none" w:sz="0" w:space="0" w:color="auto"/>
        <w:bottom w:val="none" w:sz="0" w:space="0" w:color="auto"/>
        <w:right w:val="none" w:sz="0" w:space="0" w:color="auto"/>
      </w:divBdr>
    </w:div>
    <w:div w:id="1650670740">
      <w:bodyDiv w:val="1"/>
      <w:marLeft w:val="0"/>
      <w:marRight w:val="0"/>
      <w:marTop w:val="0"/>
      <w:marBottom w:val="0"/>
      <w:divBdr>
        <w:top w:val="none" w:sz="0" w:space="0" w:color="auto"/>
        <w:left w:val="none" w:sz="0" w:space="0" w:color="auto"/>
        <w:bottom w:val="none" w:sz="0" w:space="0" w:color="auto"/>
        <w:right w:val="none" w:sz="0" w:space="0" w:color="auto"/>
      </w:divBdr>
    </w:div>
    <w:div w:id="1704672231">
      <w:bodyDiv w:val="1"/>
      <w:marLeft w:val="0"/>
      <w:marRight w:val="0"/>
      <w:marTop w:val="0"/>
      <w:marBottom w:val="0"/>
      <w:divBdr>
        <w:top w:val="none" w:sz="0" w:space="0" w:color="auto"/>
        <w:left w:val="none" w:sz="0" w:space="0" w:color="auto"/>
        <w:bottom w:val="none" w:sz="0" w:space="0" w:color="auto"/>
        <w:right w:val="none" w:sz="0" w:space="0" w:color="auto"/>
      </w:divBdr>
    </w:div>
    <w:div w:id="1714958288">
      <w:bodyDiv w:val="1"/>
      <w:marLeft w:val="0"/>
      <w:marRight w:val="0"/>
      <w:marTop w:val="0"/>
      <w:marBottom w:val="0"/>
      <w:divBdr>
        <w:top w:val="none" w:sz="0" w:space="0" w:color="auto"/>
        <w:left w:val="none" w:sz="0" w:space="0" w:color="auto"/>
        <w:bottom w:val="none" w:sz="0" w:space="0" w:color="auto"/>
        <w:right w:val="none" w:sz="0" w:space="0" w:color="auto"/>
      </w:divBdr>
    </w:div>
    <w:div w:id="1772047242">
      <w:bodyDiv w:val="1"/>
      <w:marLeft w:val="0"/>
      <w:marRight w:val="0"/>
      <w:marTop w:val="0"/>
      <w:marBottom w:val="0"/>
      <w:divBdr>
        <w:top w:val="none" w:sz="0" w:space="0" w:color="auto"/>
        <w:left w:val="none" w:sz="0" w:space="0" w:color="auto"/>
        <w:bottom w:val="none" w:sz="0" w:space="0" w:color="auto"/>
        <w:right w:val="none" w:sz="0" w:space="0" w:color="auto"/>
      </w:divBdr>
    </w:div>
    <w:div w:id="1798141006">
      <w:bodyDiv w:val="1"/>
      <w:marLeft w:val="0"/>
      <w:marRight w:val="0"/>
      <w:marTop w:val="0"/>
      <w:marBottom w:val="0"/>
      <w:divBdr>
        <w:top w:val="none" w:sz="0" w:space="0" w:color="auto"/>
        <w:left w:val="none" w:sz="0" w:space="0" w:color="auto"/>
        <w:bottom w:val="none" w:sz="0" w:space="0" w:color="auto"/>
        <w:right w:val="none" w:sz="0" w:space="0" w:color="auto"/>
      </w:divBdr>
    </w:div>
    <w:div w:id="1834488948">
      <w:bodyDiv w:val="1"/>
      <w:marLeft w:val="0"/>
      <w:marRight w:val="0"/>
      <w:marTop w:val="0"/>
      <w:marBottom w:val="0"/>
      <w:divBdr>
        <w:top w:val="none" w:sz="0" w:space="0" w:color="auto"/>
        <w:left w:val="none" w:sz="0" w:space="0" w:color="auto"/>
        <w:bottom w:val="none" w:sz="0" w:space="0" w:color="auto"/>
        <w:right w:val="none" w:sz="0" w:space="0" w:color="auto"/>
      </w:divBdr>
    </w:div>
    <w:div w:id="1884175675">
      <w:bodyDiv w:val="1"/>
      <w:marLeft w:val="0"/>
      <w:marRight w:val="0"/>
      <w:marTop w:val="0"/>
      <w:marBottom w:val="0"/>
      <w:divBdr>
        <w:top w:val="none" w:sz="0" w:space="0" w:color="auto"/>
        <w:left w:val="none" w:sz="0" w:space="0" w:color="auto"/>
        <w:bottom w:val="none" w:sz="0" w:space="0" w:color="auto"/>
        <w:right w:val="none" w:sz="0" w:space="0" w:color="auto"/>
      </w:divBdr>
    </w:div>
    <w:div w:id="1915970255">
      <w:bodyDiv w:val="1"/>
      <w:marLeft w:val="0"/>
      <w:marRight w:val="0"/>
      <w:marTop w:val="0"/>
      <w:marBottom w:val="0"/>
      <w:divBdr>
        <w:top w:val="none" w:sz="0" w:space="0" w:color="auto"/>
        <w:left w:val="none" w:sz="0" w:space="0" w:color="auto"/>
        <w:bottom w:val="none" w:sz="0" w:space="0" w:color="auto"/>
        <w:right w:val="none" w:sz="0" w:space="0" w:color="auto"/>
      </w:divBdr>
    </w:div>
    <w:div w:id="1976985578">
      <w:bodyDiv w:val="1"/>
      <w:marLeft w:val="0"/>
      <w:marRight w:val="0"/>
      <w:marTop w:val="0"/>
      <w:marBottom w:val="0"/>
      <w:divBdr>
        <w:top w:val="none" w:sz="0" w:space="0" w:color="auto"/>
        <w:left w:val="none" w:sz="0" w:space="0" w:color="auto"/>
        <w:bottom w:val="none" w:sz="0" w:space="0" w:color="auto"/>
        <w:right w:val="none" w:sz="0" w:space="0" w:color="auto"/>
      </w:divBdr>
    </w:div>
    <w:div w:id="2007202076">
      <w:bodyDiv w:val="1"/>
      <w:marLeft w:val="0"/>
      <w:marRight w:val="0"/>
      <w:marTop w:val="0"/>
      <w:marBottom w:val="0"/>
      <w:divBdr>
        <w:top w:val="none" w:sz="0" w:space="0" w:color="auto"/>
        <w:left w:val="none" w:sz="0" w:space="0" w:color="auto"/>
        <w:bottom w:val="none" w:sz="0" w:space="0" w:color="auto"/>
        <w:right w:val="none" w:sz="0" w:space="0" w:color="auto"/>
      </w:divBdr>
    </w:div>
    <w:div w:id="2041778940">
      <w:bodyDiv w:val="1"/>
      <w:marLeft w:val="0"/>
      <w:marRight w:val="0"/>
      <w:marTop w:val="0"/>
      <w:marBottom w:val="0"/>
      <w:divBdr>
        <w:top w:val="none" w:sz="0" w:space="0" w:color="auto"/>
        <w:left w:val="none" w:sz="0" w:space="0" w:color="auto"/>
        <w:bottom w:val="none" w:sz="0" w:space="0" w:color="auto"/>
        <w:right w:val="none" w:sz="0" w:space="0" w:color="auto"/>
      </w:divBdr>
    </w:div>
    <w:div w:id="2082679959">
      <w:bodyDiv w:val="1"/>
      <w:marLeft w:val="0"/>
      <w:marRight w:val="0"/>
      <w:marTop w:val="0"/>
      <w:marBottom w:val="0"/>
      <w:divBdr>
        <w:top w:val="none" w:sz="0" w:space="0" w:color="auto"/>
        <w:left w:val="none" w:sz="0" w:space="0" w:color="auto"/>
        <w:bottom w:val="none" w:sz="0" w:space="0" w:color="auto"/>
        <w:right w:val="none" w:sz="0" w:space="0" w:color="auto"/>
      </w:divBdr>
    </w:div>
    <w:div w:id="2115129395">
      <w:bodyDiv w:val="1"/>
      <w:marLeft w:val="0"/>
      <w:marRight w:val="0"/>
      <w:marTop w:val="0"/>
      <w:marBottom w:val="0"/>
      <w:divBdr>
        <w:top w:val="none" w:sz="0" w:space="0" w:color="auto"/>
        <w:left w:val="none" w:sz="0" w:space="0" w:color="auto"/>
        <w:bottom w:val="none" w:sz="0" w:space="0" w:color="auto"/>
        <w:right w:val="none" w:sz="0" w:space="0" w:color="auto"/>
      </w:divBdr>
    </w:div>
    <w:div w:id="2121339407">
      <w:bodyDiv w:val="1"/>
      <w:marLeft w:val="0"/>
      <w:marRight w:val="0"/>
      <w:marTop w:val="0"/>
      <w:marBottom w:val="0"/>
      <w:divBdr>
        <w:top w:val="none" w:sz="0" w:space="0" w:color="auto"/>
        <w:left w:val="none" w:sz="0" w:space="0" w:color="auto"/>
        <w:bottom w:val="none" w:sz="0" w:space="0" w:color="auto"/>
        <w:right w:val="none" w:sz="0" w:space="0" w:color="auto"/>
      </w:divBdr>
    </w:div>
    <w:div w:id="21316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oj/direct-acc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A1A9-F1B5-4463-AE00-D314EAFD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7342</Words>
  <Characters>41850</Characters>
  <Application>Microsoft Office Word</Application>
  <DocSecurity>0</DocSecurity>
  <Lines>348</Lines>
  <Paragraphs>98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0924779</vt:lpstr>
      <vt:lpstr>0924779</vt:lpstr>
      <vt:lpstr>0924779</vt:lpstr>
    </vt:vector>
  </TitlesOfParts>
  <Company>CSD</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9</cp:revision>
  <cp:lastPrinted>2018-10-17T14:31:00Z</cp:lastPrinted>
  <dcterms:created xsi:type="dcterms:W3CDTF">2018-10-17T11:03:00Z</dcterms:created>
  <dcterms:modified xsi:type="dcterms:W3CDTF">2018-10-18T07:58:00Z</dcterms:modified>
</cp:coreProperties>
</file>