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036" w:rsidRPr="00267B69" w:rsidRDefault="00982036" w:rsidP="00982036">
      <w:pPr>
        <w:spacing w:before="120"/>
        <w:rPr>
          <w:b/>
          <w:sz w:val="28"/>
          <w:szCs w:val="28"/>
        </w:rPr>
      </w:pPr>
      <w:r w:rsidRPr="00267B69">
        <w:rPr>
          <w:b/>
          <w:sz w:val="28"/>
          <w:szCs w:val="28"/>
        </w:rPr>
        <w:t>Economic Commission for Europe</w:t>
      </w:r>
    </w:p>
    <w:p w:rsidR="00982036" w:rsidRPr="00267B69" w:rsidRDefault="00982036" w:rsidP="00982036">
      <w:pPr>
        <w:spacing w:before="120"/>
        <w:rPr>
          <w:sz w:val="28"/>
          <w:szCs w:val="28"/>
        </w:rPr>
      </w:pPr>
      <w:r w:rsidRPr="00267B69">
        <w:rPr>
          <w:sz w:val="28"/>
          <w:szCs w:val="28"/>
        </w:rPr>
        <w:t>Inland Transport Committee</w:t>
      </w:r>
    </w:p>
    <w:p w:rsidR="00982036" w:rsidRPr="00267B69" w:rsidRDefault="00982036" w:rsidP="00982036">
      <w:pPr>
        <w:spacing w:before="120"/>
        <w:rPr>
          <w:b/>
          <w:sz w:val="24"/>
          <w:szCs w:val="24"/>
        </w:rPr>
      </w:pPr>
      <w:r w:rsidRPr="00267B69">
        <w:rPr>
          <w:b/>
          <w:sz w:val="24"/>
          <w:szCs w:val="24"/>
        </w:rPr>
        <w:t>Working Party on the Transport of Dangerous Goods</w:t>
      </w:r>
    </w:p>
    <w:p w:rsidR="00982036" w:rsidRPr="00267B69" w:rsidRDefault="007851CB" w:rsidP="00084795">
      <w:pPr>
        <w:spacing w:before="120"/>
        <w:rPr>
          <w:b/>
        </w:rPr>
      </w:pPr>
      <w:r w:rsidRPr="00267B69">
        <w:rPr>
          <w:b/>
        </w:rPr>
        <w:t>104th</w:t>
      </w:r>
      <w:r w:rsidR="00982036" w:rsidRPr="00267B69">
        <w:rPr>
          <w:b/>
        </w:rPr>
        <w:t xml:space="preserve"> session</w:t>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2709B0" w:rsidRPr="00267B69">
        <w:rPr>
          <w:b/>
        </w:rPr>
        <w:tab/>
      </w:r>
      <w:r w:rsidR="002709B0" w:rsidRPr="00267B69">
        <w:rPr>
          <w:b/>
        </w:rPr>
        <w:tab/>
      </w:r>
      <w:r w:rsidR="00D13D3B" w:rsidRPr="00267B69">
        <w:rPr>
          <w:b/>
        </w:rPr>
        <w:tab/>
      </w:r>
      <w:r w:rsidR="00426D77">
        <w:rPr>
          <w:b/>
        </w:rPr>
        <w:t>14</w:t>
      </w:r>
      <w:r w:rsidR="00426D77" w:rsidRPr="00267B69">
        <w:rPr>
          <w:b/>
        </w:rPr>
        <w:t xml:space="preserve"> </w:t>
      </w:r>
      <w:r w:rsidR="00C75A4D" w:rsidRPr="00267B69">
        <w:rPr>
          <w:b/>
        </w:rPr>
        <w:t>May</w:t>
      </w:r>
      <w:r w:rsidR="001D4954" w:rsidRPr="00267B69">
        <w:rPr>
          <w:b/>
        </w:rPr>
        <w:t xml:space="preserve"> 201</w:t>
      </w:r>
      <w:r w:rsidRPr="00267B69">
        <w:rPr>
          <w:b/>
        </w:rPr>
        <w:t>8</w:t>
      </w:r>
    </w:p>
    <w:p w:rsidR="00982036" w:rsidRPr="00267B69" w:rsidRDefault="00982036" w:rsidP="00982036">
      <w:r w:rsidRPr="00267B69">
        <w:t>Geneva</w:t>
      </w:r>
      <w:r w:rsidR="00AF0EA9" w:rsidRPr="00267B69">
        <w:t xml:space="preserve">, </w:t>
      </w:r>
      <w:r w:rsidR="007851CB" w:rsidRPr="00267B69">
        <w:t>15–</w:t>
      </w:r>
      <w:r w:rsidR="002709B0" w:rsidRPr="00267B69">
        <w:t>1</w:t>
      </w:r>
      <w:r w:rsidR="007851CB" w:rsidRPr="00267B69">
        <w:t>7</w:t>
      </w:r>
      <w:r w:rsidR="009A776B" w:rsidRPr="00267B69">
        <w:t xml:space="preserve"> </w:t>
      </w:r>
      <w:r w:rsidR="0089025B" w:rsidRPr="00267B69">
        <w:t>May</w:t>
      </w:r>
      <w:r w:rsidR="00AF0EA9" w:rsidRPr="00267B69">
        <w:t xml:space="preserve"> 201</w:t>
      </w:r>
      <w:r w:rsidR="007851CB" w:rsidRPr="00267B69">
        <w:t>8</w:t>
      </w:r>
    </w:p>
    <w:p w:rsidR="00982036" w:rsidRPr="00267B69" w:rsidRDefault="00982036" w:rsidP="00982036">
      <w:r w:rsidRPr="00267B69">
        <w:t>Item 1 of the provisional agenda</w:t>
      </w:r>
    </w:p>
    <w:p w:rsidR="00A6129C" w:rsidRPr="00267B69" w:rsidRDefault="00920CA3" w:rsidP="00C96DF2">
      <w:pPr>
        <w:rPr>
          <w:b/>
        </w:rPr>
      </w:pPr>
      <w:r w:rsidRPr="00267B69">
        <w:rPr>
          <w:b/>
        </w:rPr>
        <w:t>Adoption of the agenda</w:t>
      </w:r>
    </w:p>
    <w:p w:rsidR="005E5BC9" w:rsidRDefault="00920CA3" w:rsidP="005E5BC9">
      <w:pPr>
        <w:pStyle w:val="HChG"/>
        <w:spacing w:after="120"/>
      </w:pPr>
      <w:r w:rsidRPr="00267B69">
        <w:tab/>
      </w:r>
      <w:r w:rsidR="005E5BC9" w:rsidRPr="003B4873">
        <w:tab/>
      </w:r>
      <w:r w:rsidR="005E5BC9" w:rsidRPr="003B4873">
        <w:tab/>
        <w:t xml:space="preserve">List of documents under agenda item </w:t>
      </w:r>
    </w:p>
    <w:p w:rsidR="00426D77" w:rsidRPr="00EE79CE" w:rsidRDefault="00426D77" w:rsidP="00EE79CE">
      <w:pPr>
        <w:pStyle w:val="H23G"/>
      </w:pPr>
      <w:r>
        <w:tab/>
      </w:r>
      <w:r>
        <w:tab/>
        <w:t>Revision</w:t>
      </w:r>
    </w:p>
    <w:p w:rsidR="00BF0CF2" w:rsidRPr="00267B69" w:rsidRDefault="005E5BC9" w:rsidP="00BF0CF2">
      <w:pPr>
        <w:keepNext/>
        <w:keepLines/>
        <w:tabs>
          <w:tab w:val="right" w:pos="851"/>
        </w:tabs>
        <w:spacing w:before="360" w:after="240" w:line="300" w:lineRule="exact"/>
        <w:ind w:left="1134" w:right="1134" w:hanging="1134"/>
        <w:rPr>
          <w:b/>
          <w:sz w:val="28"/>
        </w:rPr>
      </w:pPr>
      <w:r>
        <w:rPr>
          <w:b/>
          <w:sz w:val="28"/>
        </w:rPr>
        <w:tab/>
      </w:r>
      <w:r w:rsidR="00BF0CF2" w:rsidRPr="00267B69">
        <w:rPr>
          <w:b/>
          <w:sz w:val="28"/>
        </w:rPr>
        <w:t>1.</w:t>
      </w:r>
      <w:r w:rsidR="00BF0CF2" w:rsidRPr="00267B69">
        <w:rPr>
          <w:b/>
          <w:sz w:val="28"/>
        </w:rPr>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BF0CF2" w:rsidRPr="00267B69" w:rsidTr="00DB11D5">
        <w:trPr>
          <w:cantSplit/>
        </w:trPr>
        <w:tc>
          <w:tcPr>
            <w:tcW w:w="3402" w:type="dxa"/>
            <w:shd w:val="clear" w:color="auto" w:fill="auto"/>
          </w:tcPr>
          <w:p w:rsidR="00BF0CF2" w:rsidRPr="00267B69" w:rsidRDefault="007851CB" w:rsidP="00DF6C26">
            <w:pPr>
              <w:spacing w:line="360" w:lineRule="auto"/>
              <w:ind w:right="99"/>
              <w:rPr>
                <w:rFonts w:asciiTheme="majorBidi" w:hAnsiTheme="majorBidi" w:cstheme="majorBidi"/>
              </w:rPr>
            </w:pPr>
            <w:r w:rsidRPr="00267B69">
              <w:rPr>
                <w:rFonts w:asciiTheme="majorBidi" w:hAnsiTheme="majorBidi" w:cstheme="majorBidi"/>
              </w:rPr>
              <w:t>ECE/TRANS/WP.15/241</w:t>
            </w:r>
            <w:r w:rsidR="00BF0CF2" w:rsidRPr="00267B69">
              <w:rPr>
                <w:rFonts w:asciiTheme="majorBidi" w:hAnsiTheme="majorBidi" w:cstheme="majorBidi"/>
              </w:rPr>
              <w:t xml:space="preserve"> (Secretariat)</w:t>
            </w:r>
          </w:p>
        </w:tc>
        <w:tc>
          <w:tcPr>
            <w:tcW w:w="3969" w:type="dxa"/>
            <w:shd w:val="clear" w:color="auto" w:fill="auto"/>
          </w:tcPr>
          <w:p w:rsidR="00BF0CF2" w:rsidRPr="00267B69" w:rsidRDefault="007851CB" w:rsidP="00DF6C26">
            <w:pPr>
              <w:spacing w:line="360" w:lineRule="auto"/>
              <w:rPr>
                <w:rFonts w:asciiTheme="majorBidi" w:hAnsiTheme="majorBidi" w:cstheme="majorBidi"/>
              </w:rPr>
            </w:pPr>
            <w:r w:rsidRPr="00267B69">
              <w:rPr>
                <w:rFonts w:asciiTheme="majorBidi" w:hAnsiTheme="majorBidi" w:cstheme="majorBidi"/>
              </w:rPr>
              <w:t>Provisional agenda for the 104th</w:t>
            </w:r>
            <w:r w:rsidR="00BF0CF2" w:rsidRPr="00267B69">
              <w:rPr>
                <w:rFonts w:asciiTheme="majorBidi" w:hAnsiTheme="majorBidi" w:cstheme="majorBidi"/>
              </w:rPr>
              <w:t xml:space="preserve"> session</w:t>
            </w:r>
          </w:p>
        </w:tc>
      </w:tr>
      <w:tr w:rsidR="00BF0CF2" w:rsidRPr="00267B69" w:rsidTr="00DB11D5">
        <w:trPr>
          <w:cantSplit/>
        </w:trPr>
        <w:tc>
          <w:tcPr>
            <w:tcW w:w="3402" w:type="dxa"/>
            <w:shd w:val="clear" w:color="auto" w:fill="auto"/>
          </w:tcPr>
          <w:p w:rsidR="00BF0CF2" w:rsidRPr="00267B69" w:rsidRDefault="007851CB" w:rsidP="009E7286">
            <w:pPr>
              <w:spacing w:after="240" w:line="240" w:lineRule="auto"/>
              <w:ind w:right="99"/>
              <w:rPr>
                <w:rFonts w:asciiTheme="majorBidi" w:hAnsiTheme="majorBidi" w:cstheme="majorBidi"/>
              </w:rPr>
            </w:pPr>
            <w:r w:rsidRPr="00267B69">
              <w:rPr>
                <w:rFonts w:asciiTheme="majorBidi" w:hAnsiTheme="majorBidi" w:cstheme="majorBidi"/>
              </w:rPr>
              <w:t>ECE/TRANS/WP.15/241</w:t>
            </w:r>
            <w:r w:rsidR="00BF0CF2" w:rsidRPr="00267B69">
              <w:rPr>
                <w:rFonts w:asciiTheme="majorBidi" w:hAnsiTheme="majorBidi" w:cstheme="majorBidi"/>
              </w:rPr>
              <w:t>/Add.1 (Secretariat)</w:t>
            </w:r>
          </w:p>
        </w:tc>
        <w:tc>
          <w:tcPr>
            <w:tcW w:w="3969" w:type="dxa"/>
            <w:shd w:val="clear" w:color="auto" w:fill="auto"/>
          </w:tcPr>
          <w:p w:rsidR="00BF0CF2" w:rsidRPr="00267B69" w:rsidRDefault="00BF0CF2" w:rsidP="00DF6C26">
            <w:pPr>
              <w:spacing w:line="360" w:lineRule="auto"/>
              <w:rPr>
                <w:rFonts w:asciiTheme="majorBidi" w:hAnsiTheme="majorBidi" w:cstheme="majorBidi"/>
              </w:rPr>
            </w:pPr>
            <w:r w:rsidRPr="00267B69">
              <w:rPr>
                <w:rFonts w:asciiTheme="majorBidi" w:hAnsiTheme="majorBidi" w:cstheme="majorBidi"/>
              </w:rPr>
              <w:t>Annotations and list of documents</w:t>
            </w:r>
          </w:p>
        </w:tc>
      </w:tr>
      <w:tr w:rsidR="00BF0CF2" w:rsidRPr="00267B69" w:rsidTr="00DB11D5">
        <w:trPr>
          <w:cantSplit/>
        </w:trPr>
        <w:tc>
          <w:tcPr>
            <w:tcW w:w="3402" w:type="dxa"/>
            <w:shd w:val="clear" w:color="auto" w:fill="auto"/>
          </w:tcPr>
          <w:p w:rsidR="00BF0CF2" w:rsidRPr="00267B69" w:rsidRDefault="00BF0CF2" w:rsidP="00DF6C26">
            <w:pPr>
              <w:pStyle w:val="SingleTxtG"/>
              <w:spacing w:after="0" w:line="360" w:lineRule="auto"/>
              <w:ind w:left="0" w:right="99"/>
              <w:jc w:val="left"/>
              <w:rPr>
                <w:rFonts w:asciiTheme="majorBidi" w:hAnsiTheme="majorBidi" w:cstheme="majorBidi"/>
                <w:lang w:val="en-GB"/>
              </w:rPr>
            </w:pPr>
            <w:r w:rsidRPr="00267B69">
              <w:rPr>
                <w:rFonts w:asciiTheme="majorBidi" w:hAnsiTheme="majorBidi" w:cstheme="majorBidi"/>
                <w:lang w:val="en-GB"/>
              </w:rPr>
              <w:t>INF.1 (Secretariat)</w:t>
            </w:r>
          </w:p>
        </w:tc>
        <w:tc>
          <w:tcPr>
            <w:tcW w:w="3969" w:type="dxa"/>
            <w:shd w:val="clear" w:color="auto" w:fill="auto"/>
          </w:tcPr>
          <w:p w:rsidR="00BF0CF2" w:rsidRPr="00267B69" w:rsidRDefault="00BF0CF2" w:rsidP="00DF6C26">
            <w:pPr>
              <w:pStyle w:val="SingleTxtG"/>
              <w:spacing w:after="0" w:line="360" w:lineRule="auto"/>
              <w:ind w:left="0" w:right="0"/>
              <w:jc w:val="left"/>
              <w:rPr>
                <w:rFonts w:asciiTheme="majorBidi" w:hAnsiTheme="majorBidi" w:cstheme="majorBidi"/>
                <w:lang w:val="en-GB"/>
              </w:rPr>
            </w:pPr>
            <w:r w:rsidRPr="00267B69">
              <w:rPr>
                <w:rFonts w:asciiTheme="majorBidi" w:hAnsiTheme="majorBidi" w:cstheme="majorBidi"/>
                <w:lang w:val="en-GB"/>
              </w:rPr>
              <w:t>List of documents</w:t>
            </w:r>
          </w:p>
        </w:tc>
      </w:tr>
      <w:tr w:rsidR="00BF0CF2" w:rsidRPr="00267B69" w:rsidTr="00DB11D5">
        <w:trPr>
          <w:cantSplit/>
        </w:trPr>
        <w:tc>
          <w:tcPr>
            <w:tcW w:w="3402" w:type="dxa"/>
            <w:shd w:val="clear" w:color="auto" w:fill="auto"/>
          </w:tcPr>
          <w:p w:rsidR="00BF0CF2" w:rsidRPr="00267B69" w:rsidRDefault="00BF0CF2" w:rsidP="00DF6C26">
            <w:pPr>
              <w:pStyle w:val="SingleTxtG"/>
              <w:spacing w:after="0" w:line="360" w:lineRule="auto"/>
              <w:ind w:left="0" w:right="99"/>
              <w:jc w:val="left"/>
              <w:rPr>
                <w:rFonts w:asciiTheme="majorBidi" w:hAnsiTheme="majorBidi" w:cstheme="majorBidi"/>
                <w:lang w:val="en-GB"/>
              </w:rPr>
            </w:pPr>
            <w:r w:rsidRPr="00267B69">
              <w:rPr>
                <w:rFonts w:asciiTheme="majorBidi" w:hAnsiTheme="majorBidi" w:cstheme="majorBidi"/>
                <w:lang w:val="en-GB"/>
              </w:rPr>
              <w:t>INF.2 (Secretariat)</w:t>
            </w:r>
          </w:p>
        </w:tc>
        <w:tc>
          <w:tcPr>
            <w:tcW w:w="3969" w:type="dxa"/>
            <w:shd w:val="clear" w:color="auto" w:fill="auto"/>
          </w:tcPr>
          <w:p w:rsidR="00BF0CF2" w:rsidRPr="00267B69" w:rsidRDefault="00BF0CF2" w:rsidP="00DF6C26">
            <w:pPr>
              <w:pStyle w:val="SingleTxtG"/>
              <w:spacing w:after="0" w:line="360" w:lineRule="auto"/>
              <w:ind w:left="0" w:right="0"/>
              <w:jc w:val="left"/>
              <w:rPr>
                <w:rFonts w:asciiTheme="majorBidi" w:hAnsiTheme="majorBidi" w:cstheme="majorBidi"/>
                <w:lang w:val="en-GB"/>
              </w:rPr>
            </w:pPr>
            <w:r w:rsidRPr="00267B69">
              <w:rPr>
                <w:rFonts w:asciiTheme="majorBidi" w:hAnsiTheme="majorBidi" w:cstheme="majorBidi"/>
                <w:lang w:val="en-GB"/>
              </w:rPr>
              <w:t>List of documents under agenda item</w:t>
            </w:r>
          </w:p>
        </w:tc>
      </w:tr>
    </w:tbl>
    <w:p w:rsidR="00BF0CF2" w:rsidRPr="00267B69" w:rsidRDefault="00BF0CF2" w:rsidP="00BF0CF2">
      <w:pPr>
        <w:keepNext/>
        <w:keepLines/>
        <w:tabs>
          <w:tab w:val="right" w:pos="851"/>
        </w:tabs>
        <w:spacing w:before="360" w:after="240" w:line="270" w:lineRule="exact"/>
        <w:ind w:left="1134" w:right="1134" w:hanging="1134"/>
        <w:rPr>
          <w:b/>
          <w:sz w:val="24"/>
        </w:rPr>
      </w:pPr>
      <w:r w:rsidRPr="00267B69">
        <w:rPr>
          <w:b/>
          <w:sz w:val="24"/>
        </w:rPr>
        <w:tab/>
      </w:r>
      <w:r w:rsidRPr="00267B69">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BF0CF2" w:rsidRPr="00267B69" w:rsidTr="0056757C">
        <w:trPr>
          <w:cantSplit/>
        </w:trPr>
        <w:tc>
          <w:tcPr>
            <w:tcW w:w="3402" w:type="dxa"/>
            <w:shd w:val="clear" w:color="auto" w:fill="auto"/>
          </w:tcPr>
          <w:p w:rsidR="00BF0CF2" w:rsidRPr="00267B69" w:rsidRDefault="00BF0CF2" w:rsidP="009E7286">
            <w:pPr>
              <w:spacing w:line="240" w:lineRule="auto"/>
              <w:ind w:right="99"/>
              <w:rPr>
                <w:b/>
              </w:rPr>
            </w:pPr>
            <w:r w:rsidRPr="00267B69">
              <w:t>ECE/TRANS/WP.15/190/Add.1 (Secretariat)</w:t>
            </w:r>
          </w:p>
        </w:tc>
        <w:tc>
          <w:tcPr>
            <w:tcW w:w="3969" w:type="dxa"/>
            <w:shd w:val="clear" w:color="auto" w:fill="auto"/>
          </w:tcPr>
          <w:p w:rsidR="00BF0CF2" w:rsidRPr="00267B69" w:rsidRDefault="00BF0CF2" w:rsidP="009E7286">
            <w:pPr>
              <w:spacing w:after="240" w:line="240" w:lineRule="auto"/>
              <w:rPr>
                <w:b/>
              </w:rPr>
            </w:pPr>
            <w:r w:rsidRPr="00267B69">
              <w:t>Terms of Reference and Rules of Procedure of the Working Party</w:t>
            </w:r>
          </w:p>
        </w:tc>
      </w:tr>
      <w:tr w:rsidR="00BF0CF2" w:rsidRPr="00267B69" w:rsidTr="0056757C">
        <w:trPr>
          <w:cantSplit/>
        </w:trPr>
        <w:tc>
          <w:tcPr>
            <w:tcW w:w="3402" w:type="dxa"/>
            <w:shd w:val="clear" w:color="auto" w:fill="auto"/>
          </w:tcPr>
          <w:p w:rsidR="00BF0CF2" w:rsidRPr="00267B69" w:rsidRDefault="007851CB" w:rsidP="00DF6C26">
            <w:pPr>
              <w:spacing w:line="360" w:lineRule="auto"/>
              <w:ind w:right="99"/>
            </w:pPr>
            <w:r w:rsidRPr="00267B69">
              <w:t>ECE/TRANS/WP.15/239</w:t>
            </w:r>
            <w:r w:rsidR="00BF0CF2" w:rsidRPr="00267B69">
              <w:t xml:space="preserve"> (Secretariat)</w:t>
            </w:r>
          </w:p>
        </w:tc>
        <w:tc>
          <w:tcPr>
            <w:tcW w:w="3969" w:type="dxa"/>
            <w:shd w:val="clear" w:color="auto" w:fill="auto"/>
          </w:tcPr>
          <w:p w:rsidR="00BF0CF2" w:rsidRPr="00267B69" w:rsidRDefault="00BF0CF2" w:rsidP="009E7286">
            <w:pPr>
              <w:spacing w:after="240" w:line="240" w:lineRule="auto"/>
            </w:pPr>
            <w:r w:rsidRPr="00267B69">
              <w:t>Report o</w:t>
            </w:r>
            <w:r w:rsidR="007851CB" w:rsidRPr="00267B69">
              <w:t>f the Working Party on its 103rd</w:t>
            </w:r>
            <w:r w:rsidRPr="00267B69">
              <w:t xml:space="preserve"> session (Geneva, </w:t>
            </w:r>
            <w:r w:rsidR="007851CB" w:rsidRPr="00267B69">
              <w:t>6</w:t>
            </w:r>
            <w:r w:rsidRPr="00267B69">
              <w:t xml:space="preserve"> to 1</w:t>
            </w:r>
            <w:r w:rsidR="007851CB" w:rsidRPr="00267B69">
              <w:t>0</w:t>
            </w:r>
            <w:r w:rsidRPr="00267B69">
              <w:t xml:space="preserve"> November 201</w:t>
            </w:r>
            <w:r w:rsidR="007851CB" w:rsidRPr="00267B69">
              <w:t>7</w:t>
            </w:r>
            <w:r w:rsidRPr="00267B69">
              <w:t xml:space="preserve">) </w:t>
            </w:r>
          </w:p>
        </w:tc>
      </w:tr>
      <w:tr w:rsidR="00C84FEA" w:rsidRPr="00C84FEA" w:rsidTr="0056757C">
        <w:trPr>
          <w:cantSplit/>
        </w:trPr>
        <w:tc>
          <w:tcPr>
            <w:tcW w:w="3402" w:type="dxa"/>
            <w:shd w:val="clear" w:color="auto" w:fill="auto"/>
          </w:tcPr>
          <w:p w:rsidR="0056757C" w:rsidRPr="00C84FEA" w:rsidRDefault="0056757C" w:rsidP="00DF6C26">
            <w:pPr>
              <w:spacing w:line="360" w:lineRule="auto"/>
              <w:ind w:right="99"/>
            </w:pPr>
            <w:r w:rsidRPr="00C84FEA">
              <w:t>ECE/TRANS/WP.15/240 (Secretariat)</w:t>
            </w:r>
          </w:p>
        </w:tc>
        <w:tc>
          <w:tcPr>
            <w:tcW w:w="3969" w:type="dxa"/>
            <w:shd w:val="clear" w:color="auto" w:fill="auto"/>
          </w:tcPr>
          <w:p w:rsidR="0056757C" w:rsidRPr="00C84FEA" w:rsidRDefault="0056757C" w:rsidP="009E7286">
            <w:pPr>
              <w:spacing w:after="240" w:line="240" w:lineRule="auto"/>
            </w:pPr>
            <w:r w:rsidRPr="00C84FEA">
              <w:t>Draft amendments to annexes A and B of ADR for entry into force on 1 January 2019</w:t>
            </w:r>
          </w:p>
        </w:tc>
      </w:tr>
      <w:tr w:rsidR="007851CB" w:rsidRPr="00267B69" w:rsidTr="0056757C">
        <w:trPr>
          <w:cantSplit/>
        </w:trPr>
        <w:tc>
          <w:tcPr>
            <w:tcW w:w="3402" w:type="dxa"/>
            <w:shd w:val="clear" w:color="auto" w:fill="auto"/>
          </w:tcPr>
          <w:p w:rsidR="00BF0CF2" w:rsidRPr="00267B69" w:rsidRDefault="00BF0CF2" w:rsidP="00CC2893">
            <w:pPr>
              <w:spacing w:line="240" w:lineRule="auto"/>
              <w:ind w:right="99"/>
            </w:pPr>
            <w:r w:rsidRPr="00267B69">
              <w:t>ECE/TRANS/257</w:t>
            </w:r>
            <w:r w:rsidR="0013299E" w:rsidRPr="00267B69">
              <w:t xml:space="preserve"> and -/Corr.1-2 and Annex III of ECE/TRANS/WP.15/237</w:t>
            </w:r>
          </w:p>
        </w:tc>
        <w:tc>
          <w:tcPr>
            <w:tcW w:w="3969" w:type="dxa"/>
            <w:shd w:val="clear" w:color="auto" w:fill="auto"/>
          </w:tcPr>
          <w:p w:rsidR="00BF0CF2" w:rsidRPr="00267B69" w:rsidRDefault="00BF0CF2" w:rsidP="00CC2893">
            <w:pPr>
              <w:spacing w:line="240" w:lineRule="auto"/>
            </w:pPr>
            <w:r w:rsidRPr="00267B69">
              <w:t>ADR applicable as from 1 January 2017</w:t>
            </w:r>
            <w:r w:rsidR="0013299E" w:rsidRPr="00267B69">
              <w:t xml:space="preserve"> as amended</w:t>
            </w:r>
          </w:p>
        </w:tc>
      </w:tr>
    </w:tbl>
    <w:p w:rsidR="00BF0CF2" w:rsidRPr="00267B69" w:rsidRDefault="00BF0CF2" w:rsidP="00BF0CF2">
      <w:pPr>
        <w:keepNext/>
        <w:keepLines/>
        <w:tabs>
          <w:tab w:val="right" w:pos="851"/>
        </w:tabs>
        <w:spacing w:before="360" w:after="240" w:line="300" w:lineRule="exact"/>
        <w:ind w:left="1134" w:right="1134" w:hanging="1134"/>
        <w:rPr>
          <w:b/>
          <w:sz w:val="28"/>
        </w:rPr>
      </w:pPr>
      <w:r w:rsidRPr="00267B69">
        <w:rPr>
          <w:b/>
          <w:sz w:val="28"/>
        </w:rPr>
        <w:tab/>
        <w:t>2.</w:t>
      </w:r>
      <w:r w:rsidRPr="00267B69">
        <w:rPr>
          <w:b/>
          <w:sz w:val="28"/>
        </w:rPr>
        <w:tab/>
      </w:r>
      <w:r w:rsidR="007851CB" w:rsidRPr="00267B69">
        <w:rPr>
          <w:b/>
          <w:sz w:val="28"/>
        </w:rPr>
        <w:t>Eightieth</w:t>
      </w:r>
      <w:r w:rsidRPr="00267B69">
        <w:rPr>
          <w:b/>
          <w:sz w:val="28"/>
        </w:rPr>
        <w:t xml:space="preserve"> session of the Inland Transport Committee</w:t>
      </w:r>
    </w:p>
    <w:p w:rsidR="0013299E" w:rsidRPr="00267B69" w:rsidRDefault="0013299E" w:rsidP="00933D40">
      <w:pPr>
        <w:pStyle w:val="SingleTxtG"/>
      </w:pPr>
      <w:r w:rsidRPr="00267B69">
        <w:rPr>
          <w:lang w:val="en-GB"/>
        </w:rPr>
        <w:t xml:space="preserve">The list of main decisions (ITC Informal document No. 13) is available in English, French and Russian at </w:t>
      </w:r>
      <w:hyperlink r:id="rId8" w:history="1">
        <w:r w:rsidRPr="00267B69">
          <w:rPr>
            <w:rStyle w:val="Hyperlink"/>
            <w:lang w:val="en-GB"/>
          </w:rPr>
          <w:t>http://www.unece.org/trans/main/itc/itc_main_decisions_2018.html</w:t>
        </w:r>
      </w:hyperlink>
    </w:p>
    <w:p w:rsidR="0013299E" w:rsidRPr="00267B69" w:rsidRDefault="0013299E" w:rsidP="00933D40">
      <w:pPr>
        <w:pStyle w:val="SingleTxtG"/>
      </w:pPr>
      <w:r w:rsidRPr="00267B69">
        <w:rPr>
          <w:lang w:val="en-GB"/>
        </w:rPr>
        <w:t xml:space="preserve">The report of the ITC on its eightieth session </w:t>
      </w:r>
      <w:r w:rsidR="00234DF2" w:rsidRPr="00267B69">
        <w:rPr>
          <w:lang w:val="en-GB"/>
        </w:rPr>
        <w:t xml:space="preserve">(ECE/TRANS/274 and -/Add.1) </w:t>
      </w:r>
      <w:r w:rsidRPr="00267B69">
        <w:rPr>
          <w:lang w:val="en-GB"/>
        </w:rPr>
        <w:t xml:space="preserve">is available in English at </w:t>
      </w:r>
      <w:hyperlink r:id="rId9" w:history="1">
        <w:r w:rsidRPr="00267B69">
          <w:rPr>
            <w:rStyle w:val="Hyperlink"/>
            <w:lang w:val="en-GB"/>
          </w:rPr>
          <w:t>http://www.unece.org/trans/main/itc/itc_rep.html</w:t>
        </w:r>
      </w:hyperlink>
    </w:p>
    <w:p w:rsidR="00BF0CF2" w:rsidRPr="00267B69" w:rsidRDefault="00BF0CF2" w:rsidP="00BF0CF2">
      <w:pPr>
        <w:keepNext/>
        <w:keepLines/>
        <w:tabs>
          <w:tab w:val="right" w:pos="851"/>
        </w:tabs>
        <w:spacing w:before="360" w:after="240" w:line="300" w:lineRule="exact"/>
        <w:ind w:left="1134" w:right="1134" w:hanging="1134"/>
        <w:rPr>
          <w:b/>
          <w:sz w:val="28"/>
        </w:rPr>
      </w:pPr>
      <w:r w:rsidRPr="00267B69">
        <w:rPr>
          <w:b/>
          <w:sz w:val="28"/>
        </w:rPr>
        <w:lastRenderedPageBreak/>
        <w:tab/>
        <w:t>3.</w:t>
      </w:r>
      <w:r w:rsidRPr="00267B69">
        <w:rPr>
          <w:b/>
          <w:sz w:val="28"/>
        </w:rPr>
        <w:tab/>
        <w:t>Status of the European Agreement concerning the International Carriage of Dangerous Goods by Road (ADR) and related issues</w:t>
      </w:r>
    </w:p>
    <w:p w:rsidR="0013299E" w:rsidRPr="00267B69" w:rsidRDefault="0013299E" w:rsidP="00CC2893">
      <w:pPr>
        <w:pStyle w:val="SingleTxtG"/>
      </w:pPr>
      <w:r w:rsidRPr="00267B69">
        <w:rPr>
          <w:lang w:val="en-GB"/>
        </w:rPr>
        <w:tab/>
      </w:r>
      <w:r w:rsidRPr="00267B69">
        <w:rPr>
          <w:lang w:val="en-GB"/>
        </w:rPr>
        <w:tab/>
        <w:t>A member of the secretariat will inform the Working Party of the status of ADR, the Protocol of amendment of 1993, special agreements and notifications in accordance with Chapter 1.9.</w:t>
      </w:r>
    </w:p>
    <w:p w:rsidR="00234DF2" w:rsidRPr="00267B69" w:rsidRDefault="00234DF2" w:rsidP="00CC2893">
      <w:pPr>
        <w:pStyle w:val="SingleTxtG"/>
      </w:pPr>
      <w:r w:rsidRPr="00267B69">
        <w:rPr>
          <w:lang w:val="en-GB"/>
        </w:rPr>
        <w:tab/>
      </w:r>
      <w:r w:rsidRPr="00267B69">
        <w:rPr>
          <w:lang w:val="en-GB"/>
        </w:rPr>
        <w:tab/>
        <w:t xml:space="preserve">With the accession of San Marino (15 January 2018), the number of Contracting Parties to ADR has risen to 50. </w:t>
      </w:r>
    </w:p>
    <w:p w:rsidR="0013299E" w:rsidRPr="00267B69" w:rsidRDefault="00234DF2" w:rsidP="00CC2893">
      <w:pPr>
        <w:pStyle w:val="SingleTxtG"/>
      </w:pPr>
      <w:r w:rsidRPr="00267B69">
        <w:rPr>
          <w:lang w:val="en-GB"/>
        </w:rPr>
        <w:tab/>
      </w:r>
      <w:r w:rsidRPr="00267B69">
        <w:rPr>
          <w:lang w:val="en-GB"/>
        </w:rPr>
        <w:tab/>
        <w:t>At the time of drafting this document, there were no changes to the status of the Protocol of amendment of 1993 (36 Contracting States) since the last session. During the eightieth session of the ITC, the representative of Tunisia informed the Committee that Tunisia had already taken the necessary steps and that the instrument of accession should soon be deposited with the Secretary-General of the United Nations (see ECE/TRANS/274, par. 96).</w:t>
      </w:r>
    </w:p>
    <w:p w:rsidR="00BF0CF2" w:rsidRPr="00267B69" w:rsidRDefault="00BF0CF2" w:rsidP="00BF0CF2">
      <w:pPr>
        <w:keepNext/>
        <w:keepLines/>
        <w:tabs>
          <w:tab w:val="right" w:pos="851"/>
        </w:tabs>
        <w:spacing w:before="360" w:after="240" w:line="300" w:lineRule="exact"/>
        <w:ind w:left="1134" w:right="1134" w:hanging="1134"/>
        <w:rPr>
          <w:b/>
          <w:sz w:val="28"/>
        </w:rPr>
      </w:pPr>
      <w:r w:rsidRPr="00267B69">
        <w:rPr>
          <w:b/>
          <w:sz w:val="28"/>
        </w:rPr>
        <w:tab/>
        <w:t>4.</w:t>
      </w:r>
      <w:r w:rsidRPr="00267B69">
        <w:rPr>
          <w:b/>
          <w:sz w:val="28"/>
        </w:rPr>
        <w:tab/>
        <w:t xml:space="preserve">Work of the RID/ADR/ADN Joint Meeting </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851CB" w:rsidRPr="00267B69" w:rsidTr="0056757C">
        <w:trPr>
          <w:cantSplit/>
        </w:trPr>
        <w:tc>
          <w:tcPr>
            <w:tcW w:w="3402" w:type="dxa"/>
            <w:shd w:val="clear" w:color="auto" w:fill="auto"/>
          </w:tcPr>
          <w:p w:rsidR="007851CB" w:rsidRPr="00267B69" w:rsidRDefault="007851CB" w:rsidP="00230D5A">
            <w:pPr>
              <w:spacing w:after="60"/>
              <w:ind w:right="99"/>
            </w:pPr>
            <w:r w:rsidRPr="00267B69">
              <w:t>ECE/TRANS/WP.15/AC.1/</w:t>
            </w:r>
            <w:r w:rsidR="000D3E3E" w:rsidRPr="00267B69">
              <w:t>148, -/Add.1 + -/Add.2</w:t>
            </w:r>
            <w:r w:rsidRPr="00267B69">
              <w:t xml:space="preserve"> (Secretariat)</w:t>
            </w:r>
          </w:p>
        </w:tc>
        <w:tc>
          <w:tcPr>
            <w:tcW w:w="3969" w:type="dxa"/>
            <w:shd w:val="clear" w:color="auto" w:fill="auto"/>
          </w:tcPr>
          <w:p w:rsidR="007851CB" w:rsidRPr="00267B69" w:rsidRDefault="007851CB" w:rsidP="00230D5A">
            <w:pPr>
              <w:spacing w:after="60"/>
              <w:ind w:right="99"/>
            </w:pPr>
            <w:r w:rsidRPr="00267B69">
              <w:t xml:space="preserve">Report of the Joint Meeting on its </w:t>
            </w:r>
            <w:r w:rsidR="000D3E3E" w:rsidRPr="00267B69">
              <w:t>autumn 2017</w:t>
            </w:r>
            <w:r w:rsidRPr="00267B69">
              <w:t xml:space="preserve"> session</w:t>
            </w:r>
            <w:r w:rsidR="000D3E3E" w:rsidRPr="00267B69">
              <w:t xml:space="preserve"> (pending issue: 6.8.2.1.18, see ECE/TRANS/WP.15/239, paragraph 28)</w:t>
            </w:r>
          </w:p>
        </w:tc>
      </w:tr>
      <w:tr w:rsidR="007C38EF" w:rsidRPr="00267B69" w:rsidTr="0056757C">
        <w:trPr>
          <w:cantSplit/>
        </w:trPr>
        <w:tc>
          <w:tcPr>
            <w:tcW w:w="3402" w:type="dxa"/>
            <w:shd w:val="clear" w:color="auto" w:fill="auto"/>
          </w:tcPr>
          <w:p w:rsidR="007C38EF" w:rsidRPr="00267B69" w:rsidRDefault="00426D77">
            <w:pPr>
              <w:spacing w:after="60"/>
              <w:ind w:right="99"/>
            </w:pPr>
            <w:r>
              <w:t>ECE/TRANS/WP.15/AC.1/150</w:t>
            </w:r>
            <w:r w:rsidR="007C38EF" w:rsidRPr="007C38EF">
              <w:t xml:space="preserve"> </w:t>
            </w:r>
            <w:r>
              <w:br/>
            </w:r>
            <w:r w:rsidR="007C38EF">
              <w:t>and -/Add.1</w:t>
            </w:r>
            <w:r>
              <w:t xml:space="preserve"> </w:t>
            </w:r>
            <w:r w:rsidRPr="007C38EF">
              <w:t>(Secretariat)</w:t>
            </w:r>
          </w:p>
        </w:tc>
        <w:tc>
          <w:tcPr>
            <w:tcW w:w="3969" w:type="dxa"/>
            <w:shd w:val="clear" w:color="auto" w:fill="auto"/>
          </w:tcPr>
          <w:p w:rsidR="007C38EF" w:rsidRPr="00267B69" w:rsidRDefault="007C38EF" w:rsidP="00230D5A">
            <w:pPr>
              <w:spacing w:after="60"/>
              <w:ind w:right="99"/>
            </w:pPr>
            <w:r w:rsidRPr="007C38EF">
              <w:t>Report of the Joint Meeting on its spring 2018 session</w:t>
            </w:r>
            <w:r>
              <w:t xml:space="preserve"> (not yet available in all languages)</w:t>
            </w:r>
          </w:p>
        </w:tc>
      </w:tr>
      <w:tr w:rsidR="007C38EF" w:rsidRPr="00267B69" w:rsidTr="0056757C">
        <w:trPr>
          <w:cantSplit/>
        </w:trPr>
        <w:tc>
          <w:tcPr>
            <w:tcW w:w="3402" w:type="dxa"/>
            <w:shd w:val="clear" w:color="auto" w:fill="auto"/>
          </w:tcPr>
          <w:p w:rsidR="007C38EF" w:rsidRPr="00267B69" w:rsidRDefault="007C38EF" w:rsidP="00400555">
            <w:pPr>
              <w:spacing w:after="60"/>
              <w:ind w:right="99"/>
            </w:pPr>
            <w:r>
              <w:t xml:space="preserve">+ </w:t>
            </w:r>
            <w:r w:rsidRPr="00267B69">
              <w:t>INF.14 (Secretariat)</w:t>
            </w:r>
          </w:p>
        </w:tc>
        <w:tc>
          <w:tcPr>
            <w:tcW w:w="3969" w:type="dxa"/>
            <w:shd w:val="clear" w:color="auto" w:fill="auto"/>
          </w:tcPr>
          <w:p w:rsidR="007C38EF" w:rsidRPr="00267B69" w:rsidRDefault="007C38EF" w:rsidP="00400555">
            <w:pPr>
              <w:spacing w:after="60"/>
              <w:ind w:right="99"/>
            </w:pPr>
            <w:r w:rsidRPr="00267B69">
              <w:t>Texts adopted by the Joint Meeting: amendments to ADR for entry into force on 1 January 2019</w:t>
            </w:r>
          </w:p>
        </w:tc>
      </w:tr>
      <w:tr w:rsidR="007C38EF" w:rsidRPr="00267B69" w:rsidTr="0056757C">
        <w:trPr>
          <w:cantSplit/>
        </w:trPr>
        <w:tc>
          <w:tcPr>
            <w:tcW w:w="3402" w:type="dxa"/>
            <w:shd w:val="clear" w:color="auto" w:fill="auto"/>
          </w:tcPr>
          <w:p w:rsidR="007C38EF" w:rsidRPr="00267B69" w:rsidRDefault="007C38EF" w:rsidP="0070423F">
            <w:pPr>
              <w:spacing w:after="60"/>
              <w:ind w:right="99"/>
            </w:pPr>
            <w:r>
              <w:t xml:space="preserve">+ </w:t>
            </w:r>
            <w:r w:rsidRPr="00267B69">
              <w:t>INF.15 (Secretariat)</w:t>
            </w:r>
          </w:p>
        </w:tc>
        <w:tc>
          <w:tcPr>
            <w:tcW w:w="3969" w:type="dxa"/>
            <w:shd w:val="clear" w:color="auto" w:fill="auto"/>
          </w:tcPr>
          <w:p w:rsidR="007C38EF" w:rsidRPr="00267B69" w:rsidRDefault="007C38EF" w:rsidP="0070423F">
            <w:pPr>
              <w:spacing w:after="60"/>
              <w:ind w:right="99"/>
            </w:pPr>
            <w:r w:rsidRPr="00267B69">
              <w:t>Corrections to the draft amendments to ADR for entry into force on 1 January 2019 (ECE/TRANS/WP.15/240)</w:t>
            </w:r>
          </w:p>
        </w:tc>
      </w:tr>
      <w:tr w:rsidR="00C84FEA" w:rsidRPr="00C84FEA" w:rsidTr="0056757C">
        <w:trPr>
          <w:cantSplit/>
        </w:trPr>
        <w:tc>
          <w:tcPr>
            <w:tcW w:w="3402" w:type="dxa"/>
            <w:shd w:val="clear" w:color="auto" w:fill="auto"/>
          </w:tcPr>
          <w:p w:rsidR="003E2BCC" w:rsidRPr="00C84FEA" w:rsidRDefault="003E2BCC" w:rsidP="003E2BCC">
            <w:pPr>
              <w:spacing w:after="60"/>
              <w:ind w:right="99"/>
            </w:pPr>
            <w:r w:rsidRPr="00C84FEA">
              <w:t>+ INF.19 (Germany)</w:t>
            </w:r>
          </w:p>
        </w:tc>
        <w:tc>
          <w:tcPr>
            <w:tcW w:w="3969" w:type="dxa"/>
            <w:shd w:val="clear" w:color="auto" w:fill="auto"/>
          </w:tcPr>
          <w:p w:rsidR="003E2BCC" w:rsidRPr="00C84FEA" w:rsidRDefault="003E2BCC" w:rsidP="003E2BCC">
            <w:pPr>
              <w:spacing w:after="60"/>
              <w:ind w:right="99"/>
            </w:pPr>
            <w:r w:rsidRPr="00C84FEA">
              <w:t>Update of standard EN 590:2013 + A1:2014 in accordance with the Report of the Standards Working Group – 28th meeting</w:t>
            </w:r>
          </w:p>
        </w:tc>
      </w:tr>
      <w:tr w:rsidR="007C38EF" w:rsidRPr="00267B69" w:rsidTr="0056757C">
        <w:trPr>
          <w:cantSplit/>
        </w:trPr>
        <w:tc>
          <w:tcPr>
            <w:tcW w:w="3402" w:type="dxa"/>
            <w:shd w:val="clear" w:color="auto" w:fill="auto"/>
          </w:tcPr>
          <w:p w:rsidR="007C38EF" w:rsidRPr="00267B69" w:rsidRDefault="007C38EF" w:rsidP="00B7793C">
            <w:pPr>
              <w:spacing w:after="60"/>
              <w:ind w:right="99"/>
            </w:pPr>
            <w:r>
              <w:t xml:space="preserve">+ </w:t>
            </w:r>
            <w:r w:rsidRPr="00267B69">
              <w:t>INF.20 (Secretariat)</w:t>
            </w:r>
          </w:p>
        </w:tc>
        <w:tc>
          <w:tcPr>
            <w:tcW w:w="3969" w:type="dxa"/>
            <w:shd w:val="clear" w:color="auto" w:fill="auto"/>
          </w:tcPr>
          <w:p w:rsidR="007C38EF" w:rsidRPr="00267B69" w:rsidRDefault="007C38EF" w:rsidP="00B7793C">
            <w:pPr>
              <w:spacing w:after="60"/>
              <w:ind w:right="99"/>
            </w:pPr>
            <w:r w:rsidRPr="00267B69">
              <w:t>Guidelines for the application of EN 13094:2015 for compliance with ADR 2017 and 2019</w:t>
            </w:r>
          </w:p>
        </w:tc>
      </w:tr>
      <w:tr w:rsidR="00575C6F" w:rsidRPr="00267B69" w:rsidTr="0056757C">
        <w:trPr>
          <w:cantSplit/>
        </w:trPr>
        <w:tc>
          <w:tcPr>
            <w:tcW w:w="3402" w:type="dxa"/>
            <w:shd w:val="clear" w:color="auto" w:fill="auto"/>
          </w:tcPr>
          <w:p w:rsidR="00575C6F" w:rsidRPr="00267B69" w:rsidRDefault="00575C6F" w:rsidP="00230D5A">
            <w:pPr>
              <w:spacing w:after="60"/>
              <w:ind w:right="99"/>
            </w:pPr>
            <w:r w:rsidRPr="00267B69">
              <w:t>INF.6 (France)</w:t>
            </w:r>
          </w:p>
        </w:tc>
        <w:tc>
          <w:tcPr>
            <w:tcW w:w="3969" w:type="dxa"/>
            <w:shd w:val="clear" w:color="auto" w:fill="auto"/>
          </w:tcPr>
          <w:p w:rsidR="00575C6F" w:rsidRPr="00267B69" w:rsidRDefault="00575C6F" w:rsidP="00230D5A">
            <w:pPr>
              <w:spacing w:after="60"/>
              <w:ind w:right="99"/>
            </w:pPr>
            <w:r w:rsidRPr="00267B69">
              <w:t>Correction of the French version of P006 and LP03</w:t>
            </w:r>
          </w:p>
        </w:tc>
      </w:tr>
      <w:tr w:rsidR="00BD43A5" w:rsidRPr="00267B69" w:rsidTr="0056757C">
        <w:trPr>
          <w:cantSplit/>
        </w:trPr>
        <w:tc>
          <w:tcPr>
            <w:tcW w:w="3402" w:type="dxa"/>
            <w:shd w:val="clear" w:color="auto" w:fill="auto"/>
          </w:tcPr>
          <w:p w:rsidR="00BD43A5" w:rsidRPr="00267B69" w:rsidRDefault="00BD43A5" w:rsidP="00230D5A">
            <w:pPr>
              <w:spacing w:after="60"/>
              <w:ind w:right="99"/>
            </w:pPr>
            <w:r w:rsidRPr="00267B69">
              <w:t>INF.7 (France)</w:t>
            </w:r>
          </w:p>
        </w:tc>
        <w:tc>
          <w:tcPr>
            <w:tcW w:w="3969" w:type="dxa"/>
            <w:shd w:val="clear" w:color="auto" w:fill="auto"/>
          </w:tcPr>
          <w:p w:rsidR="00BD43A5" w:rsidRPr="00267B69" w:rsidRDefault="00BD43A5" w:rsidP="00230D5A">
            <w:pPr>
              <w:spacing w:after="60"/>
              <w:ind w:right="99"/>
            </w:pPr>
            <w:r w:rsidRPr="00267B69">
              <w:t>Correction of the French version of Special provision 388</w:t>
            </w:r>
          </w:p>
        </w:tc>
      </w:tr>
      <w:tr w:rsidR="00110611" w:rsidRPr="00267B69" w:rsidTr="0056757C">
        <w:trPr>
          <w:cantSplit/>
        </w:trPr>
        <w:tc>
          <w:tcPr>
            <w:tcW w:w="3402" w:type="dxa"/>
            <w:shd w:val="clear" w:color="auto" w:fill="auto"/>
          </w:tcPr>
          <w:p w:rsidR="00110611" w:rsidRPr="00267B69" w:rsidRDefault="00110611" w:rsidP="00230D5A">
            <w:pPr>
              <w:spacing w:after="60"/>
              <w:ind w:right="99"/>
            </w:pPr>
            <w:r w:rsidRPr="00267B69">
              <w:t>INF.11 (France)</w:t>
            </w:r>
          </w:p>
        </w:tc>
        <w:tc>
          <w:tcPr>
            <w:tcW w:w="3969" w:type="dxa"/>
            <w:shd w:val="clear" w:color="auto" w:fill="auto"/>
          </w:tcPr>
          <w:p w:rsidR="00110611" w:rsidRPr="00267B69" w:rsidRDefault="00110611" w:rsidP="00230D5A">
            <w:pPr>
              <w:spacing w:after="60"/>
              <w:ind w:right="99"/>
            </w:pPr>
            <w:r w:rsidRPr="00267B69">
              <w:t>Correction of the French version of Special provision 251</w:t>
            </w:r>
          </w:p>
        </w:tc>
      </w:tr>
      <w:tr w:rsidR="00110611" w:rsidRPr="00267B69" w:rsidTr="0056757C">
        <w:trPr>
          <w:cantSplit/>
        </w:trPr>
        <w:tc>
          <w:tcPr>
            <w:tcW w:w="3402" w:type="dxa"/>
            <w:shd w:val="clear" w:color="auto" w:fill="auto"/>
          </w:tcPr>
          <w:p w:rsidR="00110611" w:rsidRPr="00267B69" w:rsidRDefault="00110611" w:rsidP="00230D5A">
            <w:pPr>
              <w:spacing w:after="60"/>
              <w:ind w:right="99"/>
            </w:pPr>
            <w:r w:rsidRPr="00267B69">
              <w:t>INF.12 (France)</w:t>
            </w:r>
          </w:p>
        </w:tc>
        <w:tc>
          <w:tcPr>
            <w:tcW w:w="3969" w:type="dxa"/>
            <w:shd w:val="clear" w:color="auto" w:fill="auto"/>
          </w:tcPr>
          <w:p w:rsidR="00110611" w:rsidRPr="00267B69" w:rsidRDefault="00110611" w:rsidP="00230D5A">
            <w:pPr>
              <w:spacing w:after="60"/>
              <w:ind w:right="99"/>
            </w:pPr>
            <w:r w:rsidRPr="00267B69">
              <w:t>Correction of the French version of P801</w:t>
            </w:r>
          </w:p>
        </w:tc>
      </w:tr>
      <w:tr w:rsidR="000A309E" w:rsidRPr="00267B69" w:rsidTr="0056757C">
        <w:trPr>
          <w:cantSplit/>
        </w:trPr>
        <w:tc>
          <w:tcPr>
            <w:tcW w:w="3402" w:type="dxa"/>
            <w:shd w:val="clear" w:color="auto" w:fill="auto"/>
          </w:tcPr>
          <w:p w:rsidR="000A309E" w:rsidRPr="00267B69" w:rsidRDefault="005D4078" w:rsidP="00230D5A">
            <w:pPr>
              <w:spacing w:after="60"/>
              <w:ind w:right="99"/>
            </w:pPr>
            <w:r w:rsidRPr="00267B69">
              <w:t>I</w:t>
            </w:r>
            <w:r w:rsidR="000A309E" w:rsidRPr="00267B69">
              <w:t>NF.21 (Belgium)</w:t>
            </w:r>
          </w:p>
        </w:tc>
        <w:tc>
          <w:tcPr>
            <w:tcW w:w="3969" w:type="dxa"/>
            <w:shd w:val="clear" w:color="auto" w:fill="auto"/>
          </w:tcPr>
          <w:p w:rsidR="000A309E" w:rsidRPr="00267B69" w:rsidRDefault="000A309E" w:rsidP="00F12D83">
            <w:pPr>
              <w:spacing w:after="60"/>
              <w:ind w:right="99"/>
              <w:rPr>
                <w:b/>
                <w:bCs/>
              </w:rPr>
            </w:pPr>
            <w:r w:rsidRPr="00267B69">
              <w:t xml:space="preserve">Alignment of the French wording between paragraphs 2.2.61.1.4 and 2.2.8.1.3 on the one hand and paragraphs </w:t>
            </w:r>
            <w:r w:rsidRPr="00267B69">
              <w:rPr>
                <w:lang w:eastAsia="de-DE"/>
              </w:rPr>
              <w:t xml:space="preserve">4.3.2.2.1 (c) and </w:t>
            </w:r>
            <w:r w:rsidRPr="00267B69">
              <w:t>5.3.2.3.2 on the other hand</w:t>
            </w:r>
          </w:p>
        </w:tc>
      </w:tr>
      <w:tr w:rsidR="00C84FEA" w:rsidRPr="00C84FEA" w:rsidTr="0056757C">
        <w:trPr>
          <w:cantSplit/>
        </w:trPr>
        <w:tc>
          <w:tcPr>
            <w:tcW w:w="3402" w:type="dxa"/>
            <w:shd w:val="clear" w:color="auto" w:fill="auto"/>
          </w:tcPr>
          <w:p w:rsidR="00785B28" w:rsidRPr="00C84FEA" w:rsidRDefault="00785B28" w:rsidP="00230D5A">
            <w:pPr>
              <w:spacing w:after="60"/>
              <w:ind w:right="99"/>
            </w:pPr>
            <w:r w:rsidRPr="00C84FEA">
              <w:t>INF.25 (France)</w:t>
            </w:r>
          </w:p>
        </w:tc>
        <w:tc>
          <w:tcPr>
            <w:tcW w:w="3969" w:type="dxa"/>
            <w:shd w:val="clear" w:color="auto" w:fill="auto"/>
          </w:tcPr>
          <w:p w:rsidR="00785B28" w:rsidRPr="00C84FEA" w:rsidRDefault="00785B28" w:rsidP="00F12D83">
            <w:pPr>
              <w:spacing w:after="60"/>
              <w:ind w:right="99"/>
            </w:pPr>
            <w:r w:rsidRPr="00C84FEA">
              <w:t>Clarification of the wording in 1.8.3.1 and correction of the French version of 1.6.1.44</w:t>
            </w:r>
          </w:p>
        </w:tc>
      </w:tr>
      <w:tr w:rsidR="00C84FEA" w:rsidRPr="00C84FEA" w:rsidTr="0056757C">
        <w:trPr>
          <w:cantSplit/>
        </w:trPr>
        <w:tc>
          <w:tcPr>
            <w:tcW w:w="3402" w:type="dxa"/>
            <w:shd w:val="clear" w:color="auto" w:fill="auto"/>
          </w:tcPr>
          <w:p w:rsidR="00785B28" w:rsidRPr="00C84FEA" w:rsidRDefault="00785B28" w:rsidP="00230D5A">
            <w:pPr>
              <w:spacing w:after="60"/>
              <w:ind w:right="99"/>
            </w:pPr>
            <w:bookmarkStart w:id="0" w:name="_GoBack"/>
            <w:bookmarkEnd w:id="0"/>
            <w:r w:rsidRPr="00C84FEA">
              <w:lastRenderedPageBreak/>
              <w:t>INF.26 (France)</w:t>
            </w:r>
          </w:p>
        </w:tc>
        <w:tc>
          <w:tcPr>
            <w:tcW w:w="3969" w:type="dxa"/>
            <w:shd w:val="clear" w:color="auto" w:fill="auto"/>
          </w:tcPr>
          <w:p w:rsidR="00785B28" w:rsidRPr="00C84FEA" w:rsidRDefault="00785B28" w:rsidP="00F12D83">
            <w:pPr>
              <w:spacing w:after="60"/>
              <w:ind w:right="99"/>
            </w:pPr>
            <w:r w:rsidRPr="00C84FEA">
              <w:t>Consequential amendment to the French version of 1.8.7.2.5</w:t>
            </w:r>
          </w:p>
        </w:tc>
      </w:tr>
    </w:tbl>
    <w:p w:rsidR="00BF0CF2" w:rsidRPr="00267B69" w:rsidRDefault="00BF0CF2" w:rsidP="00BF0CF2">
      <w:pPr>
        <w:pStyle w:val="HChG"/>
        <w:ind w:left="0" w:firstLine="0"/>
        <w:rPr>
          <w:lang w:val="en-GB"/>
        </w:rPr>
      </w:pPr>
      <w:r w:rsidRPr="00267B69">
        <w:rPr>
          <w:lang w:val="en-GB"/>
        </w:rPr>
        <w:tab/>
        <w:t>5.</w:t>
      </w:r>
      <w:r w:rsidRPr="00267B69">
        <w:rPr>
          <w:lang w:val="en-GB"/>
        </w:rPr>
        <w:tab/>
        <w:t>Proposals for amendments to annexes A and B of ADR</w:t>
      </w:r>
    </w:p>
    <w:p w:rsidR="00BF0CF2" w:rsidRPr="00267B69" w:rsidRDefault="00BF0CF2" w:rsidP="00BF0CF2">
      <w:pPr>
        <w:pStyle w:val="H1G"/>
      </w:pPr>
      <w:r w:rsidRPr="00267B69">
        <w:tab/>
        <w:t>(a)</w:t>
      </w:r>
      <w:r w:rsidRPr="00267B69">
        <w:tab/>
        <w:t>Construction and approval of vehicles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A27BC" w:rsidRPr="00267B69" w:rsidTr="00F876D6">
        <w:trPr>
          <w:cantSplit/>
        </w:trPr>
        <w:tc>
          <w:tcPr>
            <w:tcW w:w="3402" w:type="dxa"/>
            <w:shd w:val="clear" w:color="auto" w:fill="auto"/>
          </w:tcPr>
          <w:p w:rsidR="004A27BC" w:rsidRPr="00267B69" w:rsidRDefault="004A27BC" w:rsidP="00F876D6">
            <w:pPr>
              <w:spacing w:after="60"/>
              <w:ind w:right="99"/>
            </w:pPr>
            <w:r w:rsidRPr="00267B69">
              <w:t>INF.4 (Germany)</w:t>
            </w:r>
          </w:p>
        </w:tc>
        <w:tc>
          <w:tcPr>
            <w:tcW w:w="3969" w:type="dxa"/>
            <w:shd w:val="clear" w:color="auto" w:fill="auto"/>
          </w:tcPr>
          <w:p w:rsidR="004A27BC" w:rsidRPr="00267B69" w:rsidRDefault="004A27BC" w:rsidP="00F876D6">
            <w:pPr>
              <w:spacing w:after="60"/>
              <w:ind w:right="99"/>
            </w:pPr>
            <w:r w:rsidRPr="00267B69">
              <w:t>Report of the first informal WP.15 Working Group meeting on “Clarification of 9.3.4.2 ADR”</w:t>
            </w:r>
          </w:p>
        </w:tc>
      </w:tr>
      <w:tr w:rsidR="00BF0CF2" w:rsidRPr="00267B69" w:rsidTr="00DB11D5">
        <w:trPr>
          <w:cantSplit/>
        </w:trPr>
        <w:tc>
          <w:tcPr>
            <w:tcW w:w="3402" w:type="dxa"/>
            <w:shd w:val="clear" w:color="auto" w:fill="auto"/>
          </w:tcPr>
          <w:p w:rsidR="00BF0CF2" w:rsidRPr="00267B69" w:rsidRDefault="00110611" w:rsidP="00F71BEF">
            <w:pPr>
              <w:spacing w:after="120" w:line="240" w:lineRule="auto"/>
              <w:ind w:right="96"/>
            </w:pPr>
            <w:r w:rsidRPr="00267B69">
              <w:t>INF.10 (Russian Federation)</w:t>
            </w:r>
          </w:p>
        </w:tc>
        <w:tc>
          <w:tcPr>
            <w:tcW w:w="3969" w:type="dxa"/>
            <w:shd w:val="clear" w:color="auto" w:fill="auto"/>
          </w:tcPr>
          <w:p w:rsidR="00BF0CF2" w:rsidRPr="00267B69" w:rsidRDefault="00110611" w:rsidP="00F71BEF">
            <w:pPr>
              <w:spacing w:after="120" w:line="240" w:lineRule="auto"/>
              <w:ind w:right="96"/>
            </w:pPr>
            <w:r w:rsidRPr="00267B69">
              <w:t>The interpretation of Section 9.2.5 «Speed limitation device» ADR</w:t>
            </w:r>
          </w:p>
        </w:tc>
      </w:tr>
      <w:tr w:rsidR="00C84FEA" w:rsidRPr="00C84FEA" w:rsidTr="00DB11D5">
        <w:trPr>
          <w:cantSplit/>
        </w:trPr>
        <w:tc>
          <w:tcPr>
            <w:tcW w:w="3402" w:type="dxa"/>
            <w:shd w:val="clear" w:color="auto" w:fill="auto"/>
          </w:tcPr>
          <w:p w:rsidR="00505920" w:rsidRPr="00C84FEA" w:rsidRDefault="00505920" w:rsidP="00F71BEF">
            <w:pPr>
              <w:spacing w:after="120" w:line="240" w:lineRule="auto"/>
              <w:ind w:right="96"/>
            </w:pPr>
            <w:r w:rsidRPr="00C84FEA">
              <w:t>INF.27 (United Kingdom)</w:t>
            </w:r>
          </w:p>
        </w:tc>
        <w:tc>
          <w:tcPr>
            <w:tcW w:w="3969" w:type="dxa"/>
            <w:shd w:val="clear" w:color="auto" w:fill="auto"/>
          </w:tcPr>
          <w:p w:rsidR="00505920" w:rsidRPr="00C84FEA" w:rsidRDefault="00505920" w:rsidP="00F71BEF">
            <w:pPr>
              <w:spacing w:after="120" w:line="240" w:lineRule="auto"/>
              <w:ind w:right="96"/>
            </w:pPr>
            <w:r w:rsidRPr="00C84FEA">
              <w:t>Tanks: First inspection waiver for EX/II, EX/III, FL and AT vehicles and MEMUs type-approved in accordance with 9.1.2.2 and for which a declaration of conformity with the requirements of Chapter 9.2 has been issued</w:t>
            </w:r>
          </w:p>
        </w:tc>
      </w:tr>
    </w:tbl>
    <w:p w:rsidR="00BF0CF2" w:rsidRPr="00267B69" w:rsidRDefault="00BF0CF2" w:rsidP="00BF0CF2">
      <w:pPr>
        <w:pStyle w:val="H1G"/>
      </w:pPr>
      <w:r w:rsidRPr="00267B69">
        <w:tab/>
        <w:t>(b)</w:t>
      </w:r>
      <w:r w:rsidRPr="00267B69">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D02987" w:rsidRPr="00267B69" w:rsidTr="00230D5A">
        <w:trPr>
          <w:cantSplit/>
        </w:trPr>
        <w:tc>
          <w:tcPr>
            <w:tcW w:w="3402" w:type="dxa"/>
            <w:shd w:val="clear" w:color="auto" w:fill="auto"/>
          </w:tcPr>
          <w:p w:rsidR="00D02987" w:rsidRPr="00267B69" w:rsidRDefault="00D02987" w:rsidP="00230D5A">
            <w:pPr>
              <w:spacing w:after="60"/>
              <w:ind w:right="99"/>
            </w:pPr>
            <w:r w:rsidRPr="00267B69">
              <w:t>ECE/TRANS/WP.15/237, Annex I</w:t>
            </w:r>
          </w:p>
        </w:tc>
        <w:tc>
          <w:tcPr>
            <w:tcW w:w="3969" w:type="dxa"/>
            <w:shd w:val="clear" w:color="auto" w:fill="auto"/>
          </w:tcPr>
          <w:p w:rsidR="00D02987" w:rsidRPr="00267B69" w:rsidRDefault="00D02987" w:rsidP="00230D5A">
            <w:pPr>
              <w:spacing w:after="60"/>
              <w:ind w:right="99"/>
            </w:pPr>
            <w:r w:rsidRPr="00267B69">
              <w:t>Report of the Working Party on its 102</w:t>
            </w:r>
            <w:r w:rsidRPr="00267B69">
              <w:rPr>
                <w:vertAlign w:val="superscript"/>
              </w:rPr>
              <w:t>nd</w:t>
            </w:r>
            <w:r w:rsidRPr="00267B69">
              <w:t xml:space="preserve"> session (pending issue: 2.3.2.1.6, see ECE/TRANS/WP.15/239, paragraphs 26-27)</w:t>
            </w:r>
          </w:p>
        </w:tc>
      </w:tr>
      <w:tr w:rsidR="00426D77" w:rsidRPr="00426D77" w:rsidTr="00230D5A">
        <w:trPr>
          <w:cantSplit/>
        </w:trPr>
        <w:tc>
          <w:tcPr>
            <w:tcW w:w="3402" w:type="dxa"/>
            <w:shd w:val="clear" w:color="auto" w:fill="auto"/>
          </w:tcPr>
          <w:p w:rsidR="007851CB" w:rsidRPr="00426D77" w:rsidRDefault="007851CB" w:rsidP="00230D5A">
            <w:pPr>
              <w:spacing w:after="60"/>
              <w:ind w:right="99"/>
            </w:pPr>
            <w:r w:rsidRPr="00426D77">
              <w:t>ECE/TRANS/WP.15/2018/1 (Sweden)</w:t>
            </w:r>
          </w:p>
        </w:tc>
        <w:tc>
          <w:tcPr>
            <w:tcW w:w="3969" w:type="dxa"/>
            <w:shd w:val="clear" w:color="auto" w:fill="auto"/>
          </w:tcPr>
          <w:p w:rsidR="007851CB" w:rsidRPr="00426D77" w:rsidRDefault="007851CB" w:rsidP="00230D5A">
            <w:pPr>
              <w:spacing w:after="60"/>
              <w:ind w:right="99"/>
            </w:pPr>
            <w:r w:rsidRPr="00426D77">
              <w:t>9.7.4 Earthing of FL vehicles and 9.8.3 Earthing of MEMUs</w:t>
            </w:r>
          </w:p>
        </w:tc>
      </w:tr>
      <w:tr w:rsidR="007851CB" w:rsidRPr="00267B69" w:rsidTr="00230D5A">
        <w:trPr>
          <w:cantSplit/>
        </w:trPr>
        <w:tc>
          <w:tcPr>
            <w:tcW w:w="3402" w:type="dxa"/>
            <w:shd w:val="clear" w:color="auto" w:fill="auto"/>
          </w:tcPr>
          <w:p w:rsidR="007851CB" w:rsidRPr="00267B69" w:rsidRDefault="007851CB" w:rsidP="00230D5A">
            <w:pPr>
              <w:spacing w:after="60"/>
              <w:ind w:right="99"/>
            </w:pPr>
            <w:r w:rsidRPr="00267B69">
              <w:t>ECE/TRANS/WP.15/2018/2 (Malta)</w:t>
            </w:r>
          </w:p>
        </w:tc>
        <w:tc>
          <w:tcPr>
            <w:tcW w:w="3969" w:type="dxa"/>
            <w:shd w:val="clear" w:color="auto" w:fill="auto"/>
          </w:tcPr>
          <w:p w:rsidR="007851CB" w:rsidRPr="00267B69" w:rsidRDefault="007851CB" w:rsidP="00230D5A">
            <w:pPr>
              <w:spacing w:after="60"/>
              <w:ind w:right="99"/>
            </w:pPr>
            <w:r w:rsidRPr="00267B69">
              <w:t xml:space="preserve">Proposal to include a </w:t>
            </w:r>
            <w:r w:rsidRPr="00267B69">
              <w:rPr>
                <w:i/>
              </w:rPr>
              <w:t>Valid From</w:t>
            </w:r>
            <w:r w:rsidRPr="00267B69">
              <w:t xml:space="preserve"> date in the ADR Driver Training Certificate (8.2.2.8.5)</w:t>
            </w:r>
          </w:p>
        </w:tc>
      </w:tr>
      <w:tr w:rsidR="004A27BC" w:rsidRPr="00267B69" w:rsidTr="00F876D6">
        <w:trPr>
          <w:trHeight w:val="403"/>
        </w:trPr>
        <w:tc>
          <w:tcPr>
            <w:tcW w:w="3402" w:type="dxa"/>
            <w:shd w:val="clear" w:color="auto" w:fill="auto"/>
          </w:tcPr>
          <w:p w:rsidR="004A27BC" w:rsidRPr="00267B69" w:rsidRDefault="004A27BC" w:rsidP="00F876D6">
            <w:pPr>
              <w:pStyle w:val="SingleTxtG"/>
              <w:spacing w:after="0" w:line="360" w:lineRule="auto"/>
              <w:ind w:left="0" w:right="96"/>
              <w:jc w:val="left"/>
              <w:rPr>
                <w:rFonts w:asciiTheme="majorBidi" w:hAnsiTheme="majorBidi" w:cstheme="majorBidi"/>
                <w:lang w:val="en-GB"/>
              </w:rPr>
            </w:pPr>
            <w:r w:rsidRPr="00267B69">
              <w:rPr>
                <w:rFonts w:asciiTheme="majorBidi" w:hAnsiTheme="majorBidi" w:cstheme="majorBidi"/>
                <w:lang w:val="en-GB"/>
              </w:rPr>
              <w:t>INF.8 (</w:t>
            </w:r>
            <w:r w:rsidR="00636B88" w:rsidRPr="00267B69">
              <w:rPr>
                <w:rFonts w:asciiTheme="majorBidi" w:hAnsiTheme="majorBidi" w:cstheme="majorBidi"/>
                <w:lang w:val="en-GB"/>
              </w:rPr>
              <w:t>Finland</w:t>
            </w:r>
            <w:r w:rsidRPr="00267B69">
              <w:rPr>
                <w:rFonts w:asciiTheme="majorBidi" w:hAnsiTheme="majorBidi" w:cstheme="majorBidi"/>
                <w:lang w:val="en-GB"/>
              </w:rPr>
              <w:t>)</w:t>
            </w:r>
          </w:p>
        </w:tc>
        <w:tc>
          <w:tcPr>
            <w:tcW w:w="3969" w:type="dxa"/>
            <w:shd w:val="clear" w:color="auto" w:fill="auto"/>
          </w:tcPr>
          <w:p w:rsidR="0089303C" w:rsidRPr="00267B69" w:rsidRDefault="004A27BC" w:rsidP="0089303C">
            <w:pPr>
              <w:spacing w:after="60"/>
              <w:ind w:right="99"/>
            </w:pPr>
            <w:r w:rsidRPr="00267B69">
              <w:t>Amendments related to ammonium nitrate based fertilizers of Class 5.1 for entry into force on 1 January 2019</w:t>
            </w:r>
          </w:p>
        </w:tc>
      </w:tr>
      <w:tr w:rsidR="004A27BC" w:rsidRPr="00267B69" w:rsidTr="00230D5A">
        <w:trPr>
          <w:cantSplit/>
        </w:trPr>
        <w:tc>
          <w:tcPr>
            <w:tcW w:w="3402" w:type="dxa"/>
            <w:shd w:val="clear" w:color="auto" w:fill="auto"/>
          </w:tcPr>
          <w:p w:rsidR="004A27BC" w:rsidRPr="00267B69" w:rsidRDefault="00E37533" w:rsidP="00230D5A">
            <w:pPr>
              <w:spacing w:after="60"/>
              <w:ind w:right="99"/>
            </w:pPr>
            <w:r w:rsidRPr="00267B69">
              <w:t>INF.17 (Finla</w:t>
            </w:r>
            <w:r w:rsidR="00A72178" w:rsidRPr="00267B69">
              <w:t>n</w:t>
            </w:r>
            <w:r w:rsidRPr="00267B69">
              <w:t>d)</w:t>
            </w:r>
          </w:p>
        </w:tc>
        <w:tc>
          <w:tcPr>
            <w:tcW w:w="3969" w:type="dxa"/>
            <w:shd w:val="clear" w:color="auto" w:fill="auto"/>
          </w:tcPr>
          <w:p w:rsidR="004A27BC" w:rsidRPr="00267B69" w:rsidRDefault="00E37533" w:rsidP="00230D5A">
            <w:pPr>
              <w:spacing w:after="60"/>
              <w:ind w:right="99"/>
            </w:pPr>
            <w:r w:rsidRPr="00267B69">
              <w:t>Amendments related to the table of specimen labels for entry into force on 1 January 2019</w:t>
            </w:r>
          </w:p>
        </w:tc>
      </w:tr>
    </w:tbl>
    <w:p w:rsidR="00BF0CF2" w:rsidRPr="00267B69" w:rsidRDefault="00BF0CF2" w:rsidP="00BF0CF2">
      <w:pPr>
        <w:keepNext/>
        <w:keepLines/>
        <w:tabs>
          <w:tab w:val="right" w:pos="851"/>
        </w:tabs>
        <w:spacing w:before="360" w:after="240" w:line="300" w:lineRule="exact"/>
        <w:ind w:left="1134" w:right="1134" w:hanging="1134"/>
        <w:rPr>
          <w:b/>
          <w:sz w:val="28"/>
        </w:rPr>
      </w:pPr>
      <w:r w:rsidRPr="00267B69">
        <w:rPr>
          <w:b/>
          <w:sz w:val="28"/>
        </w:rPr>
        <w:tab/>
        <w:t>6.</w:t>
      </w:r>
      <w:r w:rsidRPr="00267B69">
        <w:rPr>
          <w:b/>
          <w:sz w:val="28"/>
        </w:rPr>
        <w:tab/>
        <w:t>Interpretation of ADR</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BF0CF2" w:rsidRPr="00267B69" w:rsidTr="00AA5E3A">
        <w:trPr>
          <w:cantSplit/>
        </w:trPr>
        <w:tc>
          <w:tcPr>
            <w:tcW w:w="3402" w:type="dxa"/>
            <w:shd w:val="clear" w:color="auto" w:fill="auto"/>
          </w:tcPr>
          <w:p w:rsidR="00BF0CF2" w:rsidRPr="00267B69" w:rsidRDefault="00110611" w:rsidP="00F71BEF">
            <w:pPr>
              <w:spacing w:after="120" w:line="240" w:lineRule="auto"/>
              <w:ind w:right="99"/>
              <w:rPr>
                <w:bCs/>
              </w:rPr>
            </w:pPr>
            <w:r w:rsidRPr="00267B69">
              <w:rPr>
                <w:bCs/>
              </w:rPr>
              <w:t>INF.13 (Sweden)</w:t>
            </w:r>
          </w:p>
        </w:tc>
        <w:tc>
          <w:tcPr>
            <w:tcW w:w="3969" w:type="dxa"/>
            <w:shd w:val="clear" w:color="auto" w:fill="auto"/>
          </w:tcPr>
          <w:p w:rsidR="00BF0CF2" w:rsidRPr="00267B69" w:rsidRDefault="00110611" w:rsidP="0089303C">
            <w:pPr>
              <w:spacing w:after="60"/>
              <w:ind w:right="99"/>
              <w:rPr>
                <w:bCs/>
              </w:rPr>
            </w:pPr>
            <w:r w:rsidRPr="00267B69">
              <w:rPr>
                <w:bCs/>
              </w:rPr>
              <w:t>4.1.3.8 Unpackaged articles other than Class 1 articles –Competent authority approval</w:t>
            </w:r>
          </w:p>
        </w:tc>
      </w:tr>
    </w:tbl>
    <w:p w:rsidR="00BF0CF2" w:rsidRPr="00267B69" w:rsidRDefault="00BF0CF2" w:rsidP="00BF0CF2">
      <w:pPr>
        <w:keepNext/>
        <w:keepLines/>
        <w:tabs>
          <w:tab w:val="right" w:pos="851"/>
        </w:tabs>
        <w:spacing w:before="360" w:after="240" w:line="300" w:lineRule="exact"/>
        <w:ind w:left="1134" w:right="1134" w:hanging="1134"/>
        <w:rPr>
          <w:b/>
          <w:sz w:val="28"/>
        </w:rPr>
      </w:pPr>
      <w:r w:rsidRPr="00267B69">
        <w:rPr>
          <w:b/>
          <w:sz w:val="28"/>
        </w:rPr>
        <w:tab/>
        <w:t>7.</w:t>
      </w:r>
      <w:r w:rsidRPr="00267B69">
        <w:rPr>
          <w:b/>
          <w:sz w:val="28"/>
        </w:rPr>
        <w:tab/>
        <w:t>Programme of work</w:t>
      </w:r>
    </w:p>
    <w:tbl>
      <w:tblPr>
        <w:tblW w:w="7371" w:type="dxa"/>
        <w:tblInd w:w="1134" w:type="dxa"/>
        <w:tblLayout w:type="fixed"/>
        <w:tblCellMar>
          <w:left w:w="0" w:type="dxa"/>
          <w:right w:w="0" w:type="dxa"/>
        </w:tblCellMar>
        <w:tblLook w:val="01E0" w:firstRow="1" w:lastRow="1" w:firstColumn="1" w:lastColumn="1" w:noHBand="0" w:noVBand="0"/>
      </w:tblPr>
      <w:tblGrid>
        <w:gridCol w:w="7371"/>
      </w:tblGrid>
      <w:tr w:rsidR="00CE37CD" w:rsidRPr="00267B69" w:rsidTr="001A2E1A">
        <w:trPr>
          <w:cantSplit/>
        </w:trPr>
        <w:tc>
          <w:tcPr>
            <w:tcW w:w="7371" w:type="dxa"/>
            <w:shd w:val="clear" w:color="auto" w:fill="auto"/>
          </w:tcPr>
          <w:p w:rsidR="00CE37CD" w:rsidRPr="00267B69" w:rsidRDefault="00CE37CD" w:rsidP="008E1584">
            <w:pPr>
              <w:spacing w:after="120" w:line="240" w:lineRule="auto"/>
              <w:ind w:right="96"/>
            </w:pPr>
            <w:r w:rsidRPr="00267B69">
              <w:t>No document has been submitted under this agenda item.</w:t>
            </w:r>
          </w:p>
        </w:tc>
      </w:tr>
    </w:tbl>
    <w:p w:rsidR="00BF0CF2" w:rsidRPr="00267B69" w:rsidRDefault="00BF0CF2" w:rsidP="00BF0CF2">
      <w:pPr>
        <w:keepNext/>
        <w:keepLines/>
        <w:tabs>
          <w:tab w:val="right" w:pos="851"/>
        </w:tabs>
        <w:spacing w:before="360" w:after="240" w:line="300" w:lineRule="exact"/>
        <w:ind w:left="1134" w:right="1134" w:hanging="1134"/>
        <w:rPr>
          <w:b/>
          <w:sz w:val="28"/>
        </w:rPr>
      </w:pPr>
      <w:r w:rsidRPr="00267B69">
        <w:rPr>
          <w:b/>
          <w:sz w:val="28"/>
        </w:rPr>
        <w:lastRenderedPageBreak/>
        <w:tab/>
        <w:t>8.</w:t>
      </w:r>
      <w:r w:rsidRPr="00267B69">
        <w:rPr>
          <w:b/>
          <w:sz w:val="28"/>
        </w:rPr>
        <w:tab/>
        <w:t>Any other business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26D77" w:rsidRPr="00426D77" w:rsidTr="00F876D6">
        <w:trPr>
          <w:cantSplit/>
        </w:trPr>
        <w:tc>
          <w:tcPr>
            <w:tcW w:w="3402" w:type="dxa"/>
            <w:shd w:val="clear" w:color="auto" w:fill="auto"/>
          </w:tcPr>
          <w:p w:rsidR="00FD39C5" w:rsidRPr="00426D77" w:rsidRDefault="00FD39C5" w:rsidP="00F876D6">
            <w:pPr>
              <w:spacing w:after="60"/>
              <w:ind w:right="99"/>
            </w:pPr>
            <w:r w:rsidRPr="00426D77">
              <w:t>ECE/TRANS/WP.15/2018/3 (Secretariat)</w:t>
            </w:r>
          </w:p>
        </w:tc>
        <w:tc>
          <w:tcPr>
            <w:tcW w:w="3969" w:type="dxa"/>
            <w:shd w:val="clear" w:color="auto" w:fill="auto"/>
          </w:tcPr>
          <w:p w:rsidR="00FD39C5" w:rsidRPr="00426D77" w:rsidRDefault="00FD39C5" w:rsidP="00F876D6">
            <w:pPr>
              <w:spacing w:after="60"/>
              <w:ind w:right="99"/>
            </w:pPr>
            <w:r w:rsidRPr="00426D77">
              <w:t>Revision procedure for the Title of ADR</w:t>
            </w:r>
          </w:p>
        </w:tc>
      </w:tr>
      <w:tr w:rsidR="00BF0CF2" w:rsidRPr="00267B69" w:rsidTr="00AA5E3A">
        <w:trPr>
          <w:trHeight w:val="403"/>
        </w:trPr>
        <w:tc>
          <w:tcPr>
            <w:tcW w:w="3402" w:type="dxa"/>
            <w:shd w:val="clear" w:color="auto" w:fill="auto"/>
          </w:tcPr>
          <w:p w:rsidR="00BF0CF2" w:rsidRPr="00267B69" w:rsidRDefault="00E5372B" w:rsidP="00DF6C26">
            <w:pPr>
              <w:pStyle w:val="SingleTxtG"/>
              <w:spacing w:after="0" w:line="360" w:lineRule="auto"/>
              <w:ind w:left="0" w:right="96"/>
              <w:jc w:val="left"/>
              <w:rPr>
                <w:lang w:val="en-GB"/>
              </w:rPr>
            </w:pPr>
            <w:r w:rsidRPr="00267B69">
              <w:rPr>
                <w:rFonts w:asciiTheme="majorBidi" w:hAnsiTheme="majorBidi" w:cstheme="majorBidi"/>
                <w:lang w:val="en-GB"/>
              </w:rPr>
              <w:t>INF.3 (Secretariat)</w:t>
            </w:r>
          </w:p>
        </w:tc>
        <w:tc>
          <w:tcPr>
            <w:tcW w:w="3969" w:type="dxa"/>
            <w:shd w:val="clear" w:color="auto" w:fill="auto"/>
          </w:tcPr>
          <w:p w:rsidR="00BF0CF2" w:rsidRPr="00267B69" w:rsidRDefault="00E5372B" w:rsidP="0089303C">
            <w:pPr>
              <w:spacing w:after="60"/>
              <w:ind w:right="99"/>
              <w:rPr>
                <w:b/>
                <w:bCs/>
              </w:rPr>
            </w:pPr>
            <w:r w:rsidRPr="00267B69">
              <w:t>Sixtieth anniversary of ADR – Open discussion</w:t>
            </w:r>
          </w:p>
        </w:tc>
      </w:tr>
      <w:tr w:rsidR="00575C6F" w:rsidRPr="00267B69" w:rsidTr="00AA5E3A">
        <w:trPr>
          <w:trHeight w:val="403"/>
        </w:trPr>
        <w:tc>
          <w:tcPr>
            <w:tcW w:w="3402" w:type="dxa"/>
            <w:shd w:val="clear" w:color="auto" w:fill="auto"/>
          </w:tcPr>
          <w:p w:rsidR="00575C6F" w:rsidRPr="00267B69" w:rsidRDefault="00575C6F" w:rsidP="00DF6C26">
            <w:pPr>
              <w:pStyle w:val="SingleTxtG"/>
              <w:spacing w:after="0" w:line="360" w:lineRule="auto"/>
              <w:ind w:left="0" w:right="96"/>
              <w:jc w:val="left"/>
              <w:rPr>
                <w:rFonts w:asciiTheme="majorBidi" w:hAnsiTheme="majorBidi" w:cstheme="majorBidi"/>
                <w:lang w:val="en-GB"/>
              </w:rPr>
            </w:pPr>
            <w:r w:rsidRPr="00267B69">
              <w:rPr>
                <w:rFonts w:asciiTheme="majorBidi" w:hAnsiTheme="majorBidi" w:cstheme="majorBidi"/>
                <w:lang w:val="en-GB"/>
              </w:rPr>
              <w:t>INF.5 (Germany)</w:t>
            </w:r>
          </w:p>
        </w:tc>
        <w:tc>
          <w:tcPr>
            <w:tcW w:w="3969" w:type="dxa"/>
            <w:shd w:val="clear" w:color="auto" w:fill="auto"/>
          </w:tcPr>
          <w:p w:rsidR="0089303C" w:rsidRPr="00267B69" w:rsidRDefault="00575C6F" w:rsidP="0089303C">
            <w:pPr>
              <w:spacing w:after="60"/>
              <w:ind w:right="99"/>
            </w:pPr>
            <w:r w:rsidRPr="00267B69">
              <w:t>Layout of the ADR training certificate in accordance with 8.2.2.8.3 in conjunction with 8.2.2.8.5 of ADR – admissibility of additional information</w:t>
            </w:r>
          </w:p>
        </w:tc>
      </w:tr>
      <w:tr w:rsidR="0050113C" w:rsidRPr="00267B69" w:rsidTr="00AA5E3A">
        <w:trPr>
          <w:trHeight w:val="403"/>
        </w:trPr>
        <w:tc>
          <w:tcPr>
            <w:tcW w:w="3402" w:type="dxa"/>
            <w:shd w:val="clear" w:color="auto" w:fill="auto"/>
          </w:tcPr>
          <w:p w:rsidR="0050113C" w:rsidRPr="00267B69" w:rsidRDefault="004A27BC" w:rsidP="00DF6C26">
            <w:pPr>
              <w:pStyle w:val="SingleTxtG"/>
              <w:spacing w:after="0" w:line="360" w:lineRule="auto"/>
              <w:ind w:left="0" w:right="96"/>
              <w:jc w:val="left"/>
              <w:rPr>
                <w:rFonts w:asciiTheme="majorBidi" w:hAnsiTheme="majorBidi" w:cstheme="majorBidi"/>
                <w:lang w:val="en-GB"/>
              </w:rPr>
            </w:pPr>
            <w:r w:rsidRPr="00267B69">
              <w:rPr>
                <w:rFonts w:asciiTheme="majorBidi" w:hAnsiTheme="majorBidi" w:cstheme="majorBidi"/>
                <w:lang w:val="en-GB"/>
              </w:rPr>
              <w:t>INF.9 (Romania)</w:t>
            </w:r>
          </w:p>
        </w:tc>
        <w:tc>
          <w:tcPr>
            <w:tcW w:w="3969" w:type="dxa"/>
            <w:shd w:val="clear" w:color="auto" w:fill="auto"/>
          </w:tcPr>
          <w:p w:rsidR="0089303C" w:rsidRPr="00267B69" w:rsidRDefault="004A27BC" w:rsidP="0089303C">
            <w:pPr>
              <w:spacing w:after="60"/>
              <w:ind w:right="99"/>
            </w:pPr>
            <w:r w:rsidRPr="00267B69">
              <w:t>Consolidated table of the applicable</w:t>
            </w:r>
            <w:r w:rsidRPr="00267B69" w:rsidDel="000F3549">
              <w:t xml:space="preserve"> </w:t>
            </w:r>
            <w:r w:rsidRPr="00267B69">
              <w:t>provisions of Part 9 of ADR for EX/II, EX/III, FL, and AT vehicles and MEMUs</w:t>
            </w:r>
          </w:p>
        </w:tc>
      </w:tr>
      <w:tr w:rsidR="00E37533" w:rsidRPr="00267B69" w:rsidTr="00AA5E3A">
        <w:trPr>
          <w:trHeight w:val="403"/>
        </w:trPr>
        <w:tc>
          <w:tcPr>
            <w:tcW w:w="3402" w:type="dxa"/>
            <w:shd w:val="clear" w:color="auto" w:fill="auto"/>
          </w:tcPr>
          <w:p w:rsidR="00E37533" w:rsidRPr="00267B69" w:rsidRDefault="00E37533" w:rsidP="00DF6C26">
            <w:pPr>
              <w:pStyle w:val="SingleTxtG"/>
              <w:spacing w:after="0" w:line="360" w:lineRule="auto"/>
              <w:ind w:left="0" w:right="96"/>
              <w:jc w:val="left"/>
              <w:rPr>
                <w:rFonts w:asciiTheme="majorBidi" w:hAnsiTheme="majorBidi" w:cstheme="majorBidi"/>
                <w:lang w:val="en-GB"/>
              </w:rPr>
            </w:pPr>
            <w:r w:rsidRPr="00267B69">
              <w:rPr>
                <w:rFonts w:asciiTheme="majorBidi" w:hAnsiTheme="majorBidi" w:cstheme="majorBidi"/>
                <w:lang w:val="en-GB"/>
              </w:rPr>
              <w:t>INF.16 (Sweden)</w:t>
            </w:r>
          </w:p>
        </w:tc>
        <w:tc>
          <w:tcPr>
            <w:tcW w:w="3969" w:type="dxa"/>
            <w:shd w:val="clear" w:color="auto" w:fill="auto"/>
          </w:tcPr>
          <w:p w:rsidR="00E37533" w:rsidRPr="00267B69" w:rsidRDefault="00E37533" w:rsidP="0089303C">
            <w:pPr>
              <w:spacing w:after="60"/>
              <w:ind w:right="99"/>
            </w:pPr>
            <w:r w:rsidRPr="00267B69">
              <w:t>Supervision of vehicles, Chapter 8.5</w:t>
            </w:r>
          </w:p>
        </w:tc>
      </w:tr>
      <w:tr w:rsidR="00E37533" w:rsidRPr="00267B69" w:rsidTr="00AA5E3A">
        <w:trPr>
          <w:trHeight w:val="403"/>
        </w:trPr>
        <w:tc>
          <w:tcPr>
            <w:tcW w:w="3402" w:type="dxa"/>
            <w:shd w:val="clear" w:color="auto" w:fill="auto"/>
          </w:tcPr>
          <w:p w:rsidR="00E37533" w:rsidRPr="00267B69" w:rsidRDefault="00E37533" w:rsidP="00DF6C26">
            <w:pPr>
              <w:pStyle w:val="SingleTxtG"/>
              <w:spacing w:after="0" w:line="360" w:lineRule="auto"/>
              <w:ind w:left="0" w:right="96"/>
              <w:jc w:val="left"/>
              <w:rPr>
                <w:rFonts w:asciiTheme="majorBidi" w:hAnsiTheme="majorBidi" w:cstheme="majorBidi"/>
                <w:lang w:val="en-GB"/>
              </w:rPr>
            </w:pPr>
            <w:r w:rsidRPr="00267B69">
              <w:rPr>
                <w:rFonts w:asciiTheme="majorBidi" w:hAnsiTheme="majorBidi" w:cstheme="majorBidi"/>
                <w:lang w:val="en-GB"/>
              </w:rPr>
              <w:t>INF.18 (ECR)</w:t>
            </w:r>
          </w:p>
        </w:tc>
        <w:tc>
          <w:tcPr>
            <w:tcW w:w="3969" w:type="dxa"/>
            <w:shd w:val="clear" w:color="auto" w:fill="auto"/>
          </w:tcPr>
          <w:p w:rsidR="0089303C" w:rsidRPr="00267B69" w:rsidRDefault="00E37533" w:rsidP="0089303C">
            <w:pPr>
              <w:spacing w:after="60"/>
              <w:ind w:right="99"/>
            </w:pPr>
            <w:r w:rsidRPr="00267B69">
              <w:t>Questionnaire Enforcement Transport of Dangerous Goods</w:t>
            </w:r>
          </w:p>
        </w:tc>
      </w:tr>
      <w:tr w:rsidR="005D4078" w:rsidRPr="00267B69" w:rsidTr="00AA5E3A">
        <w:trPr>
          <w:trHeight w:val="403"/>
        </w:trPr>
        <w:tc>
          <w:tcPr>
            <w:tcW w:w="3402" w:type="dxa"/>
            <w:shd w:val="clear" w:color="auto" w:fill="auto"/>
          </w:tcPr>
          <w:p w:rsidR="005D4078" w:rsidRPr="00267B69" w:rsidRDefault="005D4078" w:rsidP="00DF6C26">
            <w:pPr>
              <w:pStyle w:val="SingleTxtG"/>
              <w:spacing w:after="0" w:line="360" w:lineRule="auto"/>
              <w:ind w:left="0" w:right="96"/>
              <w:jc w:val="left"/>
              <w:rPr>
                <w:rFonts w:asciiTheme="majorBidi" w:hAnsiTheme="majorBidi" w:cstheme="majorBidi"/>
                <w:lang w:val="en-GB"/>
              </w:rPr>
            </w:pPr>
            <w:r w:rsidRPr="00267B69">
              <w:rPr>
                <w:rFonts w:asciiTheme="majorBidi" w:hAnsiTheme="majorBidi" w:cstheme="majorBidi"/>
                <w:lang w:val="en-GB"/>
              </w:rPr>
              <w:t>INF.22 (Germany)</w:t>
            </w:r>
          </w:p>
        </w:tc>
        <w:tc>
          <w:tcPr>
            <w:tcW w:w="3969" w:type="dxa"/>
            <w:shd w:val="clear" w:color="auto" w:fill="auto"/>
          </w:tcPr>
          <w:p w:rsidR="005D4078" w:rsidRPr="00267B69" w:rsidRDefault="005D4078" w:rsidP="0089303C">
            <w:pPr>
              <w:spacing w:after="60"/>
              <w:ind w:right="99"/>
            </w:pPr>
            <w:r w:rsidRPr="00267B69">
              <w:t>Correction of footnote b to the instructions in writing</w:t>
            </w:r>
          </w:p>
        </w:tc>
      </w:tr>
      <w:tr w:rsidR="00047596" w:rsidRPr="00267B69" w:rsidTr="00AA5E3A">
        <w:trPr>
          <w:trHeight w:val="403"/>
        </w:trPr>
        <w:tc>
          <w:tcPr>
            <w:tcW w:w="3402" w:type="dxa"/>
            <w:shd w:val="clear" w:color="auto" w:fill="auto"/>
          </w:tcPr>
          <w:p w:rsidR="00A568EC" w:rsidRPr="00267B69" w:rsidRDefault="00047596" w:rsidP="00426D77">
            <w:pPr>
              <w:pStyle w:val="SingleTxtG"/>
              <w:spacing w:after="0" w:line="360" w:lineRule="auto"/>
              <w:ind w:left="0" w:right="96"/>
              <w:jc w:val="left"/>
              <w:rPr>
                <w:rFonts w:asciiTheme="majorBidi" w:hAnsiTheme="majorBidi" w:cstheme="majorBidi"/>
                <w:lang w:val="en-GB"/>
              </w:rPr>
            </w:pPr>
            <w:r w:rsidRPr="00267B69">
              <w:rPr>
                <w:rFonts w:asciiTheme="majorBidi" w:hAnsiTheme="majorBidi" w:cstheme="majorBidi"/>
                <w:lang w:val="en-GB"/>
              </w:rPr>
              <w:t>INF.23 (Switzerland)</w:t>
            </w:r>
          </w:p>
        </w:tc>
        <w:tc>
          <w:tcPr>
            <w:tcW w:w="3969" w:type="dxa"/>
            <w:shd w:val="clear" w:color="auto" w:fill="auto"/>
          </w:tcPr>
          <w:p w:rsidR="00A568EC" w:rsidRPr="00267B69" w:rsidRDefault="00047596" w:rsidP="00426D77">
            <w:pPr>
              <w:spacing w:after="60"/>
              <w:ind w:right="99"/>
            </w:pPr>
            <w:r w:rsidRPr="00267B69">
              <w:t>Marking of transport units and containers loaded with limited quantities</w:t>
            </w:r>
          </w:p>
        </w:tc>
      </w:tr>
      <w:tr w:rsidR="00426D77" w:rsidRPr="00267B69" w:rsidTr="00AA5E3A">
        <w:trPr>
          <w:trHeight w:val="403"/>
        </w:trPr>
        <w:tc>
          <w:tcPr>
            <w:tcW w:w="3402" w:type="dxa"/>
            <w:shd w:val="clear" w:color="auto" w:fill="auto"/>
          </w:tcPr>
          <w:p w:rsidR="00426D77" w:rsidRPr="00267B69" w:rsidRDefault="00426D77" w:rsidP="00DF6C26">
            <w:pPr>
              <w:pStyle w:val="SingleTxtG"/>
              <w:spacing w:after="0" w:line="360" w:lineRule="auto"/>
              <w:ind w:left="0" w:right="96"/>
              <w:jc w:val="left"/>
              <w:rPr>
                <w:rFonts w:asciiTheme="majorBidi" w:hAnsiTheme="majorBidi" w:cstheme="majorBidi"/>
                <w:lang w:val="en-GB"/>
              </w:rPr>
            </w:pPr>
            <w:r>
              <w:rPr>
                <w:rFonts w:asciiTheme="majorBidi" w:hAnsiTheme="majorBidi" w:cstheme="majorBidi"/>
                <w:lang w:val="en-GB"/>
              </w:rPr>
              <w:t>INF.24 (Switzerland)</w:t>
            </w:r>
          </w:p>
        </w:tc>
        <w:tc>
          <w:tcPr>
            <w:tcW w:w="3969" w:type="dxa"/>
            <w:shd w:val="clear" w:color="auto" w:fill="auto"/>
          </w:tcPr>
          <w:p w:rsidR="00426D77" w:rsidRPr="00267B69" w:rsidRDefault="00426D77" w:rsidP="00426D77">
            <w:pPr>
              <w:spacing w:after="60"/>
              <w:ind w:right="99"/>
            </w:pPr>
            <w:r>
              <w:t>Changes of the loaded products in tank-vehicles</w:t>
            </w:r>
          </w:p>
        </w:tc>
      </w:tr>
    </w:tbl>
    <w:p w:rsidR="00BF0CF2" w:rsidRPr="00267B69" w:rsidRDefault="00BF0CF2" w:rsidP="00BF0CF2">
      <w:pPr>
        <w:keepNext/>
        <w:keepLines/>
        <w:tabs>
          <w:tab w:val="right" w:pos="851"/>
        </w:tabs>
        <w:spacing w:before="360" w:after="240" w:line="300" w:lineRule="exact"/>
        <w:ind w:left="1134" w:right="1134" w:hanging="1134"/>
        <w:rPr>
          <w:b/>
          <w:sz w:val="28"/>
        </w:rPr>
      </w:pPr>
      <w:r w:rsidRPr="00267B69">
        <w:rPr>
          <w:b/>
          <w:sz w:val="28"/>
        </w:rPr>
        <w:tab/>
        <w:t>9.</w:t>
      </w:r>
      <w:r w:rsidRPr="00267B69">
        <w:rPr>
          <w:b/>
          <w:sz w:val="28"/>
        </w:rPr>
        <w:tab/>
        <w:t>Adoption of the report</w:t>
      </w:r>
    </w:p>
    <w:p w:rsidR="00BF0CF2" w:rsidRPr="00267B69" w:rsidRDefault="00BF0CF2" w:rsidP="00BF0CF2">
      <w:pPr>
        <w:spacing w:before="240"/>
        <w:ind w:left="1134" w:right="1134"/>
        <w:jc w:val="center"/>
        <w:rPr>
          <w:b/>
          <w:u w:val="single"/>
        </w:rPr>
      </w:pPr>
      <w:r w:rsidRPr="00267B69">
        <w:rPr>
          <w:b/>
          <w:u w:val="single"/>
        </w:rPr>
        <w:tab/>
      </w:r>
      <w:r w:rsidRPr="00267B69">
        <w:rPr>
          <w:b/>
          <w:u w:val="single"/>
        </w:rPr>
        <w:tab/>
      </w:r>
      <w:r w:rsidRPr="00267B69">
        <w:rPr>
          <w:b/>
          <w:u w:val="single"/>
        </w:rPr>
        <w:tab/>
      </w:r>
    </w:p>
    <w:sectPr w:rsidR="00BF0CF2" w:rsidRPr="00267B69" w:rsidSect="00982036">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34D" w:rsidRDefault="0092434D"/>
  </w:endnote>
  <w:endnote w:type="continuationSeparator" w:id="0">
    <w:p w:rsidR="0092434D" w:rsidRDefault="0092434D"/>
  </w:endnote>
  <w:endnote w:type="continuationNotice" w:id="1">
    <w:p w:rsidR="0092434D" w:rsidRDefault="0092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EE79CE">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EE79CE">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34D" w:rsidRPr="000B175B" w:rsidRDefault="0092434D" w:rsidP="000B175B">
      <w:pPr>
        <w:tabs>
          <w:tab w:val="right" w:pos="2155"/>
        </w:tabs>
        <w:spacing w:after="80"/>
        <w:ind w:left="680"/>
        <w:rPr>
          <w:u w:val="single"/>
        </w:rPr>
      </w:pPr>
      <w:r>
        <w:rPr>
          <w:u w:val="single"/>
        </w:rPr>
        <w:tab/>
      </w:r>
    </w:p>
  </w:footnote>
  <w:footnote w:type="continuationSeparator" w:id="0">
    <w:p w:rsidR="0092434D" w:rsidRPr="00FC68B7" w:rsidRDefault="0092434D" w:rsidP="00FC68B7">
      <w:pPr>
        <w:tabs>
          <w:tab w:val="left" w:pos="2155"/>
        </w:tabs>
        <w:spacing w:after="80"/>
        <w:ind w:left="680"/>
        <w:rPr>
          <w:u w:val="single"/>
        </w:rPr>
      </w:pPr>
      <w:r>
        <w:rPr>
          <w:u w:val="single"/>
        </w:rPr>
        <w:tab/>
      </w:r>
    </w:p>
  </w:footnote>
  <w:footnote w:type="continuationNotice" w:id="1">
    <w:p w:rsidR="0092434D" w:rsidRDefault="00924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617E96" w:rsidRDefault="0092434D">
    <w:pPr>
      <w:pStyle w:val="Header"/>
      <w:rPr>
        <w:lang w:val="fr-CH"/>
      </w:rPr>
    </w:pPr>
    <w:r>
      <w:rPr>
        <w:lang w:val="fr-CH"/>
      </w:rPr>
      <w:t>INF.2</w:t>
    </w:r>
    <w:r w:rsidR="00505920">
      <w:rPr>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F71BEF" w:rsidRDefault="0092434D" w:rsidP="00982036">
    <w:pPr>
      <w:pStyle w:val="Header"/>
      <w:jc w:val="right"/>
      <w:rPr>
        <w:lang w:val="fr-CH"/>
      </w:rPr>
    </w:pPr>
    <w:r w:rsidRPr="00F71BEF">
      <w:rPr>
        <w:lang w:val="fr-CH"/>
      </w:rPr>
      <w:t>INF.2</w:t>
    </w:r>
    <w:r w:rsidR="00505920">
      <w:rPr>
        <w:lang w:val="fr-CH"/>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617E96" w:rsidRDefault="0092434D" w:rsidP="00617E96">
    <w:pPr>
      <w:pStyle w:val="Header"/>
      <w:jc w:val="right"/>
      <w:rPr>
        <w:sz w:val="28"/>
        <w:szCs w:val="28"/>
        <w:lang w:val="fr-CH"/>
      </w:rPr>
    </w:pPr>
    <w:r w:rsidRPr="00617E96">
      <w:rPr>
        <w:sz w:val="28"/>
        <w:szCs w:val="28"/>
        <w:lang w:val="fr-CH"/>
      </w:rPr>
      <w:t>INF.2</w:t>
    </w:r>
    <w:r w:rsidR="00505920">
      <w:rPr>
        <w:sz w:val="28"/>
        <w:szCs w:val="28"/>
        <w:lang w:val="fr-CH"/>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90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05CBF"/>
    <w:rsid w:val="00011932"/>
    <w:rsid w:val="000162D9"/>
    <w:rsid w:val="000241F2"/>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E0415"/>
    <w:rsid w:val="000E0637"/>
    <w:rsid w:val="000F2981"/>
    <w:rsid w:val="00110035"/>
    <w:rsid w:val="001103AA"/>
    <w:rsid w:val="00110611"/>
    <w:rsid w:val="00111A5C"/>
    <w:rsid w:val="0011666B"/>
    <w:rsid w:val="00121D95"/>
    <w:rsid w:val="0013299E"/>
    <w:rsid w:val="00145971"/>
    <w:rsid w:val="00164FF7"/>
    <w:rsid w:val="00165F3A"/>
    <w:rsid w:val="0016663C"/>
    <w:rsid w:val="0017318C"/>
    <w:rsid w:val="00173696"/>
    <w:rsid w:val="00175E6F"/>
    <w:rsid w:val="00177C0F"/>
    <w:rsid w:val="001817D6"/>
    <w:rsid w:val="001A2105"/>
    <w:rsid w:val="001A6E11"/>
    <w:rsid w:val="001A6F83"/>
    <w:rsid w:val="001B4B04"/>
    <w:rsid w:val="001C346C"/>
    <w:rsid w:val="001C6663"/>
    <w:rsid w:val="001C7895"/>
    <w:rsid w:val="001D0C8C"/>
    <w:rsid w:val="001D1419"/>
    <w:rsid w:val="001D26DF"/>
    <w:rsid w:val="001D3A03"/>
    <w:rsid w:val="001D4954"/>
    <w:rsid w:val="001D7750"/>
    <w:rsid w:val="001E3EEF"/>
    <w:rsid w:val="001E4C81"/>
    <w:rsid w:val="001E7B67"/>
    <w:rsid w:val="001F715D"/>
    <w:rsid w:val="00202DA8"/>
    <w:rsid w:val="00207AC3"/>
    <w:rsid w:val="00210C59"/>
    <w:rsid w:val="00211E0B"/>
    <w:rsid w:val="00222DF8"/>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4643"/>
    <w:rsid w:val="002E4DE5"/>
    <w:rsid w:val="002F175C"/>
    <w:rsid w:val="002F5EA4"/>
    <w:rsid w:val="00302E18"/>
    <w:rsid w:val="003229D8"/>
    <w:rsid w:val="003336F3"/>
    <w:rsid w:val="00352709"/>
    <w:rsid w:val="00353B6A"/>
    <w:rsid w:val="003619B5"/>
    <w:rsid w:val="00362309"/>
    <w:rsid w:val="00365763"/>
    <w:rsid w:val="00371178"/>
    <w:rsid w:val="00371590"/>
    <w:rsid w:val="00377020"/>
    <w:rsid w:val="003776D0"/>
    <w:rsid w:val="00392E47"/>
    <w:rsid w:val="00394CC5"/>
    <w:rsid w:val="003A6810"/>
    <w:rsid w:val="003B173B"/>
    <w:rsid w:val="003B2A95"/>
    <w:rsid w:val="003B4873"/>
    <w:rsid w:val="003C0075"/>
    <w:rsid w:val="003C2CC4"/>
    <w:rsid w:val="003C7018"/>
    <w:rsid w:val="003D1847"/>
    <w:rsid w:val="003D4B23"/>
    <w:rsid w:val="003D5C99"/>
    <w:rsid w:val="003D6CB1"/>
    <w:rsid w:val="003E130E"/>
    <w:rsid w:val="003E2BCC"/>
    <w:rsid w:val="004021CB"/>
    <w:rsid w:val="004066A5"/>
    <w:rsid w:val="00410C89"/>
    <w:rsid w:val="004114BC"/>
    <w:rsid w:val="00421FE8"/>
    <w:rsid w:val="00422E03"/>
    <w:rsid w:val="0042319F"/>
    <w:rsid w:val="004240EB"/>
    <w:rsid w:val="0042588A"/>
    <w:rsid w:val="00426B9B"/>
    <w:rsid w:val="00426D77"/>
    <w:rsid w:val="004325CB"/>
    <w:rsid w:val="00442A83"/>
    <w:rsid w:val="0045495B"/>
    <w:rsid w:val="004561E5"/>
    <w:rsid w:val="004570B1"/>
    <w:rsid w:val="0047379F"/>
    <w:rsid w:val="0048397A"/>
    <w:rsid w:val="00485CBB"/>
    <w:rsid w:val="004866B7"/>
    <w:rsid w:val="004A27BC"/>
    <w:rsid w:val="004A2BD3"/>
    <w:rsid w:val="004A5098"/>
    <w:rsid w:val="004B1837"/>
    <w:rsid w:val="004B2EAF"/>
    <w:rsid w:val="004C2461"/>
    <w:rsid w:val="004C7462"/>
    <w:rsid w:val="004D0588"/>
    <w:rsid w:val="004D1404"/>
    <w:rsid w:val="004D33EE"/>
    <w:rsid w:val="004E6FFC"/>
    <w:rsid w:val="004E77B2"/>
    <w:rsid w:val="0050113C"/>
    <w:rsid w:val="00504B2D"/>
    <w:rsid w:val="00505920"/>
    <w:rsid w:val="0052136D"/>
    <w:rsid w:val="00522680"/>
    <w:rsid w:val="0052775E"/>
    <w:rsid w:val="0054034C"/>
    <w:rsid w:val="005420F2"/>
    <w:rsid w:val="00547B54"/>
    <w:rsid w:val="00552CEB"/>
    <w:rsid w:val="0056099E"/>
    <w:rsid w:val="00561B06"/>
    <w:rsid w:val="005628B6"/>
    <w:rsid w:val="0056374F"/>
    <w:rsid w:val="0056757C"/>
    <w:rsid w:val="00575B3B"/>
    <w:rsid w:val="00575C6F"/>
    <w:rsid w:val="0057735C"/>
    <w:rsid w:val="005778AE"/>
    <w:rsid w:val="00591D4E"/>
    <w:rsid w:val="005941EC"/>
    <w:rsid w:val="005958A0"/>
    <w:rsid w:val="00596156"/>
    <w:rsid w:val="0059724D"/>
    <w:rsid w:val="005A1A08"/>
    <w:rsid w:val="005A2E0F"/>
    <w:rsid w:val="005B3DB3"/>
    <w:rsid w:val="005B4E13"/>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36B88"/>
    <w:rsid w:val="006404E9"/>
    <w:rsid w:val="00640B26"/>
    <w:rsid w:val="0065178B"/>
    <w:rsid w:val="00652D0A"/>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589"/>
    <w:rsid w:val="006D37AF"/>
    <w:rsid w:val="006D51D0"/>
    <w:rsid w:val="006D5FB9"/>
    <w:rsid w:val="006E1D88"/>
    <w:rsid w:val="006E564B"/>
    <w:rsid w:val="006E5927"/>
    <w:rsid w:val="006E7191"/>
    <w:rsid w:val="007011A3"/>
    <w:rsid w:val="00703577"/>
    <w:rsid w:val="007047A9"/>
    <w:rsid w:val="00705894"/>
    <w:rsid w:val="00724C17"/>
    <w:rsid w:val="0072632A"/>
    <w:rsid w:val="007327D5"/>
    <w:rsid w:val="0073593C"/>
    <w:rsid w:val="00737E7A"/>
    <w:rsid w:val="00752B30"/>
    <w:rsid w:val="007629C8"/>
    <w:rsid w:val="0076669C"/>
    <w:rsid w:val="0077047D"/>
    <w:rsid w:val="007708A5"/>
    <w:rsid w:val="007851CB"/>
    <w:rsid w:val="00785B28"/>
    <w:rsid w:val="007931F7"/>
    <w:rsid w:val="007A0D0E"/>
    <w:rsid w:val="007B2176"/>
    <w:rsid w:val="007B5332"/>
    <w:rsid w:val="007B6BA5"/>
    <w:rsid w:val="007C3390"/>
    <w:rsid w:val="007C38EF"/>
    <w:rsid w:val="007C4F4B"/>
    <w:rsid w:val="007C554F"/>
    <w:rsid w:val="007D3162"/>
    <w:rsid w:val="007D784A"/>
    <w:rsid w:val="007E01E9"/>
    <w:rsid w:val="007E63F3"/>
    <w:rsid w:val="007F32E1"/>
    <w:rsid w:val="007F6611"/>
    <w:rsid w:val="0081086B"/>
    <w:rsid w:val="00811920"/>
    <w:rsid w:val="00815AD0"/>
    <w:rsid w:val="00816F53"/>
    <w:rsid w:val="008242D7"/>
    <w:rsid w:val="008254F7"/>
    <w:rsid w:val="008257B1"/>
    <w:rsid w:val="00826FDE"/>
    <w:rsid w:val="0082782C"/>
    <w:rsid w:val="00832334"/>
    <w:rsid w:val="00843767"/>
    <w:rsid w:val="008600BB"/>
    <w:rsid w:val="00863F32"/>
    <w:rsid w:val="008679D9"/>
    <w:rsid w:val="008731E4"/>
    <w:rsid w:val="008878DE"/>
    <w:rsid w:val="0089025B"/>
    <w:rsid w:val="0089303C"/>
    <w:rsid w:val="00894669"/>
    <w:rsid w:val="00895BAB"/>
    <w:rsid w:val="008979B1"/>
    <w:rsid w:val="008A50EE"/>
    <w:rsid w:val="008A6B25"/>
    <w:rsid w:val="008A6C4F"/>
    <w:rsid w:val="008B2335"/>
    <w:rsid w:val="008B6BA3"/>
    <w:rsid w:val="008C271F"/>
    <w:rsid w:val="008C4B88"/>
    <w:rsid w:val="008E0678"/>
    <w:rsid w:val="008E2D75"/>
    <w:rsid w:val="008E5914"/>
    <w:rsid w:val="008E6D2E"/>
    <w:rsid w:val="008E7508"/>
    <w:rsid w:val="008E7E09"/>
    <w:rsid w:val="008F31D2"/>
    <w:rsid w:val="008F6553"/>
    <w:rsid w:val="00914B7C"/>
    <w:rsid w:val="009166EB"/>
    <w:rsid w:val="00917FDE"/>
    <w:rsid w:val="00920CA3"/>
    <w:rsid w:val="009215C9"/>
    <w:rsid w:val="009223CA"/>
    <w:rsid w:val="00922C88"/>
    <w:rsid w:val="00922F9C"/>
    <w:rsid w:val="0092434D"/>
    <w:rsid w:val="00931EB3"/>
    <w:rsid w:val="00933D40"/>
    <w:rsid w:val="00936E4A"/>
    <w:rsid w:val="00940F93"/>
    <w:rsid w:val="00957EB6"/>
    <w:rsid w:val="0096751C"/>
    <w:rsid w:val="00973BBC"/>
    <w:rsid w:val="00973C44"/>
    <w:rsid w:val="009760F3"/>
    <w:rsid w:val="00976CFB"/>
    <w:rsid w:val="009812D6"/>
    <w:rsid w:val="00982036"/>
    <w:rsid w:val="009941AF"/>
    <w:rsid w:val="009A0830"/>
    <w:rsid w:val="009A0E8D"/>
    <w:rsid w:val="009A5C6E"/>
    <w:rsid w:val="009A6244"/>
    <w:rsid w:val="009A776B"/>
    <w:rsid w:val="009A7D9E"/>
    <w:rsid w:val="009B26E7"/>
    <w:rsid w:val="009D6B04"/>
    <w:rsid w:val="009E076B"/>
    <w:rsid w:val="009E7286"/>
    <w:rsid w:val="00A00697"/>
    <w:rsid w:val="00A00A3F"/>
    <w:rsid w:val="00A01489"/>
    <w:rsid w:val="00A144E6"/>
    <w:rsid w:val="00A3026E"/>
    <w:rsid w:val="00A32DEF"/>
    <w:rsid w:val="00A338F1"/>
    <w:rsid w:val="00A35BE0"/>
    <w:rsid w:val="00A4373C"/>
    <w:rsid w:val="00A54C24"/>
    <w:rsid w:val="00A568EC"/>
    <w:rsid w:val="00A6129C"/>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B3532"/>
    <w:rsid w:val="00AB5C99"/>
    <w:rsid w:val="00AC3F1A"/>
    <w:rsid w:val="00AC4D43"/>
    <w:rsid w:val="00AE08F1"/>
    <w:rsid w:val="00AE2E12"/>
    <w:rsid w:val="00AF0EA9"/>
    <w:rsid w:val="00B0107C"/>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B3F2F"/>
    <w:rsid w:val="00BC3FA0"/>
    <w:rsid w:val="00BC74E9"/>
    <w:rsid w:val="00BD43A5"/>
    <w:rsid w:val="00BE3161"/>
    <w:rsid w:val="00BF0CF2"/>
    <w:rsid w:val="00BF2EF3"/>
    <w:rsid w:val="00BF48D9"/>
    <w:rsid w:val="00BF5486"/>
    <w:rsid w:val="00BF67DE"/>
    <w:rsid w:val="00BF68A8"/>
    <w:rsid w:val="00BF76F9"/>
    <w:rsid w:val="00C11A03"/>
    <w:rsid w:val="00C14EC4"/>
    <w:rsid w:val="00C17B9D"/>
    <w:rsid w:val="00C22C0C"/>
    <w:rsid w:val="00C25CAF"/>
    <w:rsid w:val="00C2766D"/>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84FEA"/>
    <w:rsid w:val="00C91922"/>
    <w:rsid w:val="00C933EF"/>
    <w:rsid w:val="00C96DF2"/>
    <w:rsid w:val="00C97150"/>
    <w:rsid w:val="00CA31C6"/>
    <w:rsid w:val="00CA7D2A"/>
    <w:rsid w:val="00CB0F53"/>
    <w:rsid w:val="00CB3E03"/>
    <w:rsid w:val="00CC2893"/>
    <w:rsid w:val="00CC5BC3"/>
    <w:rsid w:val="00CD1B04"/>
    <w:rsid w:val="00CD4AA6"/>
    <w:rsid w:val="00CD6BFA"/>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5A18"/>
    <w:rsid w:val="00D37B31"/>
    <w:rsid w:val="00D37C72"/>
    <w:rsid w:val="00D4244C"/>
    <w:rsid w:val="00D43252"/>
    <w:rsid w:val="00D46113"/>
    <w:rsid w:val="00D47EEA"/>
    <w:rsid w:val="00D500EA"/>
    <w:rsid w:val="00D61562"/>
    <w:rsid w:val="00D773DF"/>
    <w:rsid w:val="00D858D0"/>
    <w:rsid w:val="00D95303"/>
    <w:rsid w:val="00D978C6"/>
    <w:rsid w:val="00DA1781"/>
    <w:rsid w:val="00DA3C1C"/>
    <w:rsid w:val="00DB12D7"/>
    <w:rsid w:val="00DC1C1D"/>
    <w:rsid w:val="00DC393A"/>
    <w:rsid w:val="00DC7544"/>
    <w:rsid w:val="00DD1088"/>
    <w:rsid w:val="00DE6B06"/>
    <w:rsid w:val="00DF5FF4"/>
    <w:rsid w:val="00DF6C26"/>
    <w:rsid w:val="00E046DF"/>
    <w:rsid w:val="00E2083E"/>
    <w:rsid w:val="00E20B22"/>
    <w:rsid w:val="00E214F0"/>
    <w:rsid w:val="00E22415"/>
    <w:rsid w:val="00E27346"/>
    <w:rsid w:val="00E27B0C"/>
    <w:rsid w:val="00E37533"/>
    <w:rsid w:val="00E5372B"/>
    <w:rsid w:val="00E64CFF"/>
    <w:rsid w:val="00E70BBC"/>
    <w:rsid w:val="00E71BC8"/>
    <w:rsid w:val="00E7260F"/>
    <w:rsid w:val="00E73F5D"/>
    <w:rsid w:val="00E77E4E"/>
    <w:rsid w:val="00E94ED4"/>
    <w:rsid w:val="00E96630"/>
    <w:rsid w:val="00E97BAF"/>
    <w:rsid w:val="00EA3FC3"/>
    <w:rsid w:val="00EB09F5"/>
    <w:rsid w:val="00EB3B4B"/>
    <w:rsid w:val="00EC60D8"/>
    <w:rsid w:val="00ED7297"/>
    <w:rsid w:val="00ED7A2A"/>
    <w:rsid w:val="00EE105C"/>
    <w:rsid w:val="00EE5A98"/>
    <w:rsid w:val="00EE5EA4"/>
    <w:rsid w:val="00EE79CE"/>
    <w:rsid w:val="00EF1D7F"/>
    <w:rsid w:val="00EF4C20"/>
    <w:rsid w:val="00F015F8"/>
    <w:rsid w:val="00F12D83"/>
    <w:rsid w:val="00F23D5B"/>
    <w:rsid w:val="00F259E5"/>
    <w:rsid w:val="00F31E5F"/>
    <w:rsid w:val="00F333A2"/>
    <w:rsid w:val="00F36F52"/>
    <w:rsid w:val="00F42032"/>
    <w:rsid w:val="00F55403"/>
    <w:rsid w:val="00F6100A"/>
    <w:rsid w:val="00F66C5E"/>
    <w:rsid w:val="00F71BEF"/>
    <w:rsid w:val="00F7208B"/>
    <w:rsid w:val="00F75087"/>
    <w:rsid w:val="00F8066F"/>
    <w:rsid w:val="00F93781"/>
    <w:rsid w:val="00FA7D6D"/>
    <w:rsid w:val="00FB014F"/>
    <w:rsid w:val="00FB4929"/>
    <w:rsid w:val="00FB613B"/>
    <w:rsid w:val="00FC42E5"/>
    <w:rsid w:val="00FC67FE"/>
    <w:rsid w:val="00FC68B7"/>
    <w:rsid w:val="00FD39C5"/>
    <w:rsid w:val="00FD3F98"/>
    <w:rsid w:val="00FD45B6"/>
    <w:rsid w:val="00FD67D2"/>
    <w:rsid w:val="00FE106A"/>
    <w:rsid w:val="00FE1C2B"/>
    <w:rsid w:val="00FE5AE2"/>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uiPriority w:val="99"/>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itc/itc_main_decisions_2018.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itc/itc_rep.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AEFE-0153-444A-A2DF-E0BF8A95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916</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44</cp:revision>
  <cp:lastPrinted>2018-05-14T12:42:00Z</cp:lastPrinted>
  <dcterms:created xsi:type="dcterms:W3CDTF">2018-02-28T08:27:00Z</dcterms:created>
  <dcterms:modified xsi:type="dcterms:W3CDTF">2018-05-14T12:43:00Z</dcterms:modified>
</cp:coreProperties>
</file>