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2518B9" w:rsidTr="00F01516">
        <w:trPr>
          <w:trHeight w:hRule="exact" w:val="851"/>
        </w:trPr>
        <w:tc>
          <w:tcPr>
            <w:tcW w:w="1277" w:type="dxa"/>
            <w:tcBorders>
              <w:bottom w:val="single" w:sz="4" w:space="0" w:color="auto"/>
            </w:tcBorders>
          </w:tcPr>
          <w:p w:rsidR="003D1DF3" w:rsidRPr="002518B9" w:rsidRDefault="003D1DF3" w:rsidP="00F01516">
            <w:pPr>
              <w:rPr>
                <w:lang w:val="fr-FR"/>
              </w:rPr>
            </w:pPr>
          </w:p>
        </w:tc>
        <w:tc>
          <w:tcPr>
            <w:tcW w:w="2268" w:type="dxa"/>
            <w:tcBorders>
              <w:bottom w:val="single" w:sz="4" w:space="0" w:color="auto"/>
            </w:tcBorders>
            <w:vAlign w:val="bottom"/>
          </w:tcPr>
          <w:p w:rsidR="003D1DF3" w:rsidRPr="002518B9" w:rsidRDefault="003D1DF3" w:rsidP="00F01516">
            <w:pPr>
              <w:spacing w:after="80" w:line="300" w:lineRule="exact"/>
              <w:rPr>
                <w:sz w:val="28"/>
                <w:lang w:val="fr-FR"/>
              </w:rPr>
            </w:pPr>
            <w:r w:rsidRPr="002518B9">
              <w:rPr>
                <w:sz w:val="28"/>
                <w:lang w:val="fr-FR"/>
              </w:rPr>
              <w:t>Nations Unies</w:t>
            </w:r>
          </w:p>
        </w:tc>
        <w:tc>
          <w:tcPr>
            <w:tcW w:w="6094" w:type="dxa"/>
            <w:gridSpan w:val="2"/>
            <w:tcBorders>
              <w:bottom w:val="single" w:sz="4" w:space="0" w:color="auto"/>
            </w:tcBorders>
            <w:vAlign w:val="bottom"/>
          </w:tcPr>
          <w:p w:rsidR="003D1DF3" w:rsidRPr="002518B9" w:rsidRDefault="006F5BE4" w:rsidP="00A8674A">
            <w:pPr>
              <w:jc w:val="right"/>
              <w:rPr>
                <w:lang w:val="en-GB"/>
              </w:rPr>
            </w:pPr>
            <w:r w:rsidRPr="00EE6577">
              <w:rPr>
                <w:sz w:val="40"/>
                <w:lang w:val="fr-FR"/>
              </w:rPr>
              <w:t>ECE</w:t>
            </w:r>
            <w:r w:rsidRPr="00EE6577">
              <w:rPr>
                <w:lang w:val="fr-FR"/>
              </w:rPr>
              <w:t>/ADN/</w:t>
            </w:r>
            <w:r>
              <w:rPr>
                <w:lang w:val="fr-FR"/>
              </w:rPr>
              <w:t>45</w:t>
            </w:r>
            <w:r w:rsidRPr="00EE6577">
              <w:rPr>
                <w:lang w:val="fr-FR"/>
              </w:rPr>
              <w:t>/Add.1</w:t>
            </w:r>
          </w:p>
        </w:tc>
      </w:tr>
      <w:tr w:rsidR="003D1DF3" w:rsidRPr="002518B9" w:rsidTr="00F01516">
        <w:trPr>
          <w:trHeight w:hRule="exact" w:val="2835"/>
        </w:trPr>
        <w:tc>
          <w:tcPr>
            <w:tcW w:w="1276" w:type="dxa"/>
            <w:tcBorders>
              <w:top w:val="single" w:sz="4" w:space="0" w:color="auto"/>
              <w:bottom w:val="single" w:sz="12" w:space="0" w:color="auto"/>
            </w:tcBorders>
          </w:tcPr>
          <w:p w:rsidR="003D1DF3" w:rsidRPr="002518B9" w:rsidRDefault="001703B7" w:rsidP="00F01516">
            <w:pPr>
              <w:spacing w:before="120"/>
              <w:jc w:val="center"/>
              <w:rPr>
                <w:lang w:val="fr-FR"/>
              </w:rPr>
            </w:pPr>
            <w:r w:rsidRPr="002518B9">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2518B9" w:rsidRDefault="003D1DF3" w:rsidP="00F01516">
            <w:pPr>
              <w:spacing w:before="120" w:line="420" w:lineRule="exact"/>
              <w:rPr>
                <w:b/>
                <w:sz w:val="40"/>
                <w:szCs w:val="40"/>
                <w:lang w:val="fr-FR"/>
              </w:rPr>
            </w:pPr>
            <w:r w:rsidRPr="002518B9">
              <w:rPr>
                <w:b/>
                <w:sz w:val="40"/>
                <w:szCs w:val="40"/>
                <w:lang w:val="fr-FR"/>
              </w:rPr>
              <w:t>Conseil économique et social</w:t>
            </w:r>
          </w:p>
        </w:tc>
        <w:tc>
          <w:tcPr>
            <w:tcW w:w="2835" w:type="dxa"/>
            <w:tcBorders>
              <w:top w:val="single" w:sz="4" w:space="0" w:color="auto"/>
              <w:bottom w:val="single" w:sz="12" w:space="0" w:color="auto"/>
            </w:tcBorders>
          </w:tcPr>
          <w:p w:rsidR="003D1DF3" w:rsidRPr="002518B9" w:rsidRDefault="00C4302B" w:rsidP="00C4302B">
            <w:pPr>
              <w:spacing w:before="240" w:line="240" w:lineRule="exact"/>
              <w:rPr>
                <w:lang w:val="fr-FR"/>
              </w:rPr>
            </w:pPr>
            <w:proofErr w:type="spellStart"/>
            <w:r w:rsidRPr="002518B9">
              <w:rPr>
                <w:lang w:val="fr-FR"/>
              </w:rPr>
              <w:t>Distr</w:t>
            </w:r>
            <w:proofErr w:type="spellEnd"/>
            <w:r w:rsidRPr="002518B9">
              <w:rPr>
                <w:lang w:val="fr-FR"/>
              </w:rPr>
              <w:t xml:space="preserve">. </w:t>
            </w:r>
            <w:proofErr w:type="gramStart"/>
            <w:r w:rsidRPr="002518B9">
              <w:rPr>
                <w:lang w:val="fr-FR"/>
              </w:rPr>
              <w:t>générale</w:t>
            </w:r>
            <w:proofErr w:type="gramEnd"/>
          </w:p>
          <w:p w:rsidR="00C4302B" w:rsidRPr="002518B9" w:rsidRDefault="006F5BE4" w:rsidP="00C4302B">
            <w:pPr>
              <w:spacing w:line="240" w:lineRule="exact"/>
              <w:rPr>
                <w:lang w:val="fr-FR"/>
              </w:rPr>
            </w:pPr>
            <w:r>
              <w:rPr>
                <w:lang w:val="fr-FR"/>
              </w:rPr>
              <w:t>29</w:t>
            </w:r>
            <w:r w:rsidRPr="00EE6577">
              <w:rPr>
                <w:lang w:val="fr-FR"/>
              </w:rPr>
              <w:t xml:space="preserve"> aout 201</w:t>
            </w:r>
            <w:r>
              <w:rPr>
                <w:lang w:val="fr-FR"/>
              </w:rPr>
              <w:t>8</w:t>
            </w:r>
          </w:p>
          <w:p w:rsidR="00C4302B" w:rsidRPr="002518B9" w:rsidRDefault="002575AC" w:rsidP="00C4302B">
            <w:pPr>
              <w:spacing w:line="240" w:lineRule="exact"/>
              <w:rPr>
                <w:lang w:val="fr-FR"/>
              </w:rPr>
            </w:pPr>
            <w:r w:rsidRPr="002518B9">
              <w:rPr>
                <w:lang w:val="fr-FR"/>
              </w:rPr>
              <w:t>Français</w:t>
            </w:r>
          </w:p>
          <w:p w:rsidR="00C4302B" w:rsidRPr="002518B9" w:rsidRDefault="00C4302B" w:rsidP="00B30CFB">
            <w:pPr>
              <w:spacing w:line="240" w:lineRule="exact"/>
              <w:rPr>
                <w:lang w:val="fr-FR"/>
              </w:rPr>
            </w:pPr>
            <w:proofErr w:type="gramStart"/>
            <w:r w:rsidRPr="002518B9">
              <w:rPr>
                <w:lang w:val="fr-FR"/>
              </w:rPr>
              <w:t>Original:</w:t>
            </w:r>
            <w:proofErr w:type="gramEnd"/>
            <w:r w:rsidRPr="002518B9">
              <w:rPr>
                <w:lang w:val="fr-FR"/>
              </w:rPr>
              <w:t xml:space="preserve"> </w:t>
            </w:r>
            <w:r w:rsidR="00A8674A" w:rsidRPr="002518B9">
              <w:rPr>
                <w:lang w:val="fr-FR"/>
              </w:rPr>
              <w:t>anglais et français</w:t>
            </w:r>
          </w:p>
        </w:tc>
      </w:tr>
    </w:tbl>
    <w:p w:rsidR="00FF1DBD" w:rsidRPr="002518B9" w:rsidRDefault="000312C0" w:rsidP="000312C0">
      <w:pPr>
        <w:spacing w:before="120"/>
        <w:rPr>
          <w:b/>
          <w:sz w:val="28"/>
          <w:szCs w:val="28"/>
          <w:lang w:val="fr-FR"/>
        </w:rPr>
      </w:pPr>
      <w:r w:rsidRPr="002518B9">
        <w:rPr>
          <w:b/>
          <w:sz w:val="28"/>
          <w:szCs w:val="28"/>
          <w:lang w:val="fr-FR"/>
        </w:rPr>
        <w:t>Commission économique pour l’Europe</w:t>
      </w:r>
    </w:p>
    <w:p w:rsidR="006F5BE4" w:rsidRPr="00EE6577" w:rsidRDefault="006F5BE4" w:rsidP="006F5BE4">
      <w:pPr>
        <w:spacing w:before="120"/>
        <w:rPr>
          <w:b/>
          <w:sz w:val="24"/>
          <w:szCs w:val="24"/>
          <w:lang w:val="fr-FR"/>
        </w:rPr>
      </w:pPr>
      <w:r w:rsidRPr="00687512">
        <w:rPr>
          <w:b/>
          <w:lang w:val="fr-FR"/>
        </w:rPr>
        <w:t xml:space="preserve">Comité d'administration de l’Accord européen </w:t>
      </w:r>
      <w:r w:rsidRPr="00687512">
        <w:rPr>
          <w:b/>
          <w:lang w:val="fr-FR"/>
        </w:rPr>
        <w:br/>
        <w:t>relatif au transport international</w:t>
      </w:r>
      <w:r>
        <w:rPr>
          <w:b/>
          <w:lang w:val="fr-FR"/>
        </w:rPr>
        <w:t xml:space="preserve"> </w:t>
      </w:r>
      <w:r w:rsidRPr="00687512">
        <w:rPr>
          <w:b/>
          <w:lang w:val="fr-FR"/>
        </w:rPr>
        <w:t xml:space="preserve">des marchandises </w:t>
      </w:r>
      <w:r>
        <w:rPr>
          <w:b/>
          <w:lang w:val="fr-FR"/>
        </w:rPr>
        <w:br/>
      </w:r>
      <w:r w:rsidRPr="00687512">
        <w:rPr>
          <w:b/>
          <w:bCs/>
          <w:iCs/>
          <w:lang w:val="fr-FR"/>
        </w:rPr>
        <w:t>dangereuses par voies de navigation intérieures (ADN)</w:t>
      </w:r>
    </w:p>
    <w:p w:rsidR="006F5BE4" w:rsidRPr="00EE6577" w:rsidRDefault="006F5BE4" w:rsidP="006F5BE4">
      <w:pPr>
        <w:pStyle w:val="HChG"/>
        <w:rPr>
          <w:lang w:val="fr-FR"/>
        </w:rPr>
      </w:pPr>
      <w:r w:rsidRPr="00EE6577">
        <w:rPr>
          <w:b w:val="0"/>
          <w:lang w:val="fr-FR"/>
        </w:rPr>
        <w:tab/>
      </w:r>
      <w:r w:rsidRPr="00EE6577">
        <w:rPr>
          <w:b w:val="0"/>
          <w:lang w:val="fr-FR"/>
        </w:rPr>
        <w:tab/>
      </w:r>
      <w:r w:rsidRPr="00EE6577">
        <w:rPr>
          <w:lang w:val="fr-FR"/>
        </w:rPr>
        <w:t>Accord européen relatif au transport international des marchandises dangereuses par voies de navigation intérieures (ADN)</w:t>
      </w:r>
    </w:p>
    <w:p w:rsidR="006F5BE4" w:rsidRPr="00EE6577" w:rsidRDefault="006F5BE4" w:rsidP="006F5BE4">
      <w:pPr>
        <w:pStyle w:val="H1G"/>
        <w:rPr>
          <w:lang w:val="fr-FR"/>
        </w:rPr>
      </w:pPr>
      <w:r w:rsidRPr="00EE6577">
        <w:rPr>
          <w:lang w:val="fr-FR"/>
        </w:rPr>
        <w:tab/>
      </w:r>
      <w:r w:rsidRPr="00EE6577">
        <w:rPr>
          <w:lang w:val="fr-FR"/>
        </w:rPr>
        <w:tab/>
        <w:t>Projet d'amendements au Règlement annexé à l'ADN</w:t>
      </w:r>
      <w:r w:rsidR="00D74EC8" w:rsidRPr="00D74EC8">
        <w:rPr>
          <w:rStyle w:val="FootnoteReference"/>
          <w:sz w:val="22"/>
          <w:szCs w:val="22"/>
        </w:rPr>
        <w:footnoteReference w:customMarkFollows="1" w:id="2"/>
        <w:t>*</w:t>
      </w:r>
    </w:p>
    <w:p w:rsidR="006F5BE4" w:rsidRPr="00EE6577" w:rsidRDefault="006F5BE4" w:rsidP="006F5BE4">
      <w:pPr>
        <w:pStyle w:val="H23G"/>
        <w:rPr>
          <w:lang w:val="fr-FR"/>
        </w:rPr>
      </w:pPr>
      <w:r>
        <w:rPr>
          <w:lang w:val="fr-FR"/>
        </w:rPr>
        <w:tab/>
      </w:r>
      <w:r>
        <w:rPr>
          <w:lang w:val="fr-FR"/>
        </w:rPr>
        <w:tab/>
      </w:r>
      <w:r w:rsidRPr="00EE6577">
        <w:rPr>
          <w:lang w:val="fr-FR"/>
        </w:rPr>
        <w:t>Additif</w:t>
      </w:r>
    </w:p>
    <w:p w:rsidR="001474C1" w:rsidRPr="002518B9" w:rsidRDefault="001474C1" w:rsidP="00B35870">
      <w:pPr>
        <w:pStyle w:val="HChG"/>
        <w:rPr>
          <w:lang w:val="fr-FR"/>
        </w:rPr>
      </w:pPr>
      <w:r w:rsidRPr="002518B9">
        <w:rPr>
          <w:lang w:val="fr-FR"/>
        </w:rPr>
        <w:tab/>
      </w:r>
      <w:r w:rsidRPr="002518B9">
        <w:rPr>
          <w:lang w:val="fr-FR"/>
        </w:rPr>
        <w:tab/>
        <w:t xml:space="preserve">Chapitre </w:t>
      </w:r>
      <w:r w:rsidR="009F32AB" w:rsidRPr="002518B9">
        <w:rPr>
          <w:lang w:val="fr-FR"/>
        </w:rPr>
        <w:t>1.2</w:t>
      </w:r>
    </w:p>
    <w:p w:rsidR="009F32AB" w:rsidRPr="002518B9" w:rsidRDefault="009F32AB" w:rsidP="009F32AB">
      <w:pPr>
        <w:pStyle w:val="SingleTxtG"/>
        <w:rPr>
          <w:lang w:val="fr-FR"/>
        </w:rPr>
      </w:pPr>
      <w:r w:rsidRPr="002518B9">
        <w:rPr>
          <w:lang w:val="fr-FR"/>
        </w:rPr>
        <w:t>1.2.1</w:t>
      </w:r>
      <w:r w:rsidRPr="002518B9">
        <w:rPr>
          <w:lang w:val="fr-FR"/>
        </w:rPr>
        <w:tab/>
        <w:t xml:space="preserve">Ajouter la définition </w:t>
      </w:r>
      <w:proofErr w:type="gramStart"/>
      <w:r w:rsidRPr="002518B9">
        <w:rPr>
          <w:lang w:val="fr-FR"/>
        </w:rPr>
        <w:t>suivante:</w:t>
      </w:r>
      <w:proofErr w:type="gramEnd"/>
    </w:p>
    <w:p w:rsidR="00B35870" w:rsidRDefault="00EA0EA5" w:rsidP="009F32AB">
      <w:pPr>
        <w:pStyle w:val="SingleTxtG"/>
        <w:rPr>
          <w:i/>
          <w:lang w:val="fr-FR"/>
        </w:rPr>
      </w:pPr>
      <w:proofErr w:type="gramStart"/>
      <w:r w:rsidRPr="002518B9">
        <w:rPr>
          <w:i/>
          <w:lang w:val="fr-FR"/>
        </w:rPr>
        <w:t>«Règlement</w:t>
      </w:r>
      <w:proofErr w:type="gramEnd"/>
      <w:r w:rsidRPr="002518B9">
        <w:rPr>
          <w:i/>
          <w:lang w:val="fr-FR"/>
        </w:rPr>
        <w:t xml:space="preserve"> ONU:</w:t>
      </w:r>
      <w:r w:rsidRPr="002518B9">
        <w:rPr>
          <w:i/>
          <w:lang w:val="fr-FR"/>
        </w:rPr>
        <w:t xml:space="preserve"> </w:t>
      </w:r>
    </w:p>
    <w:p w:rsidR="009F32AB" w:rsidRPr="002518B9" w:rsidRDefault="00EA0EA5" w:rsidP="009F32AB">
      <w:pPr>
        <w:pStyle w:val="SingleTxtG"/>
        <w:rPr>
          <w:lang w:val="fr-FR"/>
        </w:rPr>
      </w:pPr>
      <w:proofErr w:type="gramStart"/>
      <w:r w:rsidRPr="002518B9">
        <w:rPr>
          <w:lang w:val="fr-FR"/>
        </w:rPr>
        <w:t>un</w:t>
      </w:r>
      <w:proofErr w:type="gramEnd"/>
      <w:r w:rsidRPr="002518B9">
        <w:rPr>
          <w:lang w:val="fr-FR"/>
        </w:rPr>
        <w:t xml:space="preserve"> Règlement annexé à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tel que modifié);».</w:t>
      </w:r>
    </w:p>
    <w:p w:rsidR="001474C1" w:rsidRPr="002518B9" w:rsidRDefault="001474C1" w:rsidP="00B35870">
      <w:pPr>
        <w:pStyle w:val="HChG"/>
        <w:rPr>
          <w:lang w:val="fr-FR"/>
        </w:rPr>
      </w:pPr>
      <w:r w:rsidRPr="002518B9">
        <w:rPr>
          <w:lang w:val="fr-FR"/>
        </w:rPr>
        <w:tab/>
      </w:r>
      <w:r w:rsidRPr="002518B9">
        <w:rPr>
          <w:lang w:val="fr-FR"/>
        </w:rPr>
        <w:tab/>
        <w:t xml:space="preserve">Chapitre </w:t>
      </w:r>
      <w:r w:rsidR="00612805" w:rsidRPr="002518B9">
        <w:rPr>
          <w:lang w:val="fr-FR"/>
        </w:rPr>
        <w:t>1.6</w:t>
      </w:r>
    </w:p>
    <w:p w:rsidR="00612805" w:rsidRPr="002518B9" w:rsidRDefault="00612805" w:rsidP="00612805">
      <w:pPr>
        <w:pStyle w:val="SingleTxtG"/>
        <w:rPr>
          <w:lang w:val="fr-FR"/>
        </w:rPr>
      </w:pPr>
      <w:r w:rsidRPr="002518B9">
        <w:rPr>
          <w:lang w:val="fr-FR"/>
        </w:rPr>
        <w:t>1.6.1</w:t>
      </w:r>
      <w:r w:rsidRPr="002518B9">
        <w:rPr>
          <w:lang w:val="fr-FR"/>
        </w:rPr>
        <w:tab/>
        <w:t>Ajouter la nouvelle mesure transitoire suivante :</w:t>
      </w:r>
    </w:p>
    <w:p w:rsidR="00612805" w:rsidRPr="002518B9" w:rsidRDefault="006C4D17" w:rsidP="00612805">
      <w:pPr>
        <w:pStyle w:val="SingleTxtG"/>
        <w:rPr>
          <w:lang w:val="fr-FR"/>
        </w:rPr>
      </w:pPr>
      <w:r w:rsidRPr="002518B9">
        <w:rPr>
          <w:lang w:val="fr-FR"/>
        </w:rPr>
        <w:t>«</w:t>
      </w:r>
      <w:bookmarkStart w:id="0" w:name="_Hlk521332336"/>
      <w:r w:rsidR="00612805" w:rsidRPr="002518B9">
        <w:rPr>
          <w:lang w:val="fr-FR"/>
        </w:rPr>
        <w:t>1.6.1.47</w:t>
      </w:r>
      <w:r w:rsidR="00612805" w:rsidRPr="002518B9">
        <w:rPr>
          <w:lang w:val="fr-FR"/>
        </w:rPr>
        <w:tab/>
        <w:t>Les piles et batteries au lithium ne répondant pas aux prescriptions du 2.2.9.1.7 g) peuvent encore être transportées jusqu’au 31 décembre 2019</w:t>
      </w:r>
      <w:proofErr w:type="gramStart"/>
      <w:r w:rsidR="00612805" w:rsidRPr="002518B9">
        <w:rPr>
          <w:lang w:val="fr-FR"/>
        </w:rPr>
        <w:t>.</w:t>
      </w:r>
      <w:bookmarkEnd w:id="0"/>
      <w:r w:rsidR="00612805" w:rsidRPr="002518B9">
        <w:rPr>
          <w:lang w:val="fr-FR"/>
        </w:rPr>
        <w:t>»</w:t>
      </w:r>
      <w:proofErr w:type="gramEnd"/>
      <w:r w:rsidR="00612805" w:rsidRPr="002518B9">
        <w:rPr>
          <w:lang w:val="fr-FR"/>
        </w:rPr>
        <w:t>.</w:t>
      </w:r>
    </w:p>
    <w:p w:rsidR="00612805" w:rsidRPr="002518B9" w:rsidRDefault="00612805" w:rsidP="00612805">
      <w:pPr>
        <w:pStyle w:val="SingleTxtG"/>
        <w:tabs>
          <w:tab w:val="left" w:pos="1985"/>
        </w:tabs>
        <w:rPr>
          <w:iCs/>
          <w:lang w:val="fr-FR"/>
        </w:rPr>
      </w:pPr>
      <w:r w:rsidRPr="002518B9">
        <w:rPr>
          <w:iCs/>
          <w:lang w:val="fr-FR"/>
        </w:rPr>
        <w:t>1.6.7.4.2</w:t>
      </w:r>
      <w:r w:rsidRPr="002518B9">
        <w:rPr>
          <w:iCs/>
          <w:lang w:val="fr-FR"/>
        </w:rPr>
        <w:tab/>
        <w:t xml:space="preserve">Supprimer et ajouter </w:t>
      </w:r>
      <w:r w:rsidR="0057730C" w:rsidRPr="002518B9">
        <w:rPr>
          <w:iCs/>
          <w:lang w:val="fr-FR"/>
        </w:rPr>
        <w:t>«</w:t>
      </w:r>
      <w:r w:rsidRPr="002518B9">
        <w:rPr>
          <w:iCs/>
          <w:lang w:val="fr-FR"/>
        </w:rPr>
        <w:t>1.6.7.4.2</w:t>
      </w:r>
      <w:r w:rsidRPr="002518B9">
        <w:rPr>
          <w:iCs/>
          <w:lang w:val="fr-FR"/>
        </w:rPr>
        <w:tab/>
      </w:r>
      <w:r w:rsidR="0057730C" w:rsidRPr="002518B9">
        <w:rPr>
          <w:i/>
          <w:lang w:val="fr-FR"/>
        </w:rPr>
        <w:t>(Supprimé</w:t>
      </w:r>
      <w:proofErr w:type="gramStart"/>
      <w:r w:rsidR="0057730C" w:rsidRPr="002518B9">
        <w:rPr>
          <w:i/>
          <w:lang w:val="fr-FR"/>
        </w:rPr>
        <w:t>)</w:t>
      </w:r>
      <w:r w:rsidR="0057730C" w:rsidRPr="002518B9">
        <w:rPr>
          <w:iCs/>
          <w:lang w:val="fr-FR"/>
        </w:rPr>
        <w:t>»</w:t>
      </w:r>
      <w:proofErr w:type="gramEnd"/>
      <w:r w:rsidRPr="002518B9">
        <w:rPr>
          <w:iCs/>
          <w:lang w:val="fr-FR"/>
        </w:rPr>
        <w:t>.</w:t>
      </w:r>
    </w:p>
    <w:p w:rsidR="001474C1" w:rsidRPr="002518B9" w:rsidRDefault="001474C1" w:rsidP="00B35870">
      <w:pPr>
        <w:pStyle w:val="HChG"/>
        <w:rPr>
          <w:lang w:val="fr-FR"/>
        </w:rPr>
      </w:pPr>
      <w:r w:rsidRPr="002518B9">
        <w:rPr>
          <w:lang w:val="fr-FR"/>
        </w:rPr>
        <w:lastRenderedPageBreak/>
        <w:tab/>
      </w:r>
      <w:r w:rsidRPr="002518B9">
        <w:rPr>
          <w:lang w:val="fr-FR"/>
        </w:rPr>
        <w:tab/>
        <w:t xml:space="preserve">Chapitre </w:t>
      </w:r>
      <w:r w:rsidR="00D509C5" w:rsidRPr="002518B9">
        <w:rPr>
          <w:lang w:val="fr-FR"/>
        </w:rPr>
        <w:t>2.1</w:t>
      </w:r>
    </w:p>
    <w:p w:rsidR="00D509C5" w:rsidRPr="002518B9" w:rsidRDefault="001969E8" w:rsidP="001969E8">
      <w:pPr>
        <w:pStyle w:val="SingleTxtG"/>
        <w:rPr>
          <w:lang w:val="fr-FR"/>
        </w:rPr>
      </w:pPr>
      <w:r w:rsidRPr="002518B9">
        <w:rPr>
          <w:lang w:val="fr-FR"/>
        </w:rPr>
        <w:t>2.1.5</w:t>
      </w:r>
      <w:r w:rsidRPr="002518B9">
        <w:rPr>
          <w:lang w:val="fr-FR"/>
        </w:rPr>
        <w:tab/>
        <w:t xml:space="preserve">Ajouter le Nota suivant au </w:t>
      </w:r>
      <w:proofErr w:type="gramStart"/>
      <w:r w:rsidRPr="002518B9">
        <w:rPr>
          <w:lang w:val="fr-FR"/>
        </w:rPr>
        <w:t>début:</w:t>
      </w:r>
      <w:proofErr w:type="gramEnd"/>
    </w:p>
    <w:p w:rsidR="001969E8" w:rsidRPr="002518B9" w:rsidRDefault="001969E8" w:rsidP="001969E8">
      <w:pPr>
        <w:pStyle w:val="SingleTxtG"/>
        <w:rPr>
          <w:i/>
        </w:rPr>
      </w:pPr>
      <w:proofErr w:type="gramStart"/>
      <w:r w:rsidRPr="002518B9">
        <w:rPr>
          <w:b/>
          <w:i/>
        </w:rPr>
        <w:t>«</w:t>
      </w:r>
      <w:bookmarkStart w:id="1" w:name="_Hlk521332457"/>
      <w:r w:rsidRPr="002518B9">
        <w:rPr>
          <w:b/>
          <w:i/>
        </w:rPr>
        <w:t>NOTA</w:t>
      </w:r>
      <w:proofErr w:type="gramEnd"/>
      <w:r w:rsidRPr="002518B9">
        <w:rPr>
          <w:b/>
          <w:i/>
        </w:rPr>
        <w:t xml:space="preserve">: </w:t>
      </w:r>
      <w:r w:rsidRPr="002518B9">
        <w:rPr>
          <w:i/>
        </w:rPr>
        <w:t>Pour les objets qui n’ont pas de désignation officielle de transport, autre que les Nos ONU 3537 à 3548, et qui contiennent seulement des marchandises dangereuses en quantités ne dépassant pas celles fixées à la colonne (7a) du tableau A du chapitre 3.2, voir le No ONU 3363 et les dispositions spéciales 301 et 672 du chapitre 3.3.</w:t>
      </w:r>
      <w:bookmarkEnd w:id="1"/>
      <w:r w:rsidRPr="002518B9">
        <w:rPr>
          <w:i/>
        </w:rPr>
        <w:t>».</w:t>
      </w:r>
    </w:p>
    <w:p w:rsidR="001474C1" w:rsidRPr="002518B9" w:rsidRDefault="001474C1" w:rsidP="00B35870">
      <w:pPr>
        <w:pStyle w:val="HChG"/>
        <w:rPr>
          <w:lang w:val="fr-FR"/>
        </w:rPr>
      </w:pPr>
      <w:r w:rsidRPr="002518B9">
        <w:rPr>
          <w:lang w:val="fr-FR"/>
        </w:rPr>
        <w:tab/>
      </w:r>
      <w:r w:rsidRPr="002518B9">
        <w:rPr>
          <w:lang w:val="fr-FR"/>
        </w:rPr>
        <w:tab/>
        <w:t xml:space="preserve">Chapitre </w:t>
      </w:r>
      <w:r w:rsidR="008C663F" w:rsidRPr="002518B9">
        <w:rPr>
          <w:lang w:val="fr-FR"/>
        </w:rPr>
        <w:t>2.2</w:t>
      </w:r>
    </w:p>
    <w:p w:rsidR="008C663F" w:rsidRPr="002518B9" w:rsidRDefault="008C663F" w:rsidP="008C663F">
      <w:pPr>
        <w:pStyle w:val="SingleTxtG"/>
        <w:rPr>
          <w:lang w:val="fr-FR"/>
        </w:rPr>
      </w:pPr>
      <w:r w:rsidRPr="002518B9">
        <w:rPr>
          <w:lang w:val="fr-FR"/>
        </w:rPr>
        <w:t>2.2.9.2</w:t>
      </w:r>
      <w:r w:rsidR="006C4D17" w:rsidRPr="002518B9">
        <w:rPr>
          <w:lang w:val="fr-FR"/>
        </w:rPr>
        <w:tab/>
      </w:r>
      <w:r w:rsidR="006C4D17" w:rsidRPr="002518B9">
        <w:rPr>
          <w:lang w:val="fr-FR"/>
        </w:rPr>
        <w:tab/>
        <w:t>Au premier tiret, remplacer</w:t>
      </w:r>
      <w:proofErr w:type="gramStart"/>
      <w:r w:rsidR="006C4D17" w:rsidRPr="002518B9">
        <w:rPr>
          <w:lang w:val="fr-FR"/>
        </w:rPr>
        <w:t xml:space="preserve"> «</w:t>
      </w:r>
      <w:r w:rsidRPr="002518B9">
        <w:rPr>
          <w:lang w:val="fr-FR"/>
        </w:rPr>
        <w:t>des</w:t>
      </w:r>
      <w:proofErr w:type="gramEnd"/>
      <w:r w:rsidRPr="002518B9">
        <w:rPr>
          <w:lang w:val="fr-FR"/>
        </w:rPr>
        <w:t xml:space="preserve"> dispositions spéciales 188, 230, </w:t>
      </w:r>
      <w:r w:rsidR="006C4D17" w:rsidRPr="002518B9">
        <w:rPr>
          <w:lang w:val="fr-FR"/>
        </w:rPr>
        <w:t>310 ou 636 du chapitre 3.3» par «</w:t>
      </w:r>
      <w:bookmarkStart w:id="2" w:name="_Hlk521332535"/>
      <w:r w:rsidRPr="002518B9">
        <w:rPr>
          <w:lang w:val="fr-FR"/>
        </w:rPr>
        <w:t xml:space="preserve">des dispositions spéciales 188, 230, </w:t>
      </w:r>
      <w:r w:rsidR="006C4D17" w:rsidRPr="002518B9">
        <w:rPr>
          <w:lang w:val="fr-FR"/>
        </w:rPr>
        <w:t>310, 636 ou 670 du chapitre 3.3</w:t>
      </w:r>
      <w:bookmarkEnd w:id="2"/>
      <w:r w:rsidRPr="002518B9">
        <w:rPr>
          <w:lang w:val="fr-FR"/>
        </w:rPr>
        <w:t>».</w:t>
      </w:r>
    </w:p>
    <w:p w:rsidR="001474C1" w:rsidRPr="002518B9" w:rsidRDefault="001474C1" w:rsidP="00B35870">
      <w:pPr>
        <w:pStyle w:val="HChG"/>
        <w:rPr>
          <w:lang w:val="fr-FR"/>
        </w:rPr>
      </w:pPr>
      <w:r w:rsidRPr="002518B9">
        <w:rPr>
          <w:lang w:val="fr-FR"/>
        </w:rPr>
        <w:tab/>
      </w:r>
      <w:r w:rsidRPr="002518B9">
        <w:rPr>
          <w:lang w:val="fr-FR"/>
        </w:rPr>
        <w:tab/>
        <w:t xml:space="preserve">Chapitre </w:t>
      </w:r>
      <w:r w:rsidR="008C663F" w:rsidRPr="002518B9">
        <w:rPr>
          <w:lang w:val="fr-FR"/>
        </w:rPr>
        <w:t>3.2, Tableau A</w:t>
      </w:r>
    </w:p>
    <w:p w:rsidR="008C663F" w:rsidRPr="002518B9" w:rsidRDefault="008C663F" w:rsidP="008C663F">
      <w:pPr>
        <w:pStyle w:val="SingleTxtG"/>
        <w:rPr>
          <w:lang w:val="fr-FR"/>
        </w:rPr>
      </w:pPr>
      <w:r w:rsidRPr="002518B9">
        <w:rPr>
          <w:lang w:val="fr-FR"/>
        </w:rPr>
        <w:t>Pour les Nos ONU 1002, 1006, 1013, 1046, 1056, 1058, 1065, 1066, 1080, 1952, 1956, 2036, 3070, 316</w:t>
      </w:r>
      <w:r w:rsidR="001C1259" w:rsidRPr="002518B9">
        <w:rPr>
          <w:lang w:val="fr-FR"/>
        </w:rPr>
        <w:t>3, 3297, 3298 et 3299 insérer «</w:t>
      </w:r>
      <w:proofErr w:type="gramStart"/>
      <w:r w:rsidR="001C1259" w:rsidRPr="002518B9">
        <w:rPr>
          <w:lang w:val="fr-FR"/>
        </w:rPr>
        <w:t>660</w:t>
      </w:r>
      <w:r w:rsidRPr="002518B9">
        <w:rPr>
          <w:lang w:val="fr-FR"/>
        </w:rPr>
        <w:t>»</w:t>
      </w:r>
      <w:proofErr w:type="gramEnd"/>
      <w:r w:rsidRPr="002518B9">
        <w:rPr>
          <w:lang w:val="fr-FR"/>
        </w:rPr>
        <w:t xml:space="preserve"> dans la colonne (6).</w:t>
      </w:r>
    </w:p>
    <w:p w:rsidR="00145088" w:rsidRPr="002518B9" w:rsidRDefault="00145088" w:rsidP="008C663F">
      <w:pPr>
        <w:pStyle w:val="SingleTxtG"/>
        <w:rPr>
          <w:lang w:val="fr-FR"/>
        </w:rPr>
      </w:pPr>
      <w:r>
        <w:rPr>
          <w:lang w:val="fr-FR"/>
        </w:rPr>
        <w:t>Pour le No</w:t>
      </w:r>
      <w:r w:rsidRPr="002518B9">
        <w:rPr>
          <w:lang w:val="fr-FR"/>
        </w:rPr>
        <w:t xml:space="preserve"> ONU </w:t>
      </w:r>
      <w:r w:rsidR="00917C1B">
        <w:rPr>
          <w:lang w:val="fr-FR"/>
        </w:rPr>
        <w:t xml:space="preserve">2071, supprimer </w:t>
      </w:r>
      <w:r w:rsidR="00917C1B" w:rsidRPr="002518B9">
        <w:rPr>
          <w:lang w:val="fr-FR"/>
        </w:rPr>
        <w:t>«</w:t>
      </w:r>
      <w:proofErr w:type="gramStart"/>
      <w:r w:rsidR="00917C1B">
        <w:rPr>
          <w:lang w:val="fr-FR"/>
        </w:rPr>
        <w:t>186</w:t>
      </w:r>
      <w:r w:rsidR="00917C1B" w:rsidRPr="002518B9">
        <w:rPr>
          <w:lang w:val="fr-FR"/>
        </w:rPr>
        <w:t>»</w:t>
      </w:r>
      <w:proofErr w:type="gramEnd"/>
      <w:r w:rsidR="00917C1B" w:rsidRPr="002518B9">
        <w:rPr>
          <w:lang w:val="fr-FR"/>
        </w:rPr>
        <w:t xml:space="preserve"> dans la colonne (6).</w:t>
      </w:r>
    </w:p>
    <w:p w:rsidR="00C05575" w:rsidRPr="002518B9" w:rsidRDefault="00C05575" w:rsidP="00B35870">
      <w:pPr>
        <w:pStyle w:val="HChG"/>
        <w:rPr>
          <w:lang w:val="fr-FR"/>
        </w:rPr>
      </w:pPr>
      <w:r w:rsidRPr="002518B9">
        <w:rPr>
          <w:lang w:val="fr-FR"/>
        </w:rPr>
        <w:tab/>
      </w:r>
      <w:r w:rsidRPr="002518B9">
        <w:rPr>
          <w:lang w:val="fr-FR"/>
        </w:rPr>
        <w:tab/>
        <w:t>Chapitre 5.2</w:t>
      </w:r>
    </w:p>
    <w:p w:rsidR="00C05575" w:rsidRPr="002518B9" w:rsidRDefault="00C05575" w:rsidP="00C05575">
      <w:pPr>
        <w:pStyle w:val="SingleTxtG"/>
        <w:tabs>
          <w:tab w:val="left" w:pos="2268"/>
        </w:tabs>
        <w:rPr>
          <w:lang w:val="fr-FR"/>
        </w:rPr>
      </w:pPr>
      <w:r w:rsidRPr="002518B9">
        <w:rPr>
          <w:lang w:val="fr-FR"/>
        </w:rPr>
        <w:t>5.2.1.5</w:t>
      </w:r>
      <w:r w:rsidRPr="002518B9">
        <w:rPr>
          <w:lang w:val="fr-FR"/>
        </w:rPr>
        <w:tab/>
        <w:t>Modifier la deuxième phrase comme suit :</w:t>
      </w:r>
    </w:p>
    <w:p w:rsidR="00C05575" w:rsidRPr="002518B9" w:rsidRDefault="00C05575" w:rsidP="00C05575">
      <w:pPr>
        <w:pStyle w:val="SingleTxtG"/>
        <w:rPr>
          <w:lang w:val="fr-FR"/>
        </w:rPr>
      </w:pPr>
      <w:proofErr w:type="gramStart"/>
      <w:r w:rsidRPr="002518B9">
        <w:rPr>
          <w:lang w:val="fr-FR"/>
        </w:rPr>
        <w:t>«</w:t>
      </w:r>
      <w:bookmarkStart w:id="3" w:name="_Hlk521336445"/>
      <w:r w:rsidRPr="002518B9">
        <w:rPr>
          <w:lang w:val="fr-FR"/>
        </w:rPr>
        <w:t>La</w:t>
      </w:r>
      <w:proofErr w:type="gramEnd"/>
      <w:r w:rsidRPr="002518B9">
        <w:rPr>
          <w:lang w:val="fr-FR"/>
        </w:rPr>
        <w:t xml:space="preserve"> marque bien lisible et indélébile doit être rédigée dans une ou plusieurs langue(s), dont l’une doit être le français, l’allemand ou l’anglais, à moins que des accords conclus entre les pays intéressés au transport n’en disposent autrement.</w:t>
      </w:r>
      <w:bookmarkEnd w:id="3"/>
      <w:r w:rsidRPr="002518B9">
        <w:rPr>
          <w:lang w:val="fr-FR"/>
        </w:rPr>
        <w:t>».</w:t>
      </w:r>
    </w:p>
    <w:p w:rsidR="008A54AE" w:rsidRPr="002518B9" w:rsidRDefault="008A54AE" w:rsidP="00C05575">
      <w:pPr>
        <w:pStyle w:val="SingleTxtG"/>
        <w:rPr>
          <w:lang w:val="fr-FR"/>
        </w:rPr>
      </w:pPr>
      <w:r w:rsidRPr="002518B9">
        <w:rPr>
          <w:lang w:val="fr-FR"/>
        </w:rPr>
        <w:t>5.2.2.2.1.1.2</w:t>
      </w:r>
      <w:r w:rsidRPr="002518B9">
        <w:rPr>
          <w:lang w:val="fr-FR"/>
        </w:rPr>
        <w:tab/>
        <w:t xml:space="preserve">Remplacer les deuxième et troisième phrases </w:t>
      </w:r>
      <w:proofErr w:type="gramStart"/>
      <w:r w:rsidRPr="002518B9">
        <w:rPr>
          <w:lang w:val="fr-FR"/>
        </w:rPr>
        <w:t>par:</w:t>
      </w:r>
      <w:proofErr w:type="gramEnd"/>
      <w:r w:rsidRPr="002518B9">
        <w:rPr>
          <w:lang w:val="fr-FR"/>
        </w:rPr>
        <w:t xml:space="preserve"> «</w:t>
      </w:r>
      <w:bookmarkStart w:id="4" w:name="_Hlk521336551"/>
      <w:r w:rsidRPr="002518B9">
        <w:rPr>
          <w:lang w:val="fr-FR"/>
        </w:rPr>
        <w:t xml:space="preserve">Les dimensions minimales doivent être de 100 mm x 100 </w:t>
      </w:r>
      <w:proofErr w:type="spellStart"/>
      <w:r w:rsidRPr="002518B9">
        <w:rPr>
          <w:lang w:val="fr-FR"/>
        </w:rPr>
        <w:t>mm.</w:t>
      </w:r>
      <w:proofErr w:type="spellEnd"/>
      <w:r w:rsidRPr="002518B9">
        <w:rPr>
          <w:lang w:val="fr-FR"/>
        </w:rPr>
        <w:t xml:space="preserve"> Il doit y avoir une ligne à l’intérieur du carré qui doit être parallèle au bord de l’étiquette et située approximativement à 5 mm de distance de ce bord</w:t>
      </w:r>
      <w:proofErr w:type="gramStart"/>
      <w:r w:rsidRPr="002518B9">
        <w:rPr>
          <w:lang w:val="fr-FR"/>
        </w:rPr>
        <w:t>.</w:t>
      </w:r>
      <w:bookmarkEnd w:id="4"/>
      <w:r w:rsidRPr="002518B9">
        <w:rPr>
          <w:lang w:val="fr-FR"/>
        </w:rPr>
        <w:t>»</w:t>
      </w:r>
      <w:proofErr w:type="gramEnd"/>
      <w:r w:rsidR="00D330C2" w:rsidRPr="002518B9">
        <w:rPr>
          <w:lang w:val="fr-FR"/>
        </w:rPr>
        <w:t>.</w:t>
      </w:r>
    </w:p>
    <w:p w:rsidR="001474C1" w:rsidRPr="002518B9" w:rsidRDefault="00C05575" w:rsidP="00C05575">
      <w:pPr>
        <w:pStyle w:val="SingleTxtG"/>
        <w:rPr>
          <w:lang w:val="fr-FR"/>
        </w:rPr>
      </w:pPr>
      <w:r w:rsidRPr="002518B9">
        <w:rPr>
          <w:rStyle w:val="SingleTxtGChar"/>
        </w:rPr>
        <w:t>5.2.2.2.1.6 d)</w:t>
      </w:r>
      <w:r w:rsidRPr="002518B9">
        <w:rPr>
          <w:rStyle w:val="SingleTxtGChar"/>
        </w:rPr>
        <w:tab/>
      </w:r>
      <w:r w:rsidRPr="002518B9">
        <w:rPr>
          <w:lang w:val="fr-FR"/>
        </w:rPr>
        <w:t>Remplacer</w:t>
      </w:r>
      <w:proofErr w:type="gramStart"/>
      <w:r w:rsidRPr="002518B9">
        <w:rPr>
          <w:lang w:val="fr-FR"/>
        </w:rPr>
        <w:t xml:space="preserve"> «pour</w:t>
      </w:r>
      <w:proofErr w:type="gramEnd"/>
      <w:r w:rsidRPr="002518B9">
        <w:rPr>
          <w:lang w:val="fr-FR"/>
        </w:rPr>
        <w:t xml:space="preserve"> les gaz </w:t>
      </w:r>
      <w:proofErr w:type="spellStart"/>
      <w:r w:rsidRPr="002518B9">
        <w:rPr>
          <w:lang w:val="fr-FR"/>
        </w:rPr>
        <w:t>des</w:t>
      </w:r>
      <w:proofErr w:type="spellEnd"/>
      <w:r w:rsidRPr="002518B9">
        <w:rPr>
          <w:lang w:val="fr-FR"/>
        </w:rPr>
        <w:t xml:space="preserve"> Nos ONU 1011, 1075, 1965 et 1978» par «</w:t>
      </w:r>
      <w:bookmarkStart w:id="5" w:name="_Hlk521336620"/>
      <w:r w:rsidRPr="002518B9">
        <w:rPr>
          <w:lang w:val="fr-FR"/>
        </w:rPr>
        <w:t>pour les gaz de pétrole liquéfiés</w:t>
      </w:r>
      <w:bookmarkEnd w:id="5"/>
      <w:r w:rsidRPr="002518B9">
        <w:rPr>
          <w:lang w:val="fr-FR"/>
        </w:rPr>
        <w:t>».</w:t>
      </w:r>
    </w:p>
    <w:p w:rsidR="00C17FB0" w:rsidRPr="002518B9" w:rsidRDefault="00C17FB0" w:rsidP="00B35870">
      <w:pPr>
        <w:pStyle w:val="HChG"/>
      </w:pPr>
      <w:r w:rsidRPr="002518B9">
        <w:tab/>
      </w:r>
      <w:r w:rsidRPr="002518B9">
        <w:tab/>
        <w:t>Chapitre 5.3</w:t>
      </w:r>
    </w:p>
    <w:p w:rsidR="00C17FB0" w:rsidRPr="002518B9" w:rsidRDefault="00C17FB0" w:rsidP="00C17FB0">
      <w:pPr>
        <w:pStyle w:val="SingleTxtG"/>
        <w:rPr>
          <w:lang w:val="fr-FR"/>
        </w:rPr>
      </w:pPr>
      <w:r w:rsidRPr="002518B9">
        <w:rPr>
          <w:lang w:val="fr-FR"/>
        </w:rPr>
        <w:t>5.3.1.7.1</w:t>
      </w:r>
      <w:r w:rsidRPr="002518B9">
        <w:rPr>
          <w:lang w:val="fr-FR"/>
        </w:rPr>
        <w:tab/>
        <w:t>Au deuxième paragraphe, remplacer</w:t>
      </w:r>
      <w:proofErr w:type="gramStart"/>
      <w:r w:rsidRPr="002518B9">
        <w:rPr>
          <w:lang w:val="fr-FR"/>
        </w:rPr>
        <w:t xml:space="preserve"> «du</w:t>
      </w:r>
      <w:proofErr w:type="gramEnd"/>
      <w:r w:rsidRPr="002518B9">
        <w:rPr>
          <w:lang w:val="fr-FR"/>
        </w:rPr>
        <w:t xml:space="preserve"> paragraphe 5.2.2.2» par: «du 5.2.2.2». Au deuxième paragraphe, remplacer «au paragraphe 5.2.2.2» </w:t>
      </w:r>
      <w:proofErr w:type="gramStart"/>
      <w:r w:rsidRPr="002518B9">
        <w:rPr>
          <w:lang w:val="fr-FR"/>
        </w:rPr>
        <w:t>par:</w:t>
      </w:r>
      <w:proofErr w:type="gramEnd"/>
      <w:r w:rsidRPr="002518B9">
        <w:rPr>
          <w:lang w:val="fr-FR"/>
        </w:rPr>
        <w:t xml:space="preserve"> «au 5.2.2.2».</w:t>
      </w:r>
    </w:p>
    <w:p w:rsidR="001474C1" w:rsidRPr="002518B9" w:rsidRDefault="00C17FB0" w:rsidP="00C17FB0">
      <w:pPr>
        <w:pStyle w:val="SingleTxtG"/>
        <w:rPr>
          <w:lang w:val="fr-FR"/>
        </w:rPr>
      </w:pPr>
      <w:r w:rsidRPr="002518B9">
        <w:rPr>
          <w:lang w:val="fr-FR"/>
        </w:rPr>
        <w:t>5.3.1.7.1</w:t>
      </w:r>
      <w:r w:rsidRPr="002518B9">
        <w:rPr>
          <w:lang w:val="fr-FR"/>
        </w:rPr>
        <w:tab/>
        <w:t xml:space="preserve">À la fin, ajouter la phrase </w:t>
      </w:r>
      <w:proofErr w:type="gramStart"/>
      <w:r w:rsidRPr="002518B9">
        <w:rPr>
          <w:lang w:val="fr-FR"/>
        </w:rPr>
        <w:t>suivante:</w:t>
      </w:r>
      <w:proofErr w:type="gramEnd"/>
      <w:r w:rsidRPr="002518B9">
        <w:rPr>
          <w:lang w:val="fr-FR"/>
        </w:rPr>
        <w:t xml:space="preserve"> «</w:t>
      </w:r>
      <w:bookmarkStart w:id="6" w:name="_Hlk521392612"/>
      <w:r w:rsidRPr="002518B9">
        <w:rPr>
          <w:lang w:val="fr-FR"/>
        </w:rPr>
        <w:t>Les variations couvertes par les 5.2.2.2.1, deuxième phrase, 5.2.2.2.1.3, troisième phrase, et 5.2.2.2.1.5 pour les étiquettes de danger s’appliquent également aux plaques-étiquettes.</w:t>
      </w:r>
      <w:bookmarkEnd w:id="6"/>
      <w:r w:rsidRPr="002518B9">
        <w:rPr>
          <w:lang w:val="fr-FR"/>
        </w:rPr>
        <w:t>».</w:t>
      </w:r>
    </w:p>
    <w:p w:rsidR="00C17FB0" w:rsidRPr="003152A0" w:rsidRDefault="00C17FB0" w:rsidP="00C17FB0">
      <w:pPr>
        <w:pStyle w:val="SingleTxtG"/>
      </w:pPr>
      <w:r w:rsidRPr="003152A0">
        <w:rPr>
          <w:iCs/>
          <w:lang w:val="fr-FR"/>
        </w:rPr>
        <w:t>5.3.2.3.2</w:t>
      </w:r>
      <w:r w:rsidRPr="003152A0">
        <w:rPr>
          <w:iCs/>
          <w:lang w:val="fr-FR"/>
        </w:rPr>
        <w:tab/>
      </w:r>
      <w:r w:rsidRPr="003152A0">
        <w:t>Pour les numéros d’identification du danger 36, 60, 69, r</w:t>
      </w:r>
      <w:r w:rsidR="00900B74" w:rsidRPr="003152A0">
        <w:t>emplacer</w:t>
      </w:r>
      <w:proofErr w:type="gramStart"/>
      <w:r w:rsidR="00900B74" w:rsidRPr="003152A0">
        <w:t xml:space="preserve"> «</w:t>
      </w:r>
      <w:r w:rsidR="00D90864" w:rsidRPr="003152A0">
        <w:rPr>
          <w:lang w:val="fr-FR"/>
        </w:rPr>
        <w:t>présentant</w:t>
      </w:r>
      <w:proofErr w:type="gramEnd"/>
      <w:r w:rsidR="00D90864" w:rsidRPr="003152A0">
        <w:rPr>
          <w:lang w:val="fr-FR"/>
        </w:rPr>
        <w:t xml:space="preserve"> un degré mineur de toxicité</w:t>
      </w:r>
      <w:r w:rsidR="00900B74" w:rsidRPr="003152A0">
        <w:t>» par «</w:t>
      </w:r>
      <w:r w:rsidR="00D90864" w:rsidRPr="003152A0">
        <w:t>faiblement toxique</w:t>
      </w:r>
      <w:r w:rsidRPr="003152A0">
        <w:t>».</w:t>
      </w:r>
    </w:p>
    <w:p w:rsidR="00C17FB0" w:rsidRPr="002518B9" w:rsidRDefault="005F49E0" w:rsidP="00C17FB0">
      <w:pPr>
        <w:pStyle w:val="SingleTxtG"/>
      </w:pPr>
      <w:r w:rsidRPr="003152A0">
        <w:rPr>
          <w:iCs/>
          <w:lang w:val="fr-FR"/>
        </w:rPr>
        <w:t>5.3.2.3.2</w:t>
      </w:r>
      <w:r w:rsidRPr="003152A0">
        <w:rPr>
          <w:iCs/>
          <w:lang w:val="fr-FR"/>
        </w:rPr>
        <w:tab/>
      </w:r>
      <w:r w:rsidR="00C17FB0" w:rsidRPr="003152A0">
        <w:t>Pour les numéros d’identification du danger 38, 80, X80, 83, X83, 839, X839, 85, 856, 86 et 89, r</w:t>
      </w:r>
      <w:r w:rsidR="00900B74" w:rsidRPr="003152A0">
        <w:t>emplacer «</w:t>
      </w:r>
      <w:r w:rsidR="00C17FB0" w:rsidRPr="003152A0">
        <w:t>présentant</w:t>
      </w:r>
      <w:r w:rsidR="00900B74" w:rsidRPr="003152A0">
        <w:t xml:space="preserve"> un degré mineur de corrosivité</w:t>
      </w:r>
      <w:r w:rsidR="00C17FB0" w:rsidRPr="003152A0">
        <w:t>» par</w:t>
      </w:r>
      <w:r w:rsidR="00900B74" w:rsidRPr="003152A0">
        <w:t xml:space="preserve"> «</w:t>
      </w:r>
      <w:bookmarkStart w:id="7" w:name="_Hlk521393689"/>
      <w:r w:rsidR="00900B74" w:rsidRPr="003152A0">
        <w:t>faiblement corrosive</w:t>
      </w:r>
      <w:bookmarkEnd w:id="7"/>
      <w:r w:rsidR="00C17FB0" w:rsidRPr="003152A0">
        <w:t>».</w:t>
      </w:r>
    </w:p>
    <w:p w:rsidR="001474C1" w:rsidRPr="002518B9" w:rsidRDefault="00C17FB0" w:rsidP="00C17FB0">
      <w:pPr>
        <w:pStyle w:val="SingleTxtG"/>
        <w:rPr>
          <w:lang w:val="fr-FR"/>
        </w:rPr>
      </w:pPr>
      <w:r w:rsidRPr="002518B9">
        <w:rPr>
          <w:lang w:val="fr-FR"/>
        </w:rPr>
        <w:t>5.3.3</w:t>
      </w:r>
      <w:r w:rsidRPr="002518B9">
        <w:rPr>
          <w:lang w:val="fr-FR"/>
        </w:rPr>
        <w:tab/>
        <w:t>Dans la deuxième phrase du d</w:t>
      </w:r>
      <w:r w:rsidR="00900B74" w:rsidRPr="002518B9">
        <w:rPr>
          <w:lang w:val="fr-FR"/>
        </w:rPr>
        <w:t>euxième paragraphe, remplacer</w:t>
      </w:r>
      <w:proofErr w:type="gramStart"/>
      <w:r w:rsidR="00900B74" w:rsidRPr="002518B9">
        <w:rPr>
          <w:lang w:val="fr-FR"/>
        </w:rPr>
        <w:t xml:space="preserve"> «Il</w:t>
      </w:r>
      <w:proofErr w:type="gramEnd"/>
      <w:r w:rsidR="00900B74" w:rsidRPr="002518B9">
        <w:rPr>
          <w:lang w:val="fr-FR"/>
        </w:rPr>
        <w:t>» par: «</w:t>
      </w:r>
      <w:r w:rsidRPr="002518B9">
        <w:rPr>
          <w:lang w:val="fr-FR"/>
        </w:rPr>
        <w:t>Elle».</w:t>
      </w:r>
    </w:p>
    <w:p w:rsidR="003152A0" w:rsidRPr="003152A0" w:rsidRDefault="003152A0" w:rsidP="00B35870">
      <w:pPr>
        <w:pStyle w:val="HChG"/>
      </w:pPr>
      <w:r>
        <w:lastRenderedPageBreak/>
        <w:tab/>
      </w:r>
      <w:r>
        <w:tab/>
        <w:t>Chapitre 5.4</w:t>
      </w:r>
    </w:p>
    <w:p w:rsidR="003152A0" w:rsidRDefault="003152A0" w:rsidP="003152A0">
      <w:pPr>
        <w:pStyle w:val="SingleTxtG"/>
      </w:pPr>
      <w:r>
        <w:t>5.4.2</w:t>
      </w:r>
      <w:r>
        <w:tab/>
        <w:t xml:space="preserve">Ajouter le Nota suivant après le </w:t>
      </w:r>
      <w:proofErr w:type="gramStart"/>
      <w:r>
        <w:t>titre:</w:t>
      </w:r>
      <w:proofErr w:type="gramEnd"/>
    </w:p>
    <w:p w:rsidR="003152A0" w:rsidRPr="002518B9" w:rsidRDefault="003152A0" w:rsidP="003152A0">
      <w:pPr>
        <w:pStyle w:val="SingleTxtG"/>
        <w:rPr>
          <w:lang w:val="fr-FR"/>
        </w:rPr>
      </w:pPr>
      <w:proofErr w:type="gramStart"/>
      <w:r w:rsidRPr="00E970FE">
        <w:rPr>
          <w:i/>
          <w:iCs/>
        </w:rPr>
        <w:t>«</w:t>
      </w:r>
      <w:r w:rsidRPr="00E970FE">
        <w:rPr>
          <w:b/>
          <w:bCs/>
          <w:i/>
          <w:iCs/>
        </w:rPr>
        <w:t>NOTA</w:t>
      </w:r>
      <w:proofErr w:type="gramEnd"/>
      <w:r>
        <w:rPr>
          <w:b/>
          <w:bCs/>
          <w:i/>
          <w:iCs/>
        </w:rPr>
        <w:t>:</w:t>
      </w:r>
      <w:r w:rsidRPr="00E970FE">
        <w:rPr>
          <w:b/>
          <w:bCs/>
          <w:i/>
          <w:iCs/>
        </w:rPr>
        <w:t xml:space="preserve"> </w:t>
      </w:r>
      <w:r w:rsidRPr="00E970FE">
        <w:rPr>
          <w:i/>
          <w:iCs/>
        </w:rPr>
        <w:t xml:space="preserve">Aux fins de la présente section, le terme </w:t>
      </w:r>
      <w:r>
        <w:rPr>
          <w:i/>
          <w:iCs/>
        </w:rPr>
        <w:t>"</w:t>
      </w:r>
      <w:r w:rsidRPr="00E970FE">
        <w:rPr>
          <w:i/>
          <w:iCs/>
        </w:rPr>
        <w:t>véhicule</w:t>
      </w:r>
      <w:r>
        <w:rPr>
          <w:i/>
          <w:iCs/>
        </w:rPr>
        <w:t>"</w:t>
      </w:r>
      <w:r w:rsidRPr="00E970FE">
        <w:rPr>
          <w:i/>
          <w:iCs/>
        </w:rPr>
        <w:t xml:space="preserve"> inclut les wagons.»</w:t>
      </w:r>
      <w:r>
        <w:rPr>
          <w:i/>
          <w:iCs/>
        </w:rPr>
        <w:t>.</w:t>
      </w:r>
    </w:p>
    <w:p w:rsidR="00C17FB0" w:rsidRPr="002518B9" w:rsidRDefault="00C17FB0" w:rsidP="00B35870">
      <w:pPr>
        <w:pStyle w:val="HChG"/>
      </w:pPr>
      <w:r w:rsidRPr="002518B9">
        <w:tab/>
      </w:r>
      <w:r w:rsidRPr="002518B9">
        <w:tab/>
        <w:t xml:space="preserve">Chapitre </w:t>
      </w:r>
      <w:bookmarkStart w:id="8" w:name="_GoBack"/>
      <w:bookmarkEnd w:id="8"/>
      <w:r w:rsidRPr="002518B9">
        <w:t>7.1</w:t>
      </w:r>
    </w:p>
    <w:p w:rsidR="001474C1" w:rsidRPr="002518B9" w:rsidRDefault="001474C1" w:rsidP="001474C1">
      <w:pPr>
        <w:pStyle w:val="SingleTxtG"/>
        <w:tabs>
          <w:tab w:val="left" w:pos="1985"/>
        </w:tabs>
      </w:pPr>
      <w:r w:rsidRPr="002518B9">
        <w:t>7.1.0.1</w:t>
      </w:r>
      <w:r w:rsidRPr="002518B9">
        <w:tab/>
        <w:t>Remplacer</w:t>
      </w:r>
      <w:proofErr w:type="gramStart"/>
      <w:r w:rsidRPr="002518B9">
        <w:t xml:space="preserve"> «7.1.6</w:t>
      </w:r>
      <w:proofErr w:type="gramEnd"/>
      <w:r w:rsidRPr="002518B9">
        <w:t>» par «7.1.7».</w:t>
      </w:r>
    </w:p>
    <w:p w:rsidR="00125FD3" w:rsidRPr="002518B9" w:rsidRDefault="00125FD3" w:rsidP="00125FD3">
      <w:pPr>
        <w:pStyle w:val="SingleTxtG"/>
        <w:tabs>
          <w:tab w:val="left" w:pos="1985"/>
        </w:tabs>
      </w:pPr>
      <w:bookmarkStart w:id="9" w:name="_Hlk522004350"/>
      <w:r w:rsidRPr="002518B9">
        <w:rPr>
          <w:lang w:val="fr-FR"/>
        </w:rPr>
        <w:t>7.1.6</w:t>
      </w:r>
      <w:r w:rsidRPr="002518B9">
        <w:rPr>
          <w:lang w:val="fr-FR"/>
        </w:rPr>
        <w:tab/>
        <w:t>Remplacer</w:t>
      </w:r>
      <w:proofErr w:type="gramStart"/>
      <w:r w:rsidRPr="002518B9">
        <w:rPr>
          <w:lang w:val="fr-FR"/>
        </w:rPr>
        <w:t xml:space="preserve"> </w:t>
      </w:r>
      <w:r w:rsidRPr="002518B9">
        <w:t>«</w:t>
      </w:r>
      <w:r w:rsidRPr="002518B9">
        <w:rPr>
          <w:bCs/>
          <w:lang w:val="fr-FR"/>
        </w:rPr>
        <w:t>7.1.6.17</w:t>
      </w:r>
      <w:proofErr w:type="gramEnd"/>
      <w:r w:rsidRPr="002518B9">
        <w:rPr>
          <w:bCs/>
          <w:lang w:val="fr-FR"/>
        </w:rPr>
        <w:t xml:space="preserve"> à </w:t>
      </w:r>
      <w:r w:rsidRPr="002518B9">
        <w:rPr>
          <w:bCs/>
        </w:rPr>
        <w:t xml:space="preserve">7.1.7.99 </w:t>
      </w:r>
      <w:r w:rsidRPr="002518B9">
        <w:rPr>
          <w:bCs/>
          <w:i/>
          <w:lang w:val="fr-FR"/>
        </w:rPr>
        <w:t>(Réservés)</w:t>
      </w:r>
      <w:r w:rsidRPr="002518B9">
        <w:t xml:space="preserve">» </w:t>
      </w:r>
      <w:r w:rsidRPr="002518B9">
        <w:rPr>
          <w:bCs/>
          <w:i/>
          <w:lang w:val="fr-FR"/>
        </w:rPr>
        <w:t xml:space="preserve">par </w:t>
      </w:r>
      <w:r w:rsidRPr="002518B9">
        <w:t>«</w:t>
      </w:r>
      <w:r w:rsidRPr="002518B9">
        <w:rPr>
          <w:bCs/>
          <w:lang w:val="fr-FR"/>
        </w:rPr>
        <w:t xml:space="preserve">7.1.6.17 à </w:t>
      </w:r>
      <w:r w:rsidRPr="002518B9">
        <w:rPr>
          <w:bCs/>
        </w:rPr>
        <w:t xml:space="preserve">7.1.6.99 </w:t>
      </w:r>
      <w:r w:rsidRPr="002518B9">
        <w:rPr>
          <w:bCs/>
          <w:i/>
          <w:lang w:val="fr-FR"/>
        </w:rPr>
        <w:t>(Réservés)</w:t>
      </w:r>
      <w:r w:rsidRPr="002518B9">
        <w:t>».</w:t>
      </w:r>
    </w:p>
    <w:bookmarkEnd w:id="9"/>
    <w:p w:rsidR="001474C1" w:rsidRPr="002518B9" w:rsidRDefault="001474C1" w:rsidP="001474C1">
      <w:pPr>
        <w:spacing w:before="120" w:after="120" w:line="240" w:lineRule="auto"/>
        <w:ind w:left="1134" w:right="1134"/>
        <w:jc w:val="both"/>
        <w:rPr>
          <w:lang w:val="fr-FR"/>
        </w:rPr>
      </w:pPr>
      <w:r w:rsidRPr="002518B9">
        <w:rPr>
          <w:lang w:val="fr-FR"/>
        </w:rPr>
        <w:t>7.1</w:t>
      </w:r>
      <w:r w:rsidRPr="002518B9">
        <w:rPr>
          <w:lang w:val="fr-FR"/>
        </w:rPr>
        <w:tab/>
        <w:t xml:space="preserve">Ajouter la </w:t>
      </w:r>
      <w:r w:rsidR="00900B74" w:rsidRPr="002518B9">
        <w:rPr>
          <w:lang w:val="fr-FR"/>
        </w:rPr>
        <w:t xml:space="preserve">nouvelle section 7.1.7 </w:t>
      </w:r>
      <w:proofErr w:type="gramStart"/>
      <w:r w:rsidR="00900B74" w:rsidRPr="002518B9">
        <w:rPr>
          <w:lang w:val="fr-FR"/>
        </w:rPr>
        <w:t>suivante</w:t>
      </w:r>
      <w:r w:rsidRPr="002518B9">
        <w:rPr>
          <w:lang w:val="fr-FR"/>
        </w:rPr>
        <w:t>:</w:t>
      </w:r>
      <w:proofErr w:type="gramEnd"/>
    </w:p>
    <w:p w:rsidR="001474C1" w:rsidRPr="002518B9" w:rsidRDefault="00900B74" w:rsidP="001474C1">
      <w:pPr>
        <w:pStyle w:val="SingleTxtG"/>
        <w:rPr>
          <w:b/>
          <w:lang w:val="fr-FR"/>
        </w:rPr>
      </w:pPr>
      <w:r w:rsidRPr="002518B9">
        <w:rPr>
          <w:lang w:val="fr-FR"/>
        </w:rPr>
        <w:t>«</w:t>
      </w:r>
      <w:bookmarkStart w:id="10" w:name="_Hlk521395071"/>
      <w:r w:rsidR="001474C1" w:rsidRPr="002518B9">
        <w:rPr>
          <w:b/>
          <w:lang w:val="fr-FR"/>
        </w:rPr>
        <w:t>7.1.7</w:t>
      </w:r>
      <w:r w:rsidR="001474C1" w:rsidRPr="002518B9">
        <w:rPr>
          <w:b/>
          <w:lang w:val="fr-FR"/>
        </w:rPr>
        <w:tab/>
      </w:r>
      <w:r w:rsidR="00EE234D" w:rsidRPr="002518B9">
        <w:rPr>
          <w:b/>
          <w:lang w:val="fr-FR"/>
        </w:rPr>
        <w:tab/>
      </w:r>
      <w:r w:rsidR="001474C1" w:rsidRPr="002518B9">
        <w:rPr>
          <w:b/>
          <w:lang w:val="fr-FR"/>
        </w:rPr>
        <w:t xml:space="preserve">Dispositions particulières applicables au transport des matières </w:t>
      </w:r>
      <w:proofErr w:type="spellStart"/>
      <w:r w:rsidR="001474C1" w:rsidRPr="002518B9">
        <w:rPr>
          <w:b/>
          <w:lang w:val="fr-FR"/>
        </w:rPr>
        <w:t>autoréactives</w:t>
      </w:r>
      <w:proofErr w:type="spellEnd"/>
      <w:r w:rsidR="001474C1" w:rsidRPr="002518B9">
        <w:rPr>
          <w:b/>
          <w:lang w:val="fr-FR"/>
        </w:rPr>
        <w:t xml:space="preserve"> de la classe 4.1, des peroxydes organiques de la classe 5.2 et des matières stabilisées par régulation de température (autres que les matières </w:t>
      </w:r>
      <w:proofErr w:type="spellStart"/>
      <w:r w:rsidR="001474C1" w:rsidRPr="002518B9">
        <w:rPr>
          <w:b/>
          <w:lang w:val="fr-FR"/>
        </w:rPr>
        <w:t>autoréactives</w:t>
      </w:r>
      <w:proofErr w:type="spellEnd"/>
      <w:r w:rsidR="001474C1" w:rsidRPr="002518B9">
        <w:rPr>
          <w:b/>
          <w:lang w:val="fr-FR"/>
        </w:rPr>
        <w:t xml:space="preserve"> ou les peroxydes organiques)</w:t>
      </w:r>
    </w:p>
    <w:p w:rsidR="001474C1" w:rsidRPr="002518B9" w:rsidRDefault="001474C1" w:rsidP="001474C1">
      <w:pPr>
        <w:pStyle w:val="SingleTxtG"/>
        <w:rPr>
          <w:lang w:val="fr-FR"/>
        </w:rPr>
      </w:pPr>
      <w:r w:rsidRPr="002518B9">
        <w:rPr>
          <w:lang w:val="fr-FR"/>
        </w:rPr>
        <w:t>7.1.7.1</w:t>
      </w:r>
      <w:r w:rsidRPr="002518B9">
        <w:rPr>
          <w:lang w:val="fr-FR"/>
        </w:rPr>
        <w:tab/>
      </w:r>
      <w:r w:rsidR="00EE234D" w:rsidRPr="002518B9">
        <w:rPr>
          <w:lang w:val="fr-FR"/>
        </w:rPr>
        <w:tab/>
      </w:r>
      <w:r w:rsidRPr="002518B9">
        <w:rPr>
          <w:lang w:val="fr-FR"/>
        </w:rPr>
        <w:t xml:space="preserve">Les matières </w:t>
      </w:r>
      <w:proofErr w:type="spellStart"/>
      <w:r w:rsidRPr="002518B9">
        <w:rPr>
          <w:lang w:val="fr-FR"/>
        </w:rPr>
        <w:t>autoréactives</w:t>
      </w:r>
      <w:proofErr w:type="spellEnd"/>
      <w:r w:rsidRPr="002518B9">
        <w:rPr>
          <w:lang w:val="fr-FR"/>
        </w:rPr>
        <w:t>, les peroxydes organiques et les matières qui polymérisent doivent être tenus à l’ombre, maintenus à l’écart de toute source de chaleur et placés dans des endroits bien aérés.</w:t>
      </w:r>
    </w:p>
    <w:p w:rsidR="001474C1" w:rsidRPr="002518B9" w:rsidRDefault="001474C1" w:rsidP="001474C1">
      <w:pPr>
        <w:pStyle w:val="SingleTxtG"/>
        <w:rPr>
          <w:lang w:val="fr-FR"/>
        </w:rPr>
      </w:pPr>
      <w:r w:rsidRPr="002518B9">
        <w:rPr>
          <w:lang w:val="fr-FR"/>
        </w:rPr>
        <w:t>7.1.7.2</w:t>
      </w:r>
      <w:r w:rsidRPr="002518B9">
        <w:rPr>
          <w:lang w:val="fr-FR"/>
        </w:rPr>
        <w:tab/>
      </w:r>
      <w:r w:rsidR="00EE234D" w:rsidRPr="002518B9">
        <w:rPr>
          <w:lang w:val="fr-FR"/>
        </w:rPr>
        <w:tab/>
      </w:r>
      <w:r w:rsidRPr="002518B9">
        <w:rPr>
          <w:lang w:val="fr-FR"/>
        </w:rPr>
        <w:t>Si plusieurs colis sont groupés dans un conteneur ou un véhicule fermé ou une unité de charge, la quantité totale de matière, le type et le nombre de colis, ainsi que leur ordre d’arrimage, ne doivent pas être tels qu’il en résulte un risque d’explosion.</w:t>
      </w:r>
    </w:p>
    <w:p w:rsidR="001474C1" w:rsidRPr="002518B9" w:rsidRDefault="001474C1" w:rsidP="001474C1">
      <w:pPr>
        <w:pStyle w:val="SingleTxtG"/>
        <w:rPr>
          <w:b/>
          <w:lang w:val="fr-FR"/>
        </w:rPr>
      </w:pPr>
      <w:r w:rsidRPr="002518B9">
        <w:rPr>
          <w:b/>
          <w:lang w:val="fr-FR"/>
        </w:rPr>
        <w:t>7.1.7.3</w:t>
      </w:r>
      <w:r w:rsidRPr="002518B9">
        <w:rPr>
          <w:b/>
          <w:lang w:val="fr-FR"/>
        </w:rPr>
        <w:tab/>
      </w:r>
      <w:r w:rsidR="006C4D17" w:rsidRPr="002518B9">
        <w:rPr>
          <w:b/>
          <w:lang w:val="fr-FR"/>
        </w:rPr>
        <w:tab/>
      </w:r>
      <w:r w:rsidRPr="002518B9">
        <w:rPr>
          <w:b/>
          <w:i/>
          <w:iCs/>
          <w:lang w:val="fr-FR"/>
        </w:rPr>
        <w:t>Dispositions relatives à la régulation de température</w:t>
      </w:r>
    </w:p>
    <w:p w:rsidR="001474C1" w:rsidRPr="002518B9" w:rsidRDefault="001474C1" w:rsidP="001474C1">
      <w:pPr>
        <w:pStyle w:val="SingleTxtG"/>
        <w:rPr>
          <w:lang w:val="fr-FR"/>
        </w:rPr>
      </w:pPr>
      <w:r w:rsidRPr="002518B9">
        <w:rPr>
          <w:lang w:val="fr-FR"/>
        </w:rPr>
        <w:t>7.1.7.3.1</w:t>
      </w:r>
      <w:r w:rsidRPr="002518B9">
        <w:rPr>
          <w:lang w:val="fr-FR"/>
        </w:rPr>
        <w:tab/>
        <w:t xml:space="preserve">Les présentes dispositions ne s’appliquent à certaines matières </w:t>
      </w:r>
      <w:proofErr w:type="spellStart"/>
      <w:r w:rsidRPr="002518B9">
        <w:rPr>
          <w:lang w:val="fr-FR"/>
        </w:rPr>
        <w:t>autoréactives</w:t>
      </w:r>
      <w:proofErr w:type="spellEnd"/>
      <w:r w:rsidRPr="002518B9">
        <w:rPr>
          <w:lang w:val="fr-FR"/>
        </w:rPr>
        <w:t>, certains peroxydes organiques et certaines matières qui polymérisent que lorsque le transport de ces matières est soumis à régulation de température au titre du 2.2.41.1.17, 2.2.52.1.15 ou 2.2.41.1.21 ou de la disposition spéciale 386 du chapitre 3.3 suivant le cas.</w:t>
      </w:r>
    </w:p>
    <w:p w:rsidR="001474C1" w:rsidRPr="002518B9" w:rsidRDefault="001474C1" w:rsidP="001474C1">
      <w:pPr>
        <w:pStyle w:val="SingleTxtG"/>
        <w:rPr>
          <w:lang w:val="fr-FR"/>
        </w:rPr>
      </w:pPr>
      <w:r w:rsidRPr="002518B9">
        <w:rPr>
          <w:lang w:val="fr-FR"/>
        </w:rPr>
        <w:t>7.1.7.3.2</w:t>
      </w:r>
      <w:r w:rsidRPr="002518B9">
        <w:rPr>
          <w:lang w:val="fr-FR"/>
        </w:rPr>
        <w:tab/>
        <w:t xml:space="preserve">Ces dispositions s’appliquent également au </w:t>
      </w:r>
      <w:proofErr w:type="gramStart"/>
      <w:r w:rsidRPr="002518B9">
        <w:rPr>
          <w:lang w:val="fr-FR"/>
        </w:rPr>
        <w:t>transport:</w:t>
      </w:r>
      <w:proofErr w:type="gramEnd"/>
    </w:p>
    <w:p w:rsidR="001474C1" w:rsidRPr="002518B9" w:rsidRDefault="001474C1" w:rsidP="008F5FDB">
      <w:pPr>
        <w:pStyle w:val="SingleTxtG"/>
        <w:ind w:left="2835" w:hanging="567"/>
      </w:pPr>
      <w:r w:rsidRPr="002518B9">
        <w:rPr>
          <w:lang w:val="fr-FR"/>
        </w:rPr>
        <w:t>a)</w:t>
      </w:r>
      <w:r w:rsidRPr="002518B9">
        <w:rPr>
          <w:lang w:val="fr-FR"/>
        </w:rPr>
        <w:tab/>
        <w:t>D</w:t>
      </w:r>
      <w:r w:rsidRPr="002518B9">
        <w:t xml:space="preserve">e matières dont la désignation officielle de transport, telle qu’elle figure dans la colonne (2) du tableau A du chapitre 3.2 ou selon le 3.1.2.6, </w:t>
      </w:r>
      <w:r w:rsidR="00900B74" w:rsidRPr="002518B9">
        <w:t>contient la mention "STABILISÉ</w:t>
      </w:r>
      <w:proofErr w:type="gramStart"/>
      <w:r w:rsidR="00900B74" w:rsidRPr="002518B9">
        <w:t>"</w:t>
      </w:r>
      <w:r w:rsidRPr="002518B9">
        <w:t>;</w:t>
      </w:r>
      <w:proofErr w:type="gramEnd"/>
      <w:r w:rsidRPr="002518B9">
        <w:t xml:space="preserve"> et</w:t>
      </w:r>
    </w:p>
    <w:p w:rsidR="001474C1" w:rsidRPr="002518B9" w:rsidRDefault="001474C1" w:rsidP="008F5FDB">
      <w:pPr>
        <w:pStyle w:val="SingleTxtG"/>
        <w:ind w:left="2835" w:hanging="567"/>
        <w:rPr>
          <w:b/>
          <w:bCs/>
          <w:lang w:val="fr-FR"/>
        </w:rPr>
      </w:pPr>
      <w:r w:rsidRPr="002518B9">
        <w:t>b)</w:t>
      </w:r>
      <w:r w:rsidRPr="002518B9">
        <w:tab/>
        <w:t xml:space="preserve">De matières pour lesquelles la TDAA ou la TPAA déterminée pour ces </w:t>
      </w:r>
      <w:proofErr w:type="spellStart"/>
      <w:r w:rsidRPr="002518B9">
        <w:t>matièr</w:t>
      </w:r>
      <w:proofErr w:type="spellEnd"/>
      <w:r w:rsidRPr="002518B9">
        <w:rPr>
          <w:bCs/>
          <w:lang w:val="fr-FR"/>
        </w:rPr>
        <w:t xml:space="preserve">es telles que présentées au transport (avec ou sans stabilisation chimique) </w:t>
      </w:r>
      <w:proofErr w:type="gramStart"/>
      <w:r w:rsidRPr="002518B9">
        <w:rPr>
          <w:bCs/>
          <w:lang w:val="fr-FR"/>
        </w:rPr>
        <w:t>est:</w:t>
      </w:r>
      <w:proofErr w:type="gramEnd"/>
    </w:p>
    <w:p w:rsidR="001474C1" w:rsidRPr="002518B9" w:rsidRDefault="001474C1" w:rsidP="008F5FDB">
      <w:pPr>
        <w:pStyle w:val="SingleTxtG"/>
        <w:ind w:left="3402" w:hanging="567"/>
        <w:rPr>
          <w:lang w:val="fr-FR"/>
        </w:rPr>
      </w:pPr>
      <w:r w:rsidRPr="002518B9">
        <w:rPr>
          <w:lang w:val="fr-FR"/>
        </w:rPr>
        <w:t>i)</w:t>
      </w:r>
      <w:r w:rsidRPr="002518B9">
        <w:rPr>
          <w:lang w:val="fr-FR"/>
        </w:rPr>
        <w:tab/>
        <w:t xml:space="preserve">Au maximum de 50 °C pour les emballages simples et les GRV ; </w:t>
      </w:r>
      <w:proofErr w:type="gramStart"/>
      <w:r w:rsidRPr="002518B9">
        <w:rPr>
          <w:lang w:val="fr-FR"/>
        </w:rPr>
        <w:t>ou</w:t>
      </w:r>
      <w:proofErr w:type="gramEnd"/>
      <w:r w:rsidRPr="002518B9">
        <w:rPr>
          <w:lang w:val="fr-FR"/>
        </w:rPr>
        <w:t xml:space="preserve"> </w:t>
      </w:r>
    </w:p>
    <w:p w:rsidR="001474C1" w:rsidRPr="002518B9" w:rsidRDefault="001474C1" w:rsidP="008F5FDB">
      <w:pPr>
        <w:pStyle w:val="SingleTxtG"/>
        <w:ind w:left="3402" w:hanging="567"/>
        <w:rPr>
          <w:lang w:val="fr-FR"/>
        </w:rPr>
      </w:pPr>
      <w:r w:rsidRPr="002518B9">
        <w:rPr>
          <w:lang w:val="fr-FR"/>
        </w:rPr>
        <w:t>ii)</w:t>
      </w:r>
      <w:r w:rsidRPr="002518B9">
        <w:rPr>
          <w:lang w:val="fr-FR"/>
        </w:rPr>
        <w:tab/>
        <w:t>Au maximum de 45 °C pour les citernes.</w:t>
      </w:r>
    </w:p>
    <w:p w:rsidR="001474C1" w:rsidRPr="002518B9" w:rsidRDefault="001474C1" w:rsidP="001474C1">
      <w:pPr>
        <w:pStyle w:val="SingleTxtG"/>
        <w:spacing w:line="234" w:lineRule="atLeast"/>
        <w:rPr>
          <w:lang w:val="fr-FR"/>
        </w:rPr>
      </w:pPr>
      <w:r w:rsidRPr="002518B9">
        <w:rPr>
          <w:lang w:val="fr-FR"/>
        </w:rPr>
        <w:t>Lorsqu’il n’est pas recouru à l’inhibition chimique pour stabiliser une matière réactive susceptible de générer des quantités dangereuses de chaleur et de gaz ou de vapeur dans des conditions normales de transport, cette matière doit être transportée sous régulation de température. Ces dispositions ne s’appliquent pas aux matières qui sont stabilisées par adjonction d’inhibiteurs chimiques de sorte que la TDAA ou la TPAA soit supérieure à ce qui est prescrit aux alinéas b) i) et ii) ci-dessus.</w:t>
      </w:r>
    </w:p>
    <w:p w:rsidR="001474C1" w:rsidRPr="002518B9" w:rsidRDefault="001474C1" w:rsidP="001474C1">
      <w:pPr>
        <w:pStyle w:val="SingleTxtG"/>
        <w:spacing w:line="234" w:lineRule="atLeast"/>
        <w:rPr>
          <w:lang w:val="fr-FR"/>
        </w:rPr>
      </w:pPr>
      <w:r w:rsidRPr="002518B9">
        <w:rPr>
          <w:lang w:val="fr-FR"/>
        </w:rPr>
        <w:t>7.1.7.3.3</w:t>
      </w:r>
      <w:r w:rsidRPr="002518B9">
        <w:rPr>
          <w:lang w:val="fr-FR"/>
        </w:rPr>
        <w:tab/>
        <w:t xml:space="preserve">En outre, si une matière </w:t>
      </w:r>
      <w:proofErr w:type="spellStart"/>
      <w:r w:rsidRPr="002518B9">
        <w:rPr>
          <w:lang w:val="fr-FR"/>
        </w:rPr>
        <w:t>autoréactive</w:t>
      </w:r>
      <w:proofErr w:type="spellEnd"/>
      <w:r w:rsidRPr="002518B9">
        <w:rPr>
          <w:lang w:val="fr-FR"/>
        </w:rPr>
        <w:t xml:space="preserve">, un peroxyde organique ou une matière dont la désignation officielle de transport comporte la mention "STABILISÉ" et pour laquelle le transport avec régulation de température n’est pas normalement prescrit est </w:t>
      </w:r>
      <w:r w:rsidRPr="002518B9">
        <w:rPr>
          <w:lang w:val="fr-FR"/>
        </w:rPr>
        <w:lastRenderedPageBreak/>
        <w:t xml:space="preserve">transporté dans des conditions telles que la température risque de dépasser 55 °C, la régulation de température peut s’imposer. </w:t>
      </w:r>
    </w:p>
    <w:p w:rsidR="001474C1" w:rsidRPr="002518B9" w:rsidRDefault="001474C1" w:rsidP="001474C1">
      <w:pPr>
        <w:pStyle w:val="SingleTxtG"/>
        <w:spacing w:line="234" w:lineRule="atLeast"/>
        <w:rPr>
          <w:lang w:val="fr-FR"/>
        </w:rPr>
      </w:pPr>
      <w:r w:rsidRPr="002518B9">
        <w:rPr>
          <w:lang w:val="fr-FR"/>
        </w:rPr>
        <w:t>7.1.7.3.4</w:t>
      </w:r>
      <w:r w:rsidRPr="002518B9">
        <w:rPr>
          <w:lang w:val="fr-FR"/>
        </w:rPr>
        <w:tab/>
        <w:t>La "température de régulation"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nécessaire d’appliquer les mesures d’urgence. La "température critique" est la température à laquelle ces procédures doivent être mises en œuvre.</w:t>
      </w:r>
    </w:p>
    <w:p w:rsidR="001474C1" w:rsidRPr="002518B9" w:rsidRDefault="001474C1" w:rsidP="001474C1">
      <w:pPr>
        <w:pStyle w:val="SingleTxtG"/>
        <w:keepNext/>
        <w:keepLines/>
        <w:rPr>
          <w:lang w:val="fr-FR"/>
        </w:rPr>
      </w:pPr>
      <w:r w:rsidRPr="002518B9">
        <w:rPr>
          <w:lang w:val="fr-FR"/>
        </w:rPr>
        <w:t>7.1.7.3.5</w:t>
      </w:r>
      <w:r w:rsidRPr="002518B9">
        <w:rPr>
          <w:lang w:val="fr-FR"/>
        </w:rPr>
        <w:tab/>
      </w:r>
      <w:r w:rsidRPr="002518B9">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1474C1" w:rsidRPr="002518B9" w:rsidTr="000F6040">
        <w:tc>
          <w:tcPr>
            <w:tcW w:w="1170"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Type de récipient</w:t>
            </w:r>
          </w:p>
        </w:tc>
        <w:tc>
          <w:tcPr>
            <w:tcW w:w="1685"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proofErr w:type="spellStart"/>
            <w:r w:rsidRPr="002518B9">
              <w:rPr>
                <w:lang w:val="fr-FR"/>
              </w:rPr>
              <w:t>TDAA</w:t>
            </w:r>
            <w:r w:rsidRPr="002518B9">
              <w:rPr>
                <w:b/>
                <w:vertAlign w:val="superscript"/>
                <w:lang w:val="fr-FR"/>
              </w:rPr>
              <w:t>a</w:t>
            </w:r>
            <w:proofErr w:type="spellEnd"/>
            <w:r w:rsidRPr="002518B9">
              <w:rPr>
                <w:lang w:val="fr-FR"/>
              </w:rPr>
              <w:t>/</w:t>
            </w:r>
            <w:proofErr w:type="spellStart"/>
            <w:r w:rsidRPr="002518B9">
              <w:rPr>
                <w:lang w:val="fr-FR"/>
              </w:rPr>
              <w:t>TPAA</w:t>
            </w:r>
            <w:r w:rsidRPr="002518B9">
              <w:rPr>
                <w:b/>
                <w:vertAlign w:val="superscript"/>
                <w:lang w:val="fr-FR"/>
              </w:rPr>
              <w:t>a</w:t>
            </w:r>
            <w:proofErr w:type="spellEnd"/>
          </w:p>
        </w:tc>
        <w:tc>
          <w:tcPr>
            <w:tcW w:w="2167"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Température de régulation </w:t>
            </w:r>
          </w:p>
        </w:tc>
        <w:tc>
          <w:tcPr>
            <w:tcW w:w="2349"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Température critique</w:t>
            </w:r>
          </w:p>
        </w:tc>
      </w:tr>
      <w:tr w:rsidR="001474C1" w:rsidRPr="002518B9" w:rsidTr="000F6040">
        <w:tc>
          <w:tcPr>
            <w:tcW w:w="1170" w:type="dxa"/>
            <w:tcBorders>
              <w:top w:val="single" w:sz="4" w:space="0" w:color="auto"/>
              <w:bottom w:val="nil"/>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Emballages simples et GRV</w:t>
            </w:r>
          </w:p>
        </w:tc>
        <w:tc>
          <w:tcPr>
            <w:tcW w:w="1685"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20 °C</w:t>
            </w:r>
          </w:p>
        </w:tc>
        <w:tc>
          <w:tcPr>
            <w:tcW w:w="2167"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20 °C au-dessous </w:t>
            </w:r>
            <w:r w:rsidRPr="002518B9">
              <w:rPr>
                <w:lang w:val="fr-FR"/>
              </w:rPr>
              <w:br/>
              <w:t>de la TDAA/TPAA</w:t>
            </w:r>
          </w:p>
        </w:tc>
        <w:tc>
          <w:tcPr>
            <w:tcW w:w="2349"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10 °C au-dessous </w:t>
            </w:r>
            <w:r w:rsidRPr="002518B9">
              <w:rPr>
                <w:lang w:val="fr-FR"/>
              </w:rPr>
              <w:br/>
              <w:t>de la TDAA/TPAA</w:t>
            </w:r>
          </w:p>
        </w:tc>
      </w:tr>
      <w:tr w:rsidR="001474C1" w:rsidRPr="002518B9" w:rsidTr="000F6040">
        <w:tc>
          <w:tcPr>
            <w:tcW w:w="1170" w:type="dxa"/>
            <w:tcBorders>
              <w:top w:val="nil"/>
              <w:bottom w:val="nil"/>
            </w:tcBorders>
            <w:shd w:val="clear" w:color="auto" w:fill="auto"/>
            <w:tcMar>
              <w:left w:w="113" w:type="dxa"/>
            </w:tcMar>
          </w:tcPr>
          <w:p w:rsidR="001474C1" w:rsidRPr="002518B9" w:rsidRDefault="001474C1" w:rsidP="000F6040">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&gt; 20 °C et ≤ 35 °C</w:t>
            </w:r>
          </w:p>
        </w:tc>
        <w:tc>
          <w:tcPr>
            <w:tcW w:w="2167"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15 °C au-dessous </w:t>
            </w:r>
            <w:r w:rsidRPr="002518B9">
              <w:rPr>
                <w:lang w:val="fr-FR"/>
              </w:rPr>
              <w:br/>
              <w:t>de la TDAA/TPAA</w:t>
            </w:r>
          </w:p>
        </w:tc>
        <w:tc>
          <w:tcPr>
            <w:tcW w:w="2349"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10 °C au-dessous </w:t>
            </w:r>
            <w:r w:rsidRPr="002518B9">
              <w:rPr>
                <w:lang w:val="fr-FR"/>
              </w:rPr>
              <w:br/>
              <w:t>de la TDAA/TPAA</w:t>
            </w:r>
          </w:p>
        </w:tc>
      </w:tr>
      <w:tr w:rsidR="001474C1" w:rsidRPr="002518B9" w:rsidTr="000F6040">
        <w:tc>
          <w:tcPr>
            <w:tcW w:w="1170" w:type="dxa"/>
            <w:tcBorders>
              <w:top w:val="nil"/>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&gt; 35 °C</w:t>
            </w:r>
          </w:p>
        </w:tc>
        <w:tc>
          <w:tcPr>
            <w:tcW w:w="2167"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10 °C au-dessous </w:t>
            </w:r>
            <w:r w:rsidRPr="002518B9">
              <w:rPr>
                <w:lang w:val="fr-FR"/>
              </w:rPr>
              <w:br/>
              <w:t>de la TDAA/TPAA</w:t>
            </w:r>
          </w:p>
        </w:tc>
        <w:tc>
          <w:tcPr>
            <w:tcW w:w="2349" w:type="dxa"/>
            <w:tcBorders>
              <w:bottom w:val="single" w:sz="4" w:space="0" w:color="auto"/>
            </w:tcBorders>
            <w:shd w:val="clear" w:color="auto" w:fill="auto"/>
            <w:tcMar>
              <w:left w:w="113" w:type="dxa"/>
            </w:tcMar>
          </w:tcPr>
          <w:p w:rsidR="001474C1" w:rsidRPr="002518B9" w:rsidRDefault="001474C1" w:rsidP="000F6040">
            <w:pPr>
              <w:keepNext/>
              <w:keepLines/>
              <w:spacing w:line="240" w:lineRule="auto"/>
              <w:rPr>
                <w:lang w:val="fr-FR"/>
              </w:rPr>
            </w:pPr>
            <w:r w:rsidRPr="002518B9">
              <w:rPr>
                <w:lang w:val="fr-FR"/>
              </w:rPr>
              <w:t xml:space="preserve">5 °C au-dessous </w:t>
            </w:r>
            <w:r w:rsidRPr="002518B9">
              <w:rPr>
                <w:lang w:val="fr-FR"/>
              </w:rPr>
              <w:br/>
              <w:t>de la TDAA/TPAA</w:t>
            </w:r>
          </w:p>
        </w:tc>
      </w:tr>
      <w:tr w:rsidR="001474C1" w:rsidRPr="002518B9" w:rsidTr="000F6040">
        <w:tc>
          <w:tcPr>
            <w:tcW w:w="1170" w:type="dxa"/>
            <w:tcBorders>
              <w:top w:val="single" w:sz="4" w:space="0" w:color="auto"/>
            </w:tcBorders>
            <w:shd w:val="clear" w:color="auto" w:fill="auto"/>
            <w:tcMar>
              <w:left w:w="113" w:type="dxa"/>
            </w:tcMar>
            <w:hideMark/>
          </w:tcPr>
          <w:p w:rsidR="001474C1" w:rsidRPr="002518B9" w:rsidRDefault="001474C1" w:rsidP="000F6040">
            <w:pPr>
              <w:keepNext/>
              <w:keepLines/>
              <w:spacing w:line="240" w:lineRule="auto"/>
              <w:rPr>
                <w:rFonts w:eastAsiaTheme="minorHAnsi"/>
                <w:lang w:val="fr-FR" w:eastAsia="de-DE"/>
              </w:rPr>
            </w:pPr>
            <w:r w:rsidRPr="002518B9">
              <w:rPr>
                <w:lang w:val="fr-FR"/>
              </w:rPr>
              <w:t>Citernes</w:t>
            </w:r>
          </w:p>
        </w:tc>
        <w:tc>
          <w:tcPr>
            <w:tcW w:w="1685" w:type="dxa"/>
            <w:tcBorders>
              <w:top w:val="single" w:sz="4" w:space="0" w:color="auto"/>
            </w:tcBorders>
            <w:shd w:val="clear" w:color="auto" w:fill="auto"/>
            <w:tcMar>
              <w:left w:w="113" w:type="dxa"/>
            </w:tcMar>
            <w:hideMark/>
          </w:tcPr>
          <w:p w:rsidR="001474C1" w:rsidRPr="002518B9" w:rsidRDefault="001474C1" w:rsidP="000F6040">
            <w:pPr>
              <w:keepNext/>
              <w:keepLines/>
              <w:spacing w:line="240" w:lineRule="auto"/>
              <w:rPr>
                <w:rFonts w:eastAsiaTheme="minorHAnsi"/>
                <w:lang w:val="fr-FR" w:eastAsia="de-DE"/>
              </w:rPr>
            </w:pPr>
            <w:r w:rsidRPr="002518B9">
              <w:rPr>
                <w:lang w:val="fr-FR"/>
              </w:rPr>
              <w:t>≤ 45 °C</w:t>
            </w:r>
          </w:p>
        </w:tc>
        <w:tc>
          <w:tcPr>
            <w:tcW w:w="2167" w:type="dxa"/>
            <w:tcBorders>
              <w:top w:val="single" w:sz="4" w:space="0" w:color="auto"/>
            </w:tcBorders>
            <w:shd w:val="clear" w:color="auto" w:fill="auto"/>
            <w:tcMar>
              <w:left w:w="113" w:type="dxa"/>
            </w:tcMar>
            <w:hideMark/>
          </w:tcPr>
          <w:p w:rsidR="001474C1" w:rsidRPr="002518B9" w:rsidRDefault="001474C1" w:rsidP="000F6040">
            <w:pPr>
              <w:keepNext/>
              <w:keepLines/>
              <w:spacing w:line="240" w:lineRule="auto"/>
              <w:rPr>
                <w:rFonts w:eastAsiaTheme="minorHAnsi"/>
                <w:lang w:val="fr-FR" w:eastAsia="de-DE"/>
              </w:rPr>
            </w:pPr>
            <w:r w:rsidRPr="002518B9">
              <w:rPr>
                <w:lang w:val="fr-FR"/>
              </w:rPr>
              <w:t xml:space="preserve">10 °C au-dessous </w:t>
            </w:r>
            <w:r w:rsidRPr="002518B9">
              <w:rPr>
                <w:lang w:val="fr-FR"/>
              </w:rPr>
              <w:br/>
              <w:t>de la TDAA/TPAA</w:t>
            </w:r>
          </w:p>
        </w:tc>
        <w:tc>
          <w:tcPr>
            <w:tcW w:w="2349" w:type="dxa"/>
            <w:tcBorders>
              <w:top w:val="single" w:sz="4" w:space="0" w:color="auto"/>
            </w:tcBorders>
            <w:shd w:val="clear" w:color="auto" w:fill="auto"/>
            <w:tcMar>
              <w:left w:w="113" w:type="dxa"/>
            </w:tcMar>
            <w:hideMark/>
          </w:tcPr>
          <w:p w:rsidR="001474C1" w:rsidRPr="002518B9" w:rsidRDefault="001474C1" w:rsidP="000F6040">
            <w:pPr>
              <w:keepNext/>
              <w:keepLines/>
              <w:spacing w:line="240" w:lineRule="auto"/>
              <w:rPr>
                <w:rFonts w:eastAsiaTheme="minorHAnsi"/>
                <w:lang w:val="fr-FR" w:eastAsia="de-DE"/>
              </w:rPr>
            </w:pPr>
            <w:r w:rsidRPr="002518B9">
              <w:rPr>
                <w:lang w:val="fr-FR"/>
              </w:rPr>
              <w:t xml:space="preserve">5 °C au-dessous </w:t>
            </w:r>
            <w:r w:rsidRPr="002518B9">
              <w:rPr>
                <w:lang w:val="fr-FR"/>
              </w:rPr>
              <w:br/>
              <w:t>de la TDAA/TPAA</w:t>
            </w:r>
          </w:p>
        </w:tc>
      </w:tr>
    </w:tbl>
    <w:p w:rsidR="001474C1" w:rsidRPr="002518B9" w:rsidRDefault="001474C1" w:rsidP="001474C1">
      <w:pPr>
        <w:pStyle w:val="SingleTxtG"/>
        <w:keepNext/>
        <w:keepLines/>
        <w:ind w:left="1701"/>
        <w:rPr>
          <w:i/>
          <w:lang w:val="fr-FR"/>
        </w:rPr>
      </w:pPr>
      <w:proofErr w:type="gramStart"/>
      <w:r w:rsidRPr="002518B9">
        <w:rPr>
          <w:b/>
          <w:vertAlign w:val="superscript"/>
          <w:lang w:val="fr-FR"/>
        </w:rPr>
        <w:t>a</w:t>
      </w:r>
      <w:proofErr w:type="gramEnd"/>
      <w:r w:rsidRPr="002518B9">
        <w:rPr>
          <w:i/>
          <w:lang w:val="fr-FR"/>
        </w:rPr>
        <w:tab/>
        <w:t>On entend par là la température de décomposition auto-accélérée ou la température de polymérisation auto-accélérée de la matière telle qu’emballée pour le transport.</w:t>
      </w:r>
    </w:p>
    <w:p w:rsidR="001474C1" w:rsidRPr="002518B9" w:rsidRDefault="001474C1" w:rsidP="001474C1">
      <w:pPr>
        <w:pStyle w:val="SingleTxtG"/>
        <w:rPr>
          <w:lang w:val="fr-FR"/>
        </w:rPr>
      </w:pPr>
      <w:r w:rsidRPr="002518B9">
        <w:rPr>
          <w:lang w:val="fr-FR"/>
        </w:rPr>
        <w:t>7.1.7.3.6</w:t>
      </w:r>
      <w:r w:rsidRPr="002518B9">
        <w:rPr>
          <w:lang w:val="fr-FR"/>
        </w:rPr>
        <w:tab/>
        <w:t>La température de régulation et la température critique sont calculées à l’aide du tableau sous 7.1.5.3.5 à partir de la TDAA ou de la TPAA, qui sont définies comme 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la détermination de la TDAA et de la TPAA sont énoncées dans la section 28 de la deuxième partie du Manuel d’épreuves et de critères.</w:t>
      </w:r>
    </w:p>
    <w:p w:rsidR="001474C1" w:rsidRPr="002518B9" w:rsidRDefault="001474C1" w:rsidP="001474C1">
      <w:pPr>
        <w:pStyle w:val="SingleTxtG"/>
        <w:rPr>
          <w:lang w:val="fr-FR"/>
        </w:rPr>
      </w:pPr>
      <w:r w:rsidRPr="002518B9">
        <w:rPr>
          <w:lang w:val="fr-FR"/>
        </w:rPr>
        <w:t>7.1.7.3.7</w:t>
      </w:r>
      <w:r w:rsidRPr="002518B9">
        <w:rPr>
          <w:lang w:val="fr-FR"/>
        </w:rPr>
        <w:tab/>
        <w:t xml:space="preserve">La température de régulation et la température critique pour les matières </w:t>
      </w:r>
      <w:proofErr w:type="spellStart"/>
      <w:r w:rsidRPr="002518B9">
        <w:rPr>
          <w:lang w:val="fr-FR"/>
        </w:rPr>
        <w:t>autoréactives</w:t>
      </w:r>
      <w:proofErr w:type="spellEnd"/>
      <w:r w:rsidRPr="002518B9">
        <w:rPr>
          <w:lang w:val="fr-FR"/>
        </w:rPr>
        <w:t xml:space="preserve"> et pour les préparations de peroxydes organiques déjà classées sont indiquées aux 2.2.41.4 et 2.2.52.4, respectivement.</w:t>
      </w:r>
    </w:p>
    <w:p w:rsidR="001474C1" w:rsidRPr="002518B9" w:rsidRDefault="001474C1" w:rsidP="001474C1">
      <w:pPr>
        <w:pStyle w:val="SingleTxtG"/>
        <w:rPr>
          <w:lang w:val="fr-FR"/>
        </w:rPr>
      </w:pPr>
      <w:r w:rsidRPr="002518B9">
        <w:rPr>
          <w:lang w:val="fr-FR"/>
        </w:rPr>
        <w:t>7.1.7.3.8</w:t>
      </w:r>
      <w:r w:rsidRPr="002518B9">
        <w:rPr>
          <w:lang w:val="fr-FR"/>
        </w:rPr>
        <w:tab/>
        <w:t>La température réelle de transport pourra être inférieure à la température de régulation, mais elle devra être choisie de manière à éviter une séparation dangereuse des phases.</w:t>
      </w:r>
    </w:p>
    <w:p w:rsidR="001474C1" w:rsidRPr="002518B9" w:rsidRDefault="001474C1" w:rsidP="001474C1">
      <w:pPr>
        <w:pStyle w:val="SingleTxtG"/>
        <w:tabs>
          <w:tab w:val="left" w:pos="2268"/>
        </w:tabs>
        <w:rPr>
          <w:b/>
          <w:lang w:val="fr-FR"/>
        </w:rPr>
      </w:pPr>
      <w:r w:rsidRPr="002518B9">
        <w:rPr>
          <w:b/>
          <w:lang w:val="fr-FR"/>
        </w:rPr>
        <w:t>7.1.7.4</w:t>
      </w:r>
      <w:r w:rsidRPr="002518B9">
        <w:rPr>
          <w:b/>
          <w:lang w:val="fr-FR"/>
        </w:rPr>
        <w:tab/>
      </w:r>
      <w:r w:rsidRPr="002518B9">
        <w:rPr>
          <w:b/>
          <w:i/>
          <w:lang w:val="fr-FR"/>
        </w:rPr>
        <w:t>Transport avec régulation de température</w:t>
      </w:r>
    </w:p>
    <w:p w:rsidR="001474C1" w:rsidRPr="002518B9" w:rsidRDefault="001474C1" w:rsidP="001474C1">
      <w:pPr>
        <w:pStyle w:val="SingleTxtG"/>
        <w:rPr>
          <w:lang w:val="fr-FR"/>
        </w:rPr>
      </w:pPr>
      <w:r w:rsidRPr="002518B9">
        <w:rPr>
          <w:lang w:val="fr-FR"/>
        </w:rPr>
        <w:t>7.1.7.4.1</w:t>
      </w:r>
      <w:r w:rsidRPr="002518B9">
        <w:rPr>
          <w:lang w:val="fr-FR"/>
        </w:rPr>
        <w:tab/>
        <w:t>Le maintien de la température prescrite est une condition indispensable pour la sécurité du transport des matières stabilisées par régulation de températ</w:t>
      </w:r>
      <w:r w:rsidR="00900B74" w:rsidRPr="002518B9">
        <w:rPr>
          <w:lang w:val="fr-FR"/>
        </w:rPr>
        <w:t xml:space="preserve">ure. En général il doit y </w:t>
      </w:r>
      <w:proofErr w:type="gramStart"/>
      <w:r w:rsidR="00900B74" w:rsidRPr="002518B9">
        <w:rPr>
          <w:lang w:val="fr-FR"/>
        </w:rPr>
        <w:t>avoir</w:t>
      </w:r>
      <w:r w:rsidRPr="002518B9">
        <w:rPr>
          <w:lang w:val="fr-FR"/>
        </w:rPr>
        <w:t>:</w:t>
      </w:r>
      <w:proofErr w:type="gramEnd"/>
    </w:p>
    <w:p w:rsidR="001474C1" w:rsidRPr="002518B9" w:rsidRDefault="001474C1" w:rsidP="001474C1">
      <w:pPr>
        <w:pStyle w:val="SingleTxtG"/>
        <w:ind w:left="2268"/>
        <w:rPr>
          <w:spacing w:val="-2"/>
          <w:lang w:val="fr-FR"/>
        </w:rPr>
      </w:pPr>
      <w:r w:rsidRPr="002518B9">
        <w:rPr>
          <w:lang w:val="fr-FR"/>
        </w:rPr>
        <w:t>a)</w:t>
      </w:r>
      <w:r w:rsidRPr="002518B9">
        <w:rPr>
          <w:lang w:val="fr-FR"/>
        </w:rPr>
        <w:tab/>
      </w:r>
      <w:r w:rsidRPr="002518B9">
        <w:rPr>
          <w:spacing w:val="-2"/>
          <w:lang w:val="fr-FR"/>
        </w:rPr>
        <w:t>Une inspection minutieuse de l’engin de transport avant le chargement</w:t>
      </w:r>
      <w:r w:rsidRPr="002518B9">
        <w:rPr>
          <w:lang w:val="fr-FR"/>
        </w:rPr>
        <w:t> </w:t>
      </w:r>
      <w:r w:rsidRPr="002518B9">
        <w:rPr>
          <w:spacing w:val="-2"/>
          <w:lang w:val="fr-FR"/>
        </w:rPr>
        <w:t>;</w:t>
      </w:r>
    </w:p>
    <w:p w:rsidR="001474C1" w:rsidRPr="002518B9" w:rsidRDefault="001474C1" w:rsidP="008F5FDB">
      <w:pPr>
        <w:pStyle w:val="SingleTxtG"/>
        <w:ind w:left="2835" w:hanging="567"/>
        <w:rPr>
          <w:lang w:val="fr-FR"/>
        </w:rPr>
      </w:pPr>
      <w:r w:rsidRPr="002518B9">
        <w:rPr>
          <w:lang w:val="fr-FR"/>
        </w:rPr>
        <w:t>b)</w:t>
      </w:r>
      <w:r w:rsidRPr="002518B9">
        <w:rPr>
          <w:lang w:val="fr-FR"/>
        </w:rPr>
        <w:tab/>
        <w:t xml:space="preserve">Des consignes pour le transporteur sur le fonctionnement du système de réfrigération y compris, le cas échéant, d'une liste des fournisseurs des matières réfrigérantes disponibles en cours de </w:t>
      </w:r>
      <w:proofErr w:type="gramStart"/>
      <w:r w:rsidRPr="002518B9">
        <w:rPr>
          <w:lang w:val="fr-FR"/>
        </w:rPr>
        <w:t>route;</w:t>
      </w:r>
      <w:proofErr w:type="gramEnd"/>
    </w:p>
    <w:p w:rsidR="001474C1" w:rsidRPr="002518B9" w:rsidRDefault="001474C1" w:rsidP="001474C1">
      <w:pPr>
        <w:pStyle w:val="SingleTxtG"/>
        <w:ind w:left="2268"/>
        <w:rPr>
          <w:lang w:val="fr-FR"/>
        </w:rPr>
      </w:pPr>
      <w:r w:rsidRPr="002518B9">
        <w:rPr>
          <w:lang w:val="fr-FR"/>
        </w:rPr>
        <w:t>c)</w:t>
      </w:r>
      <w:r w:rsidRPr="002518B9">
        <w:rPr>
          <w:lang w:val="fr-FR"/>
        </w:rPr>
        <w:tab/>
        <w:t xml:space="preserve">Des procédures à suivre en cas </w:t>
      </w:r>
      <w:r w:rsidR="00900B74" w:rsidRPr="002518B9">
        <w:rPr>
          <w:lang w:val="fr-FR"/>
        </w:rPr>
        <w:t xml:space="preserve">de défaillance de la </w:t>
      </w:r>
      <w:proofErr w:type="gramStart"/>
      <w:r w:rsidR="00900B74" w:rsidRPr="002518B9">
        <w:rPr>
          <w:lang w:val="fr-FR"/>
        </w:rPr>
        <w:t>régulation</w:t>
      </w:r>
      <w:r w:rsidRPr="002518B9">
        <w:rPr>
          <w:lang w:val="fr-FR"/>
        </w:rPr>
        <w:t>;</w:t>
      </w:r>
      <w:proofErr w:type="gramEnd"/>
    </w:p>
    <w:p w:rsidR="001474C1" w:rsidRPr="002518B9" w:rsidRDefault="001474C1" w:rsidP="001474C1">
      <w:pPr>
        <w:pStyle w:val="SingleTxtG"/>
        <w:ind w:left="2268"/>
        <w:rPr>
          <w:spacing w:val="-2"/>
          <w:lang w:val="fr-FR"/>
        </w:rPr>
      </w:pPr>
      <w:r w:rsidRPr="002518B9">
        <w:rPr>
          <w:lang w:val="fr-FR"/>
        </w:rPr>
        <w:t>d)</w:t>
      </w:r>
      <w:r w:rsidRPr="002518B9">
        <w:rPr>
          <w:lang w:val="fr-FR"/>
        </w:rPr>
        <w:tab/>
        <w:t xml:space="preserve">Une </w:t>
      </w:r>
      <w:r w:rsidRPr="002518B9">
        <w:rPr>
          <w:spacing w:val="-2"/>
          <w:lang w:val="fr-FR"/>
        </w:rPr>
        <w:t xml:space="preserve">surveillance régulière des températures de </w:t>
      </w:r>
      <w:proofErr w:type="gramStart"/>
      <w:r w:rsidRPr="002518B9">
        <w:rPr>
          <w:spacing w:val="-2"/>
          <w:lang w:val="fr-FR"/>
        </w:rPr>
        <w:t>service;</w:t>
      </w:r>
      <w:proofErr w:type="gramEnd"/>
      <w:r w:rsidRPr="002518B9">
        <w:rPr>
          <w:spacing w:val="-2"/>
          <w:lang w:val="fr-FR"/>
        </w:rPr>
        <w:t xml:space="preserve"> et</w:t>
      </w:r>
    </w:p>
    <w:p w:rsidR="001474C1" w:rsidRPr="002518B9" w:rsidRDefault="001474C1" w:rsidP="00FA016D">
      <w:pPr>
        <w:pStyle w:val="SingleTxtG"/>
        <w:ind w:left="2835" w:hanging="567"/>
        <w:rPr>
          <w:lang w:val="fr-FR"/>
        </w:rPr>
      </w:pPr>
      <w:r w:rsidRPr="002518B9">
        <w:rPr>
          <w:lang w:val="fr-FR"/>
        </w:rPr>
        <w:lastRenderedPageBreak/>
        <w:t>e)</w:t>
      </w:r>
      <w:r w:rsidRPr="002518B9">
        <w:rPr>
          <w:lang w:val="fr-FR"/>
        </w:rPr>
        <w:tab/>
        <w:t>La fourniture d'un système de réfrigération de secours ou de pièces de rechange.</w:t>
      </w:r>
    </w:p>
    <w:p w:rsidR="001474C1" w:rsidRPr="002518B9" w:rsidRDefault="001474C1" w:rsidP="001474C1">
      <w:pPr>
        <w:pStyle w:val="SingleTxtG"/>
        <w:rPr>
          <w:lang w:val="fr-FR"/>
        </w:rPr>
      </w:pPr>
      <w:r w:rsidRPr="002518B9">
        <w:rPr>
          <w:lang w:val="fr-FR"/>
        </w:rPr>
        <w:t>7.1.7.4.2</w:t>
      </w:r>
      <w:r w:rsidRPr="002518B9">
        <w:rPr>
          <w:lang w:val="fr-FR"/>
        </w:rPr>
        <w:tab/>
        <w:t xml:space="preserve">Tous les dispositifs de commande et capteurs de température dans le système de réfrigération doivent être facilement accessibles, et toutes les connexions électriques doivent être protégées contre les intempéries. La température de l’espace d’air à l’intérieur de l’engin de transport doit être mesurée par deux capteurs indépendants et les données doivent être enregistrées </w:t>
      </w:r>
      <w:proofErr w:type="gramStart"/>
      <w:r w:rsidRPr="002518B9">
        <w:rPr>
          <w:lang w:val="fr-FR"/>
        </w:rPr>
        <w:t>de manière à ce</w:t>
      </w:r>
      <w:proofErr w:type="gramEnd"/>
      <w:r w:rsidRPr="002518B9">
        <w:rPr>
          <w:lang w:val="fr-FR"/>
        </w:rPr>
        <w:t xml:space="preserve"> que tout changement de température soit facilement discernable. La température doit être contrôlée à intervalles de quatre à six heures et consignée. Lors du transport de matières ayant une température de régulation inférieure à + 25 °C, l’engin de transport doit être équipé de dispositifs d'alarme optique et sonore, alimentés indépendamment du système de réfrigération, réglés pour fonctionner à une température égale ou inférieure à la température de régulation.</w:t>
      </w:r>
    </w:p>
    <w:p w:rsidR="001474C1" w:rsidRPr="002518B9" w:rsidRDefault="001474C1" w:rsidP="001474C1">
      <w:pPr>
        <w:pStyle w:val="SingleTxtG"/>
        <w:rPr>
          <w:lang w:val="fr-FR"/>
        </w:rPr>
      </w:pPr>
      <w:r w:rsidRPr="002518B9">
        <w:rPr>
          <w:lang w:val="fr-FR"/>
        </w:rPr>
        <w:t>7.1.7.4.3</w:t>
      </w:r>
      <w:r w:rsidRPr="002518B9">
        <w:rPr>
          <w:lang w:val="fr-FR"/>
        </w:rPr>
        <w:tab/>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 On doit en outre contrôler fréquemment la température et se préparer à prendre des mesures d’urgence. Si la température critique est atteinte, les mesures d'urgence doivent être engagées.</w:t>
      </w:r>
    </w:p>
    <w:p w:rsidR="001474C1" w:rsidRPr="002518B9" w:rsidRDefault="001474C1" w:rsidP="001474C1">
      <w:pPr>
        <w:pStyle w:val="SingleTxtG"/>
        <w:rPr>
          <w:lang w:val="fr-FR"/>
        </w:rPr>
      </w:pPr>
      <w:r w:rsidRPr="002518B9">
        <w:rPr>
          <w:lang w:val="fr-FR"/>
        </w:rPr>
        <w:t>7.1.7.4.4</w:t>
      </w:r>
      <w:r w:rsidRPr="002518B9">
        <w:rPr>
          <w:lang w:val="fr-FR"/>
        </w:rPr>
        <w:tab/>
        <w:t xml:space="preserve">Le moyen de régulation de température choisi pour le transport dépend d’un certain nombre de facteurs, tels que : </w:t>
      </w:r>
    </w:p>
    <w:p w:rsidR="001474C1" w:rsidRPr="002518B9" w:rsidRDefault="001474C1" w:rsidP="008F5FDB">
      <w:pPr>
        <w:pStyle w:val="SingleTxtG"/>
        <w:ind w:left="2835" w:hanging="567"/>
        <w:rPr>
          <w:lang w:val="fr-FR"/>
        </w:rPr>
      </w:pPr>
      <w:r w:rsidRPr="002518B9">
        <w:rPr>
          <w:lang w:val="fr-FR"/>
        </w:rPr>
        <w:t>a)</w:t>
      </w:r>
      <w:r w:rsidRPr="002518B9">
        <w:rPr>
          <w:lang w:val="fr-FR"/>
        </w:rPr>
        <w:tab/>
        <w:t>La ou les températures de régulation de l</w:t>
      </w:r>
      <w:r w:rsidR="00900B74" w:rsidRPr="002518B9">
        <w:rPr>
          <w:lang w:val="fr-FR"/>
        </w:rPr>
        <w:t xml:space="preserve">a ou des matières à </w:t>
      </w:r>
      <w:proofErr w:type="gramStart"/>
      <w:r w:rsidR="00900B74" w:rsidRPr="002518B9">
        <w:rPr>
          <w:lang w:val="fr-FR"/>
        </w:rPr>
        <w:t>transporter</w:t>
      </w:r>
      <w:r w:rsidRPr="002518B9">
        <w:rPr>
          <w:lang w:val="fr-FR"/>
        </w:rPr>
        <w:t>;</w:t>
      </w:r>
      <w:proofErr w:type="gramEnd"/>
    </w:p>
    <w:p w:rsidR="001474C1" w:rsidRPr="002518B9" w:rsidRDefault="001474C1" w:rsidP="008F5FDB">
      <w:pPr>
        <w:pStyle w:val="SingleTxtG"/>
        <w:ind w:left="2835" w:hanging="567"/>
        <w:rPr>
          <w:lang w:val="fr-FR"/>
        </w:rPr>
      </w:pPr>
      <w:r w:rsidRPr="002518B9">
        <w:rPr>
          <w:lang w:val="fr-FR"/>
        </w:rPr>
        <w:t>b)</w:t>
      </w:r>
      <w:r w:rsidRPr="002518B9">
        <w:rPr>
          <w:lang w:val="fr-FR"/>
        </w:rPr>
        <w:tab/>
        <w:t>L’écart entre la température de régulation et les conditions de</w:t>
      </w:r>
      <w:r w:rsidR="00900B74" w:rsidRPr="002518B9">
        <w:rPr>
          <w:lang w:val="fr-FR"/>
        </w:rPr>
        <w:t xml:space="preserve"> températures ambiantes </w:t>
      </w:r>
      <w:proofErr w:type="gramStart"/>
      <w:r w:rsidR="00900B74" w:rsidRPr="002518B9">
        <w:rPr>
          <w:lang w:val="fr-FR"/>
        </w:rPr>
        <w:t>prévues</w:t>
      </w:r>
      <w:r w:rsidRPr="002518B9">
        <w:rPr>
          <w:lang w:val="fr-FR"/>
        </w:rPr>
        <w:t>;</w:t>
      </w:r>
      <w:proofErr w:type="gramEnd"/>
    </w:p>
    <w:p w:rsidR="001474C1" w:rsidRPr="002518B9" w:rsidRDefault="001474C1" w:rsidP="008F5FDB">
      <w:pPr>
        <w:pStyle w:val="SingleTxtG"/>
        <w:ind w:left="2835" w:hanging="567"/>
        <w:rPr>
          <w:lang w:val="fr-FR"/>
        </w:rPr>
      </w:pPr>
      <w:r w:rsidRPr="002518B9">
        <w:rPr>
          <w:lang w:val="fr-FR"/>
        </w:rPr>
        <w:t>c)</w:t>
      </w:r>
      <w:r w:rsidRPr="002518B9">
        <w:rPr>
          <w:lang w:val="fr-FR"/>
        </w:rPr>
        <w:tab/>
        <w:t xml:space="preserve">L’efficacité de l’isolation </w:t>
      </w:r>
      <w:proofErr w:type="gramStart"/>
      <w:r w:rsidRPr="002518B9">
        <w:rPr>
          <w:lang w:val="fr-FR"/>
        </w:rPr>
        <w:t>thermiqu</w:t>
      </w:r>
      <w:r w:rsidR="00900B74" w:rsidRPr="002518B9">
        <w:rPr>
          <w:lang w:val="fr-FR"/>
        </w:rPr>
        <w:t>e</w:t>
      </w:r>
      <w:r w:rsidRPr="002518B9">
        <w:rPr>
          <w:lang w:val="fr-FR"/>
        </w:rPr>
        <w:t>;</w:t>
      </w:r>
      <w:proofErr w:type="gramEnd"/>
    </w:p>
    <w:p w:rsidR="001474C1" w:rsidRPr="002518B9" w:rsidRDefault="001474C1" w:rsidP="008F5FDB">
      <w:pPr>
        <w:pStyle w:val="SingleTxtG"/>
        <w:ind w:left="2835" w:hanging="567"/>
        <w:rPr>
          <w:lang w:val="fr-FR"/>
        </w:rPr>
      </w:pPr>
      <w:r w:rsidRPr="002518B9">
        <w:rPr>
          <w:lang w:val="fr-FR"/>
        </w:rPr>
        <w:t>d)</w:t>
      </w:r>
      <w:r w:rsidRPr="002518B9">
        <w:rPr>
          <w:lang w:val="fr-FR"/>
        </w:rPr>
        <w:tab/>
        <w:t xml:space="preserve">La durée du </w:t>
      </w:r>
      <w:proofErr w:type="gramStart"/>
      <w:r w:rsidRPr="002518B9">
        <w:rPr>
          <w:lang w:val="fr-FR"/>
        </w:rPr>
        <w:t>transport;</w:t>
      </w:r>
      <w:proofErr w:type="gramEnd"/>
      <w:r w:rsidRPr="002518B9">
        <w:rPr>
          <w:lang w:val="fr-FR"/>
        </w:rPr>
        <w:t xml:space="preserve"> et</w:t>
      </w:r>
    </w:p>
    <w:p w:rsidR="001474C1" w:rsidRPr="002518B9" w:rsidRDefault="001474C1" w:rsidP="001474C1">
      <w:pPr>
        <w:pStyle w:val="SingleTxtG"/>
        <w:ind w:left="2268"/>
        <w:rPr>
          <w:lang w:val="fr-FR"/>
        </w:rPr>
      </w:pPr>
      <w:r w:rsidRPr="002518B9">
        <w:rPr>
          <w:lang w:val="fr-FR"/>
        </w:rPr>
        <w:t>e)</w:t>
      </w:r>
      <w:r w:rsidRPr="002518B9">
        <w:rPr>
          <w:lang w:val="fr-FR"/>
        </w:rPr>
        <w:tab/>
        <w:t>La marge de sécurité prévue pour les retards.</w:t>
      </w:r>
    </w:p>
    <w:p w:rsidR="001474C1" w:rsidRPr="002518B9" w:rsidRDefault="001474C1" w:rsidP="001474C1">
      <w:pPr>
        <w:pStyle w:val="SingleTxtG"/>
        <w:rPr>
          <w:lang w:val="fr-FR"/>
        </w:rPr>
      </w:pPr>
      <w:r w:rsidRPr="002518B9">
        <w:rPr>
          <w:lang w:val="fr-FR"/>
        </w:rPr>
        <w:t>7.1.7.4.5</w:t>
      </w:r>
      <w:r w:rsidRPr="002518B9">
        <w:rPr>
          <w:lang w:val="fr-FR"/>
        </w:rPr>
        <w:tab/>
        <w:t xml:space="preserve">Des méthodes appropriées pour empêcher le dépassement de la température de régulation sont, par ordre croissant </w:t>
      </w:r>
      <w:proofErr w:type="gramStart"/>
      <w:r w:rsidRPr="002518B9">
        <w:rPr>
          <w:lang w:val="fr-FR"/>
        </w:rPr>
        <w:t>d'efficacité:</w:t>
      </w:r>
      <w:proofErr w:type="gramEnd"/>
    </w:p>
    <w:p w:rsidR="001474C1" w:rsidRPr="002518B9" w:rsidRDefault="001474C1" w:rsidP="008F5FDB">
      <w:pPr>
        <w:pStyle w:val="SingleTxtG"/>
        <w:ind w:left="2835" w:hanging="567"/>
        <w:rPr>
          <w:lang w:val="fr-FR"/>
        </w:rPr>
      </w:pPr>
      <w:r w:rsidRPr="002518B9">
        <w:rPr>
          <w:lang w:val="fr-FR"/>
        </w:rPr>
        <w:t>a)</w:t>
      </w:r>
      <w:r w:rsidRPr="002518B9">
        <w:rPr>
          <w:lang w:val="fr-FR"/>
        </w:rPr>
        <w:tab/>
        <w:t xml:space="preserve">Isolation thermique, à condition que la température initiale de la ou des matières à transporter soit suffisamment basse par rapport à la température de </w:t>
      </w:r>
      <w:proofErr w:type="gramStart"/>
      <w:r w:rsidRPr="002518B9">
        <w:rPr>
          <w:lang w:val="fr-FR"/>
        </w:rPr>
        <w:t>régulation;</w:t>
      </w:r>
      <w:proofErr w:type="gramEnd"/>
    </w:p>
    <w:p w:rsidR="001474C1" w:rsidRPr="002518B9" w:rsidRDefault="001474C1" w:rsidP="008F5FDB">
      <w:pPr>
        <w:pStyle w:val="SingleTxtG"/>
        <w:ind w:left="2835" w:hanging="567"/>
        <w:rPr>
          <w:lang w:val="fr-FR"/>
        </w:rPr>
      </w:pPr>
      <w:r w:rsidRPr="002518B9">
        <w:rPr>
          <w:lang w:val="fr-FR"/>
        </w:rPr>
        <w:t>b)</w:t>
      </w:r>
      <w:r w:rsidRPr="002518B9">
        <w:rPr>
          <w:lang w:val="fr-FR"/>
        </w:rPr>
        <w:tab/>
        <w:t xml:space="preserve">Isolation thermique avec système de refroidissement, à condition </w:t>
      </w:r>
      <w:proofErr w:type="gramStart"/>
      <w:r w:rsidRPr="002518B9">
        <w:rPr>
          <w:lang w:val="fr-FR"/>
        </w:rPr>
        <w:t>que:</w:t>
      </w:r>
      <w:proofErr w:type="gramEnd"/>
    </w:p>
    <w:p w:rsidR="001474C1" w:rsidRPr="002518B9" w:rsidRDefault="001474C1" w:rsidP="008F5FDB">
      <w:pPr>
        <w:pStyle w:val="SingleTxtG"/>
        <w:ind w:left="3402" w:hanging="567"/>
        <w:rPr>
          <w:lang w:val="fr-FR"/>
        </w:rPr>
      </w:pPr>
      <w:r w:rsidRPr="002518B9">
        <w:rPr>
          <w:lang w:val="fr-FR"/>
        </w:rPr>
        <w:t>i)</w:t>
      </w:r>
      <w:r w:rsidRPr="002518B9">
        <w:rPr>
          <w:lang w:val="fr-FR"/>
        </w:rPr>
        <w:tab/>
        <w:t xml:space="preserve">une quantité suffisante de réfrigérant non inflammable (par exemple azote liquide ou neige carbonique) soit transportée, en tenant compte d’une marge raisonnable pour les retards, à moins qu'un moyen de ravitaillement soit </w:t>
      </w:r>
      <w:proofErr w:type="gramStart"/>
      <w:r w:rsidRPr="002518B9">
        <w:rPr>
          <w:lang w:val="fr-FR"/>
        </w:rPr>
        <w:t>assuré;</w:t>
      </w:r>
      <w:proofErr w:type="gramEnd"/>
    </w:p>
    <w:p w:rsidR="001474C1" w:rsidRPr="002518B9" w:rsidRDefault="001474C1" w:rsidP="008F5FDB">
      <w:pPr>
        <w:pStyle w:val="SingleTxtG"/>
        <w:ind w:left="3402" w:hanging="567"/>
        <w:rPr>
          <w:lang w:val="fr-FR"/>
        </w:rPr>
      </w:pPr>
      <w:r w:rsidRPr="002518B9">
        <w:rPr>
          <w:lang w:val="fr-FR"/>
        </w:rPr>
        <w:t>ii)</w:t>
      </w:r>
      <w:r w:rsidRPr="002518B9">
        <w:rPr>
          <w:lang w:val="fr-FR"/>
        </w:rPr>
        <w:tab/>
        <w:t xml:space="preserve">ni l'oxygène liquide ni l'air liquide ne soient utilisés comme </w:t>
      </w:r>
      <w:proofErr w:type="gramStart"/>
      <w:r w:rsidRPr="002518B9">
        <w:rPr>
          <w:lang w:val="fr-FR"/>
        </w:rPr>
        <w:t>réfrigérants;</w:t>
      </w:r>
      <w:proofErr w:type="gramEnd"/>
    </w:p>
    <w:p w:rsidR="001474C1" w:rsidRPr="002518B9" w:rsidRDefault="001474C1" w:rsidP="008F5FDB">
      <w:pPr>
        <w:pStyle w:val="SingleTxtG"/>
        <w:ind w:left="3402" w:hanging="567"/>
        <w:rPr>
          <w:lang w:val="fr-FR"/>
        </w:rPr>
      </w:pPr>
      <w:r w:rsidRPr="002518B9">
        <w:rPr>
          <w:lang w:val="fr-FR"/>
        </w:rPr>
        <w:t>iii)</w:t>
      </w:r>
      <w:r w:rsidRPr="002518B9">
        <w:rPr>
          <w:lang w:val="fr-FR"/>
        </w:rPr>
        <w:tab/>
        <w:t xml:space="preserve">le système de refroidissement ait un effet uniforme, même lorsque la plupart du réfrigérant est </w:t>
      </w:r>
      <w:proofErr w:type="gramStart"/>
      <w:r w:rsidRPr="002518B9">
        <w:rPr>
          <w:lang w:val="fr-FR"/>
        </w:rPr>
        <w:t>épuisée;</w:t>
      </w:r>
      <w:proofErr w:type="gramEnd"/>
      <w:r w:rsidRPr="002518B9">
        <w:rPr>
          <w:lang w:val="fr-FR"/>
        </w:rPr>
        <w:t xml:space="preserve"> et</w:t>
      </w:r>
    </w:p>
    <w:p w:rsidR="001474C1" w:rsidRPr="002518B9" w:rsidRDefault="001474C1" w:rsidP="008F5FDB">
      <w:pPr>
        <w:pStyle w:val="SingleTxtG"/>
        <w:ind w:left="3402" w:hanging="567"/>
        <w:rPr>
          <w:lang w:val="fr-FR"/>
        </w:rPr>
      </w:pPr>
      <w:r w:rsidRPr="002518B9">
        <w:rPr>
          <w:lang w:val="fr-FR"/>
        </w:rPr>
        <w:t>iv)</w:t>
      </w:r>
      <w:r w:rsidRPr="002518B9">
        <w:rPr>
          <w:lang w:val="fr-FR"/>
        </w:rPr>
        <w:tab/>
        <w:t xml:space="preserve">la nécessité de ventiler l’engin de transport avant d'entrer soit clairement indiquée par un avis inscrit sur la ou les portes de </w:t>
      </w:r>
      <w:proofErr w:type="gramStart"/>
      <w:r w:rsidRPr="002518B9">
        <w:rPr>
          <w:lang w:val="fr-FR"/>
        </w:rPr>
        <w:t>l’engin;</w:t>
      </w:r>
      <w:proofErr w:type="gramEnd"/>
    </w:p>
    <w:p w:rsidR="001474C1" w:rsidRPr="002518B9" w:rsidRDefault="001474C1" w:rsidP="008F5FDB">
      <w:pPr>
        <w:pStyle w:val="SingleTxtG"/>
        <w:ind w:left="2835" w:hanging="567"/>
        <w:rPr>
          <w:lang w:val="fr-FR"/>
        </w:rPr>
      </w:pPr>
      <w:r w:rsidRPr="002518B9">
        <w:rPr>
          <w:lang w:val="fr-FR"/>
        </w:rPr>
        <w:lastRenderedPageBreak/>
        <w:t>c)</w:t>
      </w:r>
      <w:r w:rsidRPr="002518B9">
        <w:rPr>
          <w:lang w:val="fr-FR"/>
        </w:rPr>
        <w:tab/>
        <w:t xml:space="preserve">Isolation thermique de l'unité et réfrigération mécanique simple, à condition que, pour les matières à transporter ayant un point d'éclair inférieur à la température critique augmentée de 5 °C, des raccords électriques à protection contre l'explosion, </w:t>
      </w:r>
      <w:proofErr w:type="spellStart"/>
      <w:r w:rsidRPr="002518B9">
        <w:rPr>
          <w:lang w:val="fr-FR"/>
        </w:rPr>
        <w:t>EEx</w:t>
      </w:r>
      <w:proofErr w:type="spellEnd"/>
      <w:r w:rsidRPr="002518B9">
        <w:rPr>
          <w:lang w:val="fr-FR"/>
        </w:rPr>
        <w:t xml:space="preserve"> IIB T3, soient utilisés dans le compartiment de réfrigération pour éviter le risque d'inflammation des vapeurs dégagées par les </w:t>
      </w:r>
      <w:proofErr w:type="gramStart"/>
      <w:r w:rsidRPr="002518B9">
        <w:rPr>
          <w:lang w:val="fr-FR"/>
        </w:rPr>
        <w:t>matières;</w:t>
      </w:r>
      <w:proofErr w:type="gramEnd"/>
      <w:r w:rsidRPr="002518B9">
        <w:rPr>
          <w:lang w:val="fr-FR"/>
        </w:rPr>
        <w:t xml:space="preserve"> </w:t>
      </w:r>
    </w:p>
    <w:p w:rsidR="001474C1" w:rsidRPr="002518B9" w:rsidRDefault="001474C1" w:rsidP="008F5FDB">
      <w:pPr>
        <w:pStyle w:val="SingleTxtG"/>
        <w:ind w:left="2835" w:hanging="567"/>
        <w:rPr>
          <w:lang w:val="fr-FR"/>
        </w:rPr>
      </w:pPr>
      <w:r w:rsidRPr="002518B9">
        <w:rPr>
          <w:lang w:val="fr-FR"/>
        </w:rPr>
        <w:t>d)</w:t>
      </w:r>
      <w:r w:rsidRPr="002518B9">
        <w:rPr>
          <w:lang w:val="fr-FR"/>
        </w:rPr>
        <w:tab/>
        <w:t xml:space="preserve">Isolation thermique avec système de réfrigération mécanique combiné avec système de refroidissement, à condition </w:t>
      </w:r>
      <w:proofErr w:type="gramStart"/>
      <w:r w:rsidRPr="002518B9">
        <w:rPr>
          <w:lang w:val="fr-FR"/>
        </w:rPr>
        <w:t>que:</w:t>
      </w:r>
      <w:proofErr w:type="gramEnd"/>
    </w:p>
    <w:p w:rsidR="001474C1" w:rsidRPr="002518B9" w:rsidRDefault="001474C1" w:rsidP="001474C1">
      <w:pPr>
        <w:pStyle w:val="SingleTxtG"/>
        <w:ind w:left="2835"/>
        <w:rPr>
          <w:lang w:val="fr-FR"/>
        </w:rPr>
      </w:pPr>
      <w:r w:rsidRPr="002518B9">
        <w:rPr>
          <w:lang w:val="fr-FR"/>
        </w:rPr>
        <w:t>i)</w:t>
      </w:r>
      <w:r w:rsidRPr="002518B9">
        <w:rPr>
          <w:lang w:val="fr-FR"/>
        </w:rPr>
        <w:tab/>
        <w:t xml:space="preserve">les deux systèmes soient indépendants l'un de </w:t>
      </w:r>
      <w:proofErr w:type="gramStart"/>
      <w:r w:rsidRPr="002518B9">
        <w:rPr>
          <w:lang w:val="fr-FR"/>
        </w:rPr>
        <w:t>l'autre;</w:t>
      </w:r>
      <w:proofErr w:type="gramEnd"/>
      <w:r w:rsidRPr="002518B9">
        <w:rPr>
          <w:lang w:val="fr-FR"/>
        </w:rPr>
        <w:t xml:space="preserve"> et</w:t>
      </w:r>
    </w:p>
    <w:p w:rsidR="001474C1" w:rsidRPr="002518B9" w:rsidRDefault="001474C1" w:rsidP="001474C1">
      <w:pPr>
        <w:pStyle w:val="SingleTxtG"/>
        <w:ind w:left="2835"/>
        <w:rPr>
          <w:lang w:val="fr-FR"/>
        </w:rPr>
      </w:pPr>
      <w:r w:rsidRPr="002518B9">
        <w:rPr>
          <w:lang w:val="fr-FR"/>
        </w:rPr>
        <w:t>ii)</w:t>
      </w:r>
      <w:r w:rsidRPr="002518B9">
        <w:rPr>
          <w:lang w:val="fr-FR"/>
        </w:rPr>
        <w:tab/>
        <w:t xml:space="preserve">les dispositions des alinéas b) et c) soient </w:t>
      </w:r>
      <w:proofErr w:type="gramStart"/>
      <w:r w:rsidRPr="002518B9">
        <w:rPr>
          <w:lang w:val="fr-FR"/>
        </w:rPr>
        <w:t>satisfaites;</w:t>
      </w:r>
      <w:proofErr w:type="gramEnd"/>
    </w:p>
    <w:p w:rsidR="001474C1" w:rsidRPr="002518B9" w:rsidRDefault="001474C1" w:rsidP="008F5FDB">
      <w:pPr>
        <w:pStyle w:val="SingleTxtG"/>
        <w:ind w:left="2835" w:hanging="567"/>
        <w:rPr>
          <w:lang w:val="fr-FR"/>
        </w:rPr>
      </w:pPr>
      <w:r w:rsidRPr="002518B9">
        <w:rPr>
          <w:lang w:val="fr-FR"/>
        </w:rPr>
        <w:t>e)</w:t>
      </w:r>
      <w:r w:rsidRPr="002518B9">
        <w:rPr>
          <w:lang w:val="fr-FR"/>
        </w:rPr>
        <w:tab/>
        <w:t xml:space="preserve">Isolation thermique avec système de réfrigération mécanique double, à condition </w:t>
      </w:r>
      <w:proofErr w:type="gramStart"/>
      <w:r w:rsidRPr="002518B9">
        <w:rPr>
          <w:lang w:val="fr-FR"/>
        </w:rPr>
        <w:t>que:</w:t>
      </w:r>
      <w:proofErr w:type="gramEnd"/>
    </w:p>
    <w:p w:rsidR="001474C1" w:rsidRPr="002518B9" w:rsidRDefault="001474C1" w:rsidP="008F5FDB">
      <w:pPr>
        <w:pStyle w:val="SingleTxtG"/>
        <w:ind w:left="3402" w:hanging="567"/>
        <w:rPr>
          <w:lang w:val="fr-FR"/>
        </w:rPr>
      </w:pPr>
      <w:r w:rsidRPr="002518B9">
        <w:rPr>
          <w:lang w:val="fr-FR"/>
        </w:rPr>
        <w:t>i)</w:t>
      </w:r>
      <w:r w:rsidRPr="002518B9">
        <w:rPr>
          <w:lang w:val="fr-FR"/>
        </w:rPr>
        <w:tab/>
        <w:t xml:space="preserve">en dehors du dispositif général d'alimentation, les deux systèmes soient indépendants l'un de </w:t>
      </w:r>
      <w:proofErr w:type="gramStart"/>
      <w:r w:rsidRPr="002518B9">
        <w:rPr>
          <w:lang w:val="fr-FR"/>
        </w:rPr>
        <w:t>l'autre;</w:t>
      </w:r>
      <w:proofErr w:type="gramEnd"/>
    </w:p>
    <w:p w:rsidR="001474C1" w:rsidRPr="002518B9" w:rsidRDefault="001474C1" w:rsidP="008F5FDB">
      <w:pPr>
        <w:pStyle w:val="SingleTxtG"/>
        <w:ind w:left="3402" w:hanging="567"/>
        <w:rPr>
          <w:lang w:val="fr-FR"/>
        </w:rPr>
      </w:pPr>
      <w:r w:rsidRPr="002518B9">
        <w:rPr>
          <w:lang w:val="fr-FR"/>
        </w:rPr>
        <w:t>ii)</w:t>
      </w:r>
      <w:r w:rsidRPr="002518B9">
        <w:rPr>
          <w:lang w:val="fr-FR"/>
        </w:rPr>
        <w:tab/>
        <w:t xml:space="preserve">chaque système puisse à lui seul maintenir une régulation suffisante de la </w:t>
      </w:r>
      <w:proofErr w:type="gramStart"/>
      <w:r w:rsidRPr="002518B9">
        <w:rPr>
          <w:lang w:val="fr-FR"/>
        </w:rPr>
        <w:t>température;</w:t>
      </w:r>
      <w:proofErr w:type="gramEnd"/>
      <w:r w:rsidRPr="002518B9">
        <w:rPr>
          <w:lang w:val="fr-FR"/>
        </w:rPr>
        <w:t xml:space="preserve"> et</w:t>
      </w:r>
    </w:p>
    <w:p w:rsidR="001474C1" w:rsidRPr="002518B9" w:rsidRDefault="001474C1" w:rsidP="008F5FDB">
      <w:pPr>
        <w:pStyle w:val="SingleTxtG"/>
        <w:ind w:left="3402" w:hanging="567"/>
        <w:rPr>
          <w:i/>
          <w:lang w:val="fr-FR"/>
        </w:rPr>
      </w:pPr>
      <w:r w:rsidRPr="002518B9">
        <w:rPr>
          <w:lang w:val="fr-FR"/>
        </w:rPr>
        <w:t>iii)</w:t>
      </w:r>
      <w:r w:rsidRPr="002518B9">
        <w:rPr>
          <w:lang w:val="fr-FR"/>
        </w:rPr>
        <w:tab/>
      </w:r>
      <w:r w:rsidRPr="002518B9">
        <w:rPr>
          <w:bCs/>
          <w:lang w:val="fr-FR"/>
        </w:rPr>
        <w:t>pour les matières à transporter ayant un point d'éclair inférieur à la température critique augmentée de 5 °C des raccords électriques à protection contre l'explosion</w:t>
      </w:r>
      <w:r w:rsidRPr="002518B9">
        <w:rPr>
          <w:lang w:val="fr-FR"/>
        </w:rPr>
        <w:t xml:space="preserve">, </w:t>
      </w:r>
      <w:proofErr w:type="spellStart"/>
      <w:r w:rsidRPr="002518B9">
        <w:rPr>
          <w:lang w:val="fr-FR"/>
        </w:rPr>
        <w:t>EEx</w:t>
      </w:r>
      <w:proofErr w:type="spellEnd"/>
      <w:r w:rsidRPr="002518B9">
        <w:rPr>
          <w:lang w:val="fr-FR"/>
        </w:rPr>
        <w:t xml:space="preserve"> IIB T3, </w:t>
      </w:r>
      <w:r w:rsidRPr="002518B9">
        <w:rPr>
          <w:bCs/>
          <w:lang w:val="fr-FR"/>
        </w:rPr>
        <w:t>soient utilisés dans le compartiment de réfrigération pour éviter le risque d'inflammation des vapeurs</w:t>
      </w:r>
      <w:r w:rsidRPr="002518B9">
        <w:rPr>
          <w:lang w:val="fr-FR"/>
        </w:rPr>
        <w:t xml:space="preserve"> dégagées par les matières</w:t>
      </w:r>
      <w:r w:rsidRPr="002518B9">
        <w:rPr>
          <w:bCs/>
          <w:lang w:val="fr-FR"/>
        </w:rPr>
        <w:t>.</w:t>
      </w:r>
    </w:p>
    <w:p w:rsidR="001474C1" w:rsidRPr="002518B9" w:rsidRDefault="001474C1" w:rsidP="001474C1">
      <w:pPr>
        <w:pStyle w:val="SingleTxtG"/>
        <w:rPr>
          <w:lang w:val="fr-FR"/>
        </w:rPr>
      </w:pPr>
      <w:r w:rsidRPr="002518B9">
        <w:rPr>
          <w:lang w:val="fr-FR"/>
        </w:rPr>
        <w:t>7.1.7.4.6</w:t>
      </w:r>
      <w:r w:rsidRPr="002518B9">
        <w:rPr>
          <w:lang w:val="fr-FR"/>
        </w:rPr>
        <w:tab/>
        <w:t xml:space="preserve">Les méthodes décrites aux 7.1.7.4.5 d) et e) peuvent être utilisées pour tous les peroxydes organiques, matières </w:t>
      </w:r>
      <w:proofErr w:type="spellStart"/>
      <w:r w:rsidRPr="002518B9">
        <w:rPr>
          <w:lang w:val="fr-FR"/>
        </w:rPr>
        <w:t>autoréactives</w:t>
      </w:r>
      <w:proofErr w:type="spellEnd"/>
      <w:r w:rsidRPr="002518B9">
        <w:rPr>
          <w:lang w:val="fr-FR"/>
        </w:rPr>
        <w:t xml:space="preserve"> et matières qui polymérisent.</w:t>
      </w:r>
    </w:p>
    <w:p w:rsidR="001474C1" w:rsidRPr="002518B9" w:rsidRDefault="001474C1" w:rsidP="001474C1">
      <w:pPr>
        <w:pStyle w:val="SingleTxtG"/>
        <w:ind w:firstLine="1134"/>
        <w:rPr>
          <w:lang w:val="fr-FR"/>
        </w:rPr>
      </w:pPr>
      <w:r w:rsidRPr="002518B9">
        <w:rPr>
          <w:lang w:val="fr-FR"/>
        </w:rPr>
        <w:t xml:space="preserve">La méthode décrite au 7.1.7.4.5 c) peut être utilisée pour les peroxydes organiques et matières </w:t>
      </w:r>
      <w:proofErr w:type="spellStart"/>
      <w:r w:rsidRPr="002518B9">
        <w:rPr>
          <w:lang w:val="fr-FR"/>
        </w:rPr>
        <w:t>autoréactives</w:t>
      </w:r>
      <w:proofErr w:type="spellEnd"/>
      <w:r w:rsidRPr="002518B9">
        <w:rPr>
          <w:lang w:val="fr-FR"/>
        </w:rPr>
        <w:t xml:space="preserve"> des types C, D, E et F et, si la température ambiante maximale à prévoir pendant le transport ne dépasse pas de plus de 10 °C la température de régulation, pour les peroxydes organiques et matières </w:t>
      </w:r>
      <w:proofErr w:type="spellStart"/>
      <w:r w:rsidRPr="002518B9">
        <w:rPr>
          <w:lang w:val="fr-FR"/>
        </w:rPr>
        <w:t>autoréactives</w:t>
      </w:r>
      <w:proofErr w:type="spellEnd"/>
      <w:r w:rsidRPr="002518B9">
        <w:rPr>
          <w:lang w:val="fr-FR"/>
        </w:rPr>
        <w:t xml:space="preserve"> du type B et pour les matières qui polymérisent.</w:t>
      </w:r>
    </w:p>
    <w:p w:rsidR="001474C1" w:rsidRPr="002518B9" w:rsidRDefault="001474C1" w:rsidP="001474C1">
      <w:pPr>
        <w:pStyle w:val="SingleTxtG"/>
        <w:ind w:firstLine="1134"/>
        <w:rPr>
          <w:lang w:val="fr-FR"/>
        </w:rPr>
      </w:pPr>
      <w:r w:rsidRPr="002518B9">
        <w:rPr>
          <w:lang w:val="fr-FR"/>
        </w:rPr>
        <w:t xml:space="preserve">La méthode décrite au 7.1.7.4.5 b) peut être utilisée pour les peroxydes organiques et matières </w:t>
      </w:r>
      <w:proofErr w:type="spellStart"/>
      <w:r w:rsidRPr="002518B9">
        <w:rPr>
          <w:lang w:val="fr-FR"/>
        </w:rPr>
        <w:t>autoréactives</w:t>
      </w:r>
      <w:proofErr w:type="spellEnd"/>
      <w:r w:rsidRPr="002518B9">
        <w:rPr>
          <w:lang w:val="fr-FR"/>
        </w:rPr>
        <w:t xml:space="preserve"> des types C, D, E et F et pour les matières qui polymérisent lorsque la température ambiante maximale à prévoir pendant le transport ne dépasse pas de plus de 30 °C la température de régulation.</w:t>
      </w:r>
    </w:p>
    <w:p w:rsidR="001474C1" w:rsidRPr="002518B9" w:rsidRDefault="001474C1" w:rsidP="001474C1">
      <w:pPr>
        <w:pStyle w:val="SingleTxtG"/>
        <w:ind w:firstLine="1134"/>
        <w:rPr>
          <w:lang w:val="fr-FR"/>
        </w:rPr>
      </w:pPr>
      <w:r w:rsidRPr="002518B9">
        <w:rPr>
          <w:lang w:val="fr-FR"/>
        </w:rPr>
        <w:t xml:space="preserve">La méthode décrite au 7.1.7.4.5 a) peut être utilisée pour les peroxydes organiques et matières </w:t>
      </w:r>
      <w:proofErr w:type="spellStart"/>
      <w:r w:rsidRPr="002518B9">
        <w:rPr>
          <w:lang w:val="fr-FR"/>
        </w:rPr>
        <w:t>autoréactives</w:t>
      </w:r>
      <w:proofErr w:type="spellEnd"/>
      <w:r w:rsidRPr="002518B9">
        <w:rPr>
          <w:lang w:val="fr-FR"/>
        </w:rPr>
        <w:t xml:space="preserve"> des types C, D, E et F et pour les matières qui polymérisent lorsque la température ambiante maximale à prévoir pendant le transport est d'au moins 10 °C inférieure à la température de régulation.</w:t>
      </w:r>
    </w:p>
    <w:p w:rsidR="001474C1" w:rsidRPr="002518B9" w:rsidRDefault="001474C1" w:rsidP="001474C1">
      <w:pPr>
        <w:pStyle w:val="SingleTxtG"/>
        <w:rPr>
          <w:lang w:val="fr-FR"/>
        </w:rPr>
      </w:pPr>
      <w:r w:rsidRPr="002518B9">
        <w:rPr>
          <w:lang w:val="fr-FR"/>
        </w:rPr>
        <w:t>7.1.7.4.7</w:t>
      </w:r>
      <w:r w:rsidRPr="002518B9">
        <w:rPr>
          <w:lang w:val="fr-FR"/>
        </w:rPr>
        <w:tab/>
        <w:t>Si les matières sont transportées dans des véhicules ou conteneurs isothermes, réfrigérants ou frigorifiques, ces véhicules ou conteneurs doivent être conformes aux prescriptions du chapitre 9.6</w:t>
      </w:r>
      <w:r w:rsidR="006C4D17" w:rsidRPr="002518B9">
        <w:rPr>
          <w:lang w:val="fr-FR"/>
        </w:rPr>
        <w:t xml:space="preserve"> de l'ADR</w:t>
      </w:r>
      <w:r w:rsidRPr="002518B9">
        <w:rPr>
          <w:lang w:val="fr-FR"/>
        </w:rPr>
        <w:t>.</w:t>
      </w:r>
    </w:p>
    <w:p w:rsidR="001474C1" w:rsidRPr="002518B9" w:rsidRDefault="001474C1" w:rsidP="001474C1">
      <w:pPr>
        <w:pStyle w:val="SingleTxtG"/>
        <w:rPr>
          <w:lang w:val="fr-FR"/>
        </w:rPr>
      </w:pPr>
      <w:r w:rsidRPr="002518B9">
        <w:rPr>
          <w:lang w:val="fr-FR"/>
        </w:rPr>
        <w:t>7.1.7.4.8</w:t>
      </w:r>
      <w:r w:rsidRPr="002518B9">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 respectivement, l'aération doit être assurée de façon adéquate. Les véhicules et conteneurs bâchés doivent être munis de ridelles et d'un hayon. La bâche de ces véhicules et conteneurs doit être constituée d'un tissu imperméable et difficilement inflammable</w:t>
      </w:r>
      <w:proofErr w:type="gramStart"/>
      <w:r w:rsidRPr="002518B9">
        <w:rPr>
          <w:lang w:val="fr-FR"/>
        </w:rPr>
        <w:t>.</w:t>
      </w:r>
      <w:bookmarkEnd w:id="10"/>
      <w:r w:rsidRPr="002518B9">
        <w:rPr>
          <w:lang w:val="fr-FR"/>
        </w:rPr>
        <w:t>»</w:t>
      </w:r>
      <w:proofErr w:type="gramEnd"/>
      <w:r w:rsidRPr="002518B9">
        <w:rPr>
          <w:lang w:val="fr-FR"/>
        </w:rPr>
        <w:t>.</w:t>
      </w:r>
    </w:p>
    <w:p w:rsidR="00125FD3" w:rsidRPr="002518B9" w:rsidRDefault="00125FD3" w:rsidP="001474C1">
      <w:pPr>
        <w:pStyle w:val="SingleTxtG"/>
        <w:rPr>
          <w:bCs/>
        </w:rPr>
      </w:pPr>
      <w:bookmarkStart w:id="11" w:name="_Hlk522004386"/>
      <w:r w:rsidRPr="002518B9">
        <w:rPr>
          <w:lang w:val="fr-FR"/>
        </w:rPr>
        <w:t>7.1.7</w:t>
      </w:r>
      <w:r w:rsidRPr="002518B9">
        <w:rPr>
          <w:lang w:val="fr-FR"/>
        </w:rPr>
        <w:tab/>
        <w:t>Insérer</w:t>
      </w:r>
      <w:proofErr w:type="gramStart"/>
      <w:r w:rsidRPr="002518B9">
        <w:rPr>
          <w:lang w:val="fr-FR"/>
        </w:rPr>
        <w:t xml:space="preserve"> </w:t>
      </w:r>
      <w:r w:rsidRPr="002518B9">
        <w:t>«</w:t>
      </w:r>
      <w:r w:rsidRPr="002518B9">
        <w:rPr>
          <w:bCs/>
          <w:lang w:val="fr-FR"/>
        </w:rPr>
        <w:t>7.1.7.5</w:t>
      </w:r>
      <w:proofErr w:type="gramEnd"/>
      <w:r w:rsidRPr="002518B9">
        <w:rPr>
          <w:bCs/>
          <w:lang w:val="fr-FR"/>
        </w:rPr>
        <w:t xml:space="preserve"> à </w:t>
      </w:r>
      <w:r w:rsidRPr="002518B9">
        <w:rPr>
          <w:bCs/>
        </w:rPr>
        <w:t>7.1.</w:t>
      </w:r>
      <w:r w:rsidR="00783A2E">
        <w:rPr>
          <w:bCs/>
        </w:rPr>
        <w:t>9</w:t>
      </w:r>
      <w:r w:rsidRPr="002518B9">
        <w:rPr>
          <w:bCs/>
        </w:rPr>
        <w:t xml:space="preserve">.99 </w:t>
      </w:r>
      <w:r w:rsidRPr="002518B9">
        <w:rPr>
          <w:bCs/>
          <w:i/>
          <w:lang w:val="fr-FR"/>
        </w:rPr>
        <w:t>(Réservés)</w:t>
      </w:r>
      <w:r w:rsidRPr="002518B9">
        <w:t>».</w:t>
      </w:r>
    </w:p>
    <w:bookmarkEnd w:id="11"/>
    <w:p w:rsidR="008D0723" w:rsidRPr="002518B9" w:rsidRDefault="00D440EE" w:rsidP="00D440EE">
      <w:pPr>
        <w:spacing w:before="240"/>
        <w:ind w:left="1134" w:right="1134"/>
        <w:jc w:val="center"/>
        <w:rPr>
          <w:u w:val="single"/>
        </w:rPr>
      </w:pPr>
      <w:r w:rsidRPr="002518B9">
        <w:rPr>
          <w:u w:val="single"/>
        </w:rPr>
        <w:lastRenderedPageBreak/>
        <w:tab/>
      </w:r>
      <w:r w:rsidRPr="002518B9">
        <w:rPr>
          <w:u w:val="single"/>
        </w:rPr>
        <w:tab/>
      </w:r>
      <w:r w:rsidRPr="002518B9">
        <w:rPr>
          <w:u w:val="single"/>
        </w:rPr>
        <w:tab/>
      </w:r>
    </w:p>
    <w:sectPr w:rsidR="008D0723" w:rsidRPr="002518B9"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6</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7</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D74EC8" w:rsidRDefault="00D74EC8">
      <w:pPr>
        <w:pStyle w:val="FootnoteText"/>
      </w:pPr>
      <w:r>
        <w:tab/>
      </w:r>
      <w:r>
        <w:rPr>
          <w:rStyle w:val="FootnoteReference"/>
        </w:rPr>
        <w:t>*</w:t>
      </w:r>
      <w:r>
        <w:t xml:space="preserve"> </w:t>
      </w:r>
      <w:r>
        <w:tab/>
      </w:r>
      <w:r w:rsidRPr="00172740">
        <w:t xml:space="preserve">Diffusé en langue allemande par la CCNR sous la cote </w:t>
      </w:r>
      <w:r w:rsidRPr="004D52BD">
        <w:rPr>
          <w:lang w:val="fr-FR"/>
        </w:rPr>
        <w:t>CCNR/ZKR/ADN/</w:t>
      </w:r>
      <w:r>
        <w:rPr>
          <w:lang w:val="fr-FR"/>
        </w:rPr>
        <w:t>45/Add.1</w:t>
      </w:r>
      <w:r w:rsidRPr="004D52B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565A49" w:rsidRDefault="00BF749E" w:rsidP="0029776B">
    <w:pPr>
      <w:pStyle w:val="Header"/>
      <w:rPr>
        <w:lang w:val="en-GB"/>
      </w:rPr>
    </w:pPr>
    <w:r w:rsidRPr="00BF749E">
      <w:rPr>
        <w:szCs w:val="18"/>
        <w:lang w:val="fr-FR"/>
      </w:rPr>
      <w:t>ECE/ADN/45/Add.1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5A" w:rsidRPr="00565A49" w:rsidRDefault="00BF749E" w:rsidP="0029776B">
    <w:pPr>
      <w:pStyle w:val="Header"/>
      <w:jc w:val="right"/>
      <w:rPr>
        <w:lang w:val="en-GB"/>
      </w:rPr>
    </w:pPr>
    <w:r w:rsidRPr="00BF749E">
      <w:rPr>
        <w:szCs w:val="18"/>
        <w:lang w:val="fr-FR"/>
      </w:rPr>
      <w:t>ECE/ADN/45/Add.1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CA"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6CF1"/>
    <w:rsid w:val="000472A1"/>
    <w:rsid w:val="000507A8"/>
    <w:rsid w:val="00051A95"/>
    <w:rsid w:val="00056E8F"/>
    <w:rsid w:val="0006085A"/>
    <w:rsid w:val="00061CBC"/>
    <w:rsid w:val="0006415C"/>
    <w:rsid w:val="000643B7"/>
    <w:rsid w:val="00066716"/>
    <w:rsid w:val="00071432"/>
    <w:rsid w:val="00074AFE"/>
    <w:rsid w:val="000758B9"/>
    <w:rsid w:val="00081790"/>
    <w:rsid w:val="000828C8"/>
    <w:rsid w:val="00091D54"/>
    <w:rsid w:val="00094EF2"/>
    <w:rsid w:val="000963EA"/>
    <w:rsid w:val="000964C7"/>
    <w:rsid w:val="000A49E0"/>
    <w:rsid w:val="000A7EC2"/>
    <w:rsid w:val="000B0429"/>
    <w:rsid w:val="000B1105"/>
    <w:rsid w:val="000B34CA"/>
    <w:rsid w:val="000C0182"/>
    <w:rsid w:val="000C0699"/>
    <w:rsid w:val="000D7E12"/>
    <w:rsid w:val="000E68FB"/>
    <w:rsid w:val="000F0CDA"/>
    <w:rsid w:val="000F41F2"/>
    <w:rsid w:val="00104ADE"/>
    <w:rsid w:val="00114946"/>
    <w:rsid w:val="00115943"/>
    <w:rsid w:val="00125FD3"/>
    <w:rsid w:val="00127A72"/>
    <w:rsid w:val="0013180D"/>
    <w:rsid w:val="00135C0D"/>
    <w:rsid w:val="0013653F"/>
    <w:rsid w:val="00143574"/>
    <w:rsid w:val="00145088"/>
    <w:rsid w:val="001474C1"/>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969E8"/>
    <w:rsid w:val="001A20FB"/>
    <w:rsid w:val="001A37C7"/>
    <w:rsid w:val="001A61FB"/>
    <w:rsid w:val="001A73B7"/>
    <w:rsid w:val="001B6AF6"/>
    <w:rsid w:val="001B6F40"/>
    <w:rsid w:val="001C1259"/>
    <w:rsid w:val="001C4BBB"/>
    <w:rsid w:val="001C7508"/>
    <w:rsid w:val="001D7DF9"/>
    <w:rsid w:val="001D7F8A"/>
    <w:rsid w:val="001E2F22"/>
    <w:rsid w:val="001E3FEB"/>
    <w:rsid w:val="001E4A02"/>
    <w:rsid w:val="001F3CC1"/>
    <w:rsid w:val="001F412D"/>
    <w:rsid w:val="001F5816"/>
    <w:rsid w:val="00203B6A"/>
    <w:rsid w:val="002041A8"/>
    <w:rsid w:val="0020607F"/>
    <w:rsid w:val="002069D5"/>
    <w:rsid w:val="00216861"/>
    <w:rsid w:val="0022098E"/>
    <w:rsid w:val="0022197A"/>
    <w:rsid w:val="00223B89"/>
    <w:rsid w:val="00225A8C"/>
    <w:rsid w:val="00232C61"/>
    <w:rsid w:val="0023674C"/>
    <w:rsid w:val="002400B6"/>
    <w:rsid w:val="002403AA"/>
    <w:rsid w:val="002518B9"/>
    <w:rsid w:val="002575AC"/>
    <w:rsid w:val="00260A9C"/>
    <w:rsid w:val="00261C6B"/>
    <w:rsid w:val="002658A4"/>
    <w:rsid w:val="002659F1"/>
    <w:rsid w:val="00265FE8"/>
    <w:rsid w:val="0027037E"/>
    <w:rsid w:val="00271C7C"/>
    <w:rsid w:val="00287E79"/>
    <w:rsid w:val="0029101B"/>
    <w:rsid w:val="002928F9"/>
    <w:rsid w:val="0029776B"/>
    <w:rsid w:val="002A1905"/>
    <w:rsid w:val="002A29C3"/>
    <w:rsid w:val="002A5D07"/>
    <w:rsid w:val="002A5F7F"/>
    <w:rsid w:val="002B2881"/>
    <w:rsid w:val="002B61F2"/>
    <w:rsid w:val="002C555D"/>
    <w:rsid w:val="002D0474"/>
    <w:rsid w:val="002D7928"/>
    <w:rsid w:val="002F2735"/>
    <w:rsid w:val="003016B7"/>
    <w:rsid w:val="00304272"/>
    <w:rsid w:val="00306511"/>
    <w:rsid w:val="00310320"/>
    <w:rsid w:val="003152A0"/>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1166"/>
    <w:rsid w:val="00372345"/>
    <w:rsid w:val="00374106"/>
    <w:rsid w:val="00374296"/>
    <w:rsid w:val="00391403"/>
    <w:rsid w:val="00397250"/>
    <w:rsid w:val="003974E1"/>
    <w:rsid w:val="003976D5"/>
    <w:rsid w:val="003A1FEF"/>
    <w:rsid w:val="003A462C"/>
    <w:rsid w:val="003A4D3C"/>
    <w:rsid w:val="003A656C"/>
    <w:rsid w:val="003B23E8"/>
    <w:rsid w:val="003B6B20"/>
    <w:rsid w:val="003C322F"/>
    <w:rsid w:val="003C3A75"/>
    <w:rsid w:val="003C5C5B"/>
    <w:rsid w:val="003D1DF3"/>
    <w:rsid w:val="003D46A7"/>
    <w:rsid w:val="003D6C68"/>
    <w:rsid w:val="003D76E4"/>
    <w:rsid w:val="003E604A"/>
    <w:rsid w:val="003F118A"/>
    <w:rsid w:val="004005D0"/>
    <w:rsid w:val="00403321"/>
    <w:rsid w:val="00406E74"/>
    <w:rsid w:val="00413736"/>
    <w:rsid w:val="00414425"/>
    <w:rsid w:val="004159D0"/>
    <w:rsid w:val="00421AC2"/>
    <w:rsid w:val="00423D55"/>
    <w:rsid w:val="004249E7"/>
    <w:rsid w:val="00426DA1"/>
    <w:rsid w:val="00430C92"/>
    <w:rsid w:val="00434168"/>
    <w:rsid w:val="0044289E"/>
    <w:rsid w:val="00445938"/>
    <w:rsid w:val="00454017"/>
    <w:rsid w:val="00461870"/>
    <w:rsid w:val="00471DA9"/>
    <w:rsid w:val="00472ADC"/>
    <w:rsid w:val="00475DD2"/>
    <w:rsid w:val="00486E96"/>
    <w:rsid w:val="00491EC7"/>
    <w:rsid w:val="0049374F"/>
    <w:rsid w:val="00497A70"/>
    <w:rsid w:val="004A324B"/>
    <w:rsid w:val="004A331B"/>
    <w:rsid w:val="004A3778"/>
    <w:rsid w:val="004A4B22"/>
    <w:rsid w:val="004A5C90"/>
    <w:rsid w:val="004B154F"/>
    <w:rsid w:val="004C5F55"/>
    <w:rsid w:val="004D0EB7"/>
    <w:rsid w:val="004D53B7"/>
    <w:rsid w:val="004E1AC3"/>
    <w:rsid w:val="004E551E"/>
    <w:rsid w:val="00502CA8"/>
    <w:rsid w:val="00502D1A"/>
    <w:rsid w:val="00504EB2"/>
    <w:rsid w:val="00514EB1"/>
    <w:rsid w:val="0052158A"/>
    <w:rsid w:val="0052416A"/>
    <w:rsid w:val="00524D9B"/>
    <w:rsid w:val="00530057"/>
    <w:rsid w:val="00531F0F"/>
    <w:rsid w:val="005367EB"/>
    <w:rsid w:val="00543D5E"/>
    <w:rsid w:val="005446F3"/>
    <w:rsid w:val="00545F2F"/>
    <w:rsid w:val="005525C9"/>
    <w:rsid w:val="005611FF"/>
    <w:rsid w:val="005622F9"/>
    <w:rsid w:val="00563346"/>
    <w:rsid w:val="00565A49"/>
    <w:rsid w:val="005669DD"/>
    <w:rsid w:val="00571F41"/>
    <w:rsid w:val="00575335"/>
    <w:rsid w:val="00576C84"/>
    <w:rsid w:val="0057730C"/>
    <w:rsid w:val="00585A6B"/>
    <w:rsid w:val="0059410B"/>
    <w:rsid w:val="00595BE4"/>
    <w:rsid w:val="00595C56"/>
    <w:rsid w:val="005A041A"/>
    <w:rsid w:val="005B645E"/>
    <w:rsid w:val="005B738F"/>
    <w:rsid w:val="005B76A3"/>
    <w:rsid w:val="005C6014"/>
    <w:rsid w:val="005D1083"/>
    <w:rsid w:val="005E0DC6"/>
    <w:rsid w:val="005E5D1F"/>
    <w:rsid w:val="005E5E79"/>
    <w:rsid w:val="005F25D1"/>
    <w:rsid w:val="005F302D"/>
    <w:rsid w:val="005F49E0"/>
    <w:rsid w:val="005F59DB"/>
    <w:rsid w:val="00603391"/>
    <w:rsid w:val="006049FD"/>
    <w:rsid w:val="00605683"/>
    <w:rsid w:val="00611D43"/>
    <w:rsid w:val="00612805"/>
    <w:rsid w:val="00612D48"/>
    <w:rsid w:val="00616B45"/>
    <w:rsid w:val="0061708F"/>
    <w:rsid w:val="006210B6"/>
    <w:rsid w:val="00625F01"/>
    <w:rsid w:val="00630D9B"/>
    <w:rsid w:val="00631953"/>
    <w:rsid w:val="00634795"/>
    <w:rsid w:val="006439EC"/>
    <w:rsid w:val="00654B07"/>
    <w:rsid w:val="00667177"/>
    <w:rsid w:val="00670F36"/>
    <w:rsid w:val="00671CD2"/>
    <w:rsid w:val="006728CD"/>
    <w:rsid w:val="00673231"/>
    <w:rsid w:val="00681EFB"/>
    <w:rsid w:val="0069653B"/>
    <w:rsid w:val="006A047B"/>
    <w:rsid w:val="006A2C79"/>
    <w:rsid w:val="006A3A23"/>
    <w:rsid w:val="006A4F1F"/>
    <w:rsid w:val="006A5D70"/>
    <w:rsid w:val="006B09E0"/>
    <w:rsid w:val="006B4590"/>
    <w:rsid w:val="006B56EC"/>
    <w:rsid w:val="006C3041"/>
    <w:rsid w:val="006C340C"/>
    <w:rsid w:val="006C4D17"/>
    <w:rsid w:val="006C7BA8"/>
    <w:rsid w:val="006D21A0"/>
    <w:rsid w:val="006D36A8"/>
    <w:rsid w:val="006D3778"/>
    <w:rsid w:val="006D638D"/>
    <w:rsid w:val="006E0743"/>
    <w:rsid w:val="006E19BA"/>
    <w:rsid w:val="006E3B48"/>
    <w:rsid w:val="006E5FC7"/>
    <w:rsid w:val="006E7722"/>
    <w:rsid w:val="006F151C"/>
    <w:rsid w:val="006F5BE4"/>
    <w:rsid w:val="00700CF9"/>
    <w:rsid w:val="0070347C"/>
    <w:rsid w:val="007176C1"/>
    <w:rsid w:val="00737BCE"/>
    <w:rsid w:val="0074123A"/>
    <w:rsid w:val="00742FD7"/>
    <w:rsid w:val="007450F8"/>
    <w:rsid w:val="00745CA1"/>
    <w:rsid w:val="007514EF"/>
    <w:rsid w:val="007527B6"/>
    <w:rsid w:val="00753BDA"/>
    <w:rsid w:val="00754B8E"/>
    <w:rsid w:val="00761B66"/>
    <w:rsid w:val="00766A94"/>
    <w:rsid w:val="007673E8"/>
    <w:rsid w:val="00780EAE"/>
    <w:rsid w:val="007811F7"/>
    <w:rsid w:val="007817A1"/>
    <w:rsid w:val="007820F2"/>
    <w:rsid w:val="00783A2E"/>
    <w:rsid w:val="00783F37"/>
    <w:rsid w:val="00784245"/>
    <w:rsid w:val="007904AF"/>
    <w:rsid w:val="00790F2F"/>
    <w:rsid w:val="00795138"/>
    <w:rsid w:val="007A388B"/>
    <w:rsid w:val="007A6076"/>
    <w:rsid w:val="007B1AD5"/>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550B4"/>
    <w:rsid w:val="00860C9D"/>
    <w:rsid w:val="00871051"/>
    <w:rsid w:val="008749A0"/>
    <w:rsid w:val="00883D70"/>
    <w:rsid w:val="00884E9C"/>
    <w:rsid w:val="008901C1"/>
    <w:rsid w:val="008A3A56"/>
    <w:rsid w:val="008A54AE"/>
    <w:rsid w:val="008A6307"/>
    <w:rsid w:val="008B44C4"/>
    <w:rsid w:val="008B7879"/>
    <w:rsid w:val="008C1BBA"/>
    <w:rsid w:val="008C2211"/>
    <w:rsid w:val="008C663F"/>
    <w:rsid w:val="008C7684"/>
    <w:rsid w:val="008D0723"/>
    <w:rsid w:val="008D0C3F"/>
    <w:rsid w:val="008D1AC7"/>
    <w:rsid w:val="008D3919"/>
    <w:rsid w:val="008E0B16"/>
    <w:rsid w:val="008E3F2C"/>
    <w:rsid w:val="008E5107"/>
    <w:rsid w:val="008E7FAE"/>
    <w:rsid w:val="008F0E80"/>
    <w:rsid w:val="008F1725"/>
    <w:rsid w:val="008F5FDB"/>
    <w:rsid w:val="008F60FF"/>
    <w:rsid w:val="00900B74"/>
    <w:rsid w:val="009066AE"/>
    <w:rsid w:val="00911BF7"/>
    <w:rsid w:val="00917C1B"/>
    <w:rsid w:val="00922301"/>
    <w:rsid w:val="00922FBA"/>
    <w:rsid w:val="00926E87"/>
    <w:rsid w:val="00932D7A"/>
    <w:rsid w:val="00934A78"/>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9F32AB"/>
    <w:rsid w:val="00A00A56"/>
    <w:rsid w:val="00A03F6E"/>
    <w:rsid w:val="00A11C63"/>
    <w:rsid w:val="00A134EB"/>
    <w:rsid w:val="00A1547F"/>
    <w:rsid w:val="00A2492E"/>
    <w:rsid w:val="00A31F07"/>
    <w:rsid w:val="00A3535C"/>
    <w:rsid w:val="00A41235"/>
    <w:rsid w:val="00A44CBA"/>
    <w:rsid w:val="00A45EBB"/>
    <w:rsid w:val="00A64389"/>
    <w:rsid w:val="00A6502C"/>
    <w:rsid w:val="00A70163"/>
    <w:rsid w:val="00A71439"/>
    <w:rsid w:val="00A73DB7"/>
    <w:rsid w:val="00A778A5"/>
    <w:rsid w:val="00A80554"/>
    <w:rsid w:val="00A8674A"/>
    <w:rsid w:val="00A86837"/>
    <w:rsid w:val="00A963DD"/>
    <w:rsid w:val="00AA0176"/>
    <w:rsid w:val="00AA3C96"/>
    <w:rsid w:val="00AA72C3"/>
    <w:rsid w:val="00AB0475"/>
    <w:rsid w:val="00AB38B2"/>
    <w:rsid w:val="00AB6447"/>
    <w:rsid w:val="00AB771B"/>
    <w:rsid w:val="00AC67A1"/>
    <w:rsid w:val="00AC7977"/>
    <w:rsid w:val="00AD1E14"/>
    <w:rsid w:val="00AD3F23"/>
    <w:rsid w:val="00AE352C"/>
    <w:rsid w:val="00AE4F08"/>
    <w:rsid w:val="00AE5E87"/>
    <w:rsid w:val="00AE69A8"/>
    <w:rsid w:val="00AE7BCA"/>
    <w:rsid w:val="00AF1446"/>
    <w:rsid w:val="00AF2F6F"/>
    <w:rsid w:val="00B00492"/>
    <w:rsid w:val="00B06BC2"/>
    <w:rsid w:val="00B07DE2"/>
    <w:rsid w:val="00B11444"/>
    <w:rsid w:val="00B255B8"/>
    <w:rsid w:val="00B278CF"/>
    <w:rsid w:val="00B30CFB"/>
    <w:rsid w:val="00B3131C"/>
    <w:rsid w:val="00B318CC"/>
    <w:rsid w:val="00B32A61"/>
    <w:rsid w:val="00B32E2D"/>
    <w:rsid w:val="00B357CC"/>
    <w:rsid w:val="00B35870"/>
    <w:rsid w:val="00B35B4C"/>
    <w:rsid w:val="00B3753A"/>
    <w:rsid w:val="00B37895"/>
    <w:rsid w:val="00B438C5"/>
    <w:rsid w:val="00B4466B"/>
    <w:rsid w:val="00B44F0F"/>
    <w:rsid w:val="00B52107"/>
    <w:rsid w:val="00B56FEF"/>
    <w:rsid w:val="00B61990"/>
    <w:rsid w:val="00B62922"/>
    <w:rsid w:val="00B64B1C"/>
    <w:rsid w:val="00B64C87"/>
    <w:rsid w:val="00B6602A"/>
    <w:rsid w:val="00B66CB6"/>
    <w:rsid w:val="00B7107E"/>
    <w:rsid w:val="00B77126"/>
    <w:rsid w:val="00B85D99"/>
    <w:rsid w:val="00B913D9"/>
    <w:rsid w:val="00B924CA"/>
    <w:rsid w:val="00B936CC"/>
    <w:rsid w:val="00B93E72"/>
    <w:rsid w:val="00B94939"/>
    <w:rsid w:val="00BA0ABA"/>
    <w:rsid w:val="00BA4510"/>
    <w:rsid w:val="00BC5D40"/>
    <w:rsid w:val="00BC6537"/>
    <w:rsid w:val="00BD0B53"/>
    <w:rsid w:val="00BD44C5"/>
    <w:rsid w:val="00BD50B3"/>
    <w:rsid w:val="00BD5B50"/>
    <w:rsid w:val="00BE3741"/>
    <w:rsid w:val="00BF0556"/>
    <w:rsid w:val="00BF06B0"/>
    <w:rsid w:val="00BF47BD"/>
    <w:rsid w:val="00BF505B"/>
    <w:rsid w:val="00BF749E"/>
    <w:rsid w:val="00BF7D6B"/>
    <w:rsid w:val="00C0071F"/>
    <w:rsid w:val="00C00C2A"/>
    <w:rsid w:val="00C02FA9"/>
    <w:rsid w:val="00C05575"/>
    <w:rsid w:val="00C14248"/>
    <w:rsid w:val="00C1607E"/>
    <w:rsid w:val="00C17FB0"/>
    <w:rsid w:val="00C218FD"/>
    <w:rsid w:val="00C2232D"/>
    <w:rsid w:val="00C24B53"/>
    <w:rsid w:val="00C25655"/>
    <w:rsid w:val="00C261F8"/>
    <w:rsid w:val="00C33100"/>
    <w:rsid w:val="00C34C11"/>
    <w:rsid w:val="00C358CC"/>
    <w:rsid w:val="00C36AD1"/>
    <w:rsid w:val="00C4302B"/>
    <w:rsid w:val="00C45121"/>
    <w:rsid w:val="00C51BB4"/>
    <w:rsid w:val="00C53F4B"/>
    <w:rsid w:val="00C63AC1"/>
    <w:rsid w:val="00C732D1"/>
    <w:rsid w:val="00C836BC"/>
    <w:rsid w:val="00C940E9"/>
    <w:rsid w:val="00CA047F"/>
    <w:rsid w:val="00CA3500"/>
    <w:rsid w:val="00CA5CBD"/>
    <w:rsid w:val="00CB2BEA"/>
    <w:rsid w:val="00CB6267"/>
    <w:rsid w:val="00CD1A71"/>
    <w:rsid w:val="00CD1FBB"/>
    <w:rsid w:val="00CD4C90"/>
    <w:rsid w:val="00CE5404"/>
    <w:rsid w:val="00CF6435"/>
    <w:rsid w:val="00D016B5"/>
    <w:rsid w:val="00D034F1"/>
    <w:rsid w:val="00D11B17"/>
    <w:rsid w:val="00D202EA"/>
    <w:rsid w:val="00D218FC"/>
    <w:rsid w:val="00D27297"/>
    <w:rsid w:val="00D27D5E"/>
    <w:rsid w:val="00D330C2"/>
    <w:rsid w:val="00D34270"/>
    <w:rsid w:val="00D40906"/>
    <w:rsid w:val="00D41B47"/>
    <w:rsid w:val="00D428F9"/>
    <w:rsid w:val="00D440EE"/>
    <w:rsid w:val="00D45452"/>
    <w:rsid w:val="00D47F24"/>
    <w:rsid w:val="00D509C5"/>
    <w:rsid w:val="00D52A86"/>
    <w:rsid w:val="00D60301"/>
    <w:rsid w:val="00D72195"/>
    <w:rsid w:val="00D72874"/>
    <w:rsid w:val="00D74EC8"/>
    <w:rsid w:val="00D75A23"/>
    <w:rsid w:val="00D84247"/>
    <w:rsid w:val="00D8534F"/>
    <w:rsid w:val="00D86AD1"/>
    <w:rsid w:val="00D90864"/>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7FA3"/>
    <w:rsid w:val="00E11BBC"/>
    <w:rsid w:val="00E1236D"/>
    <w:rsid w:val="00E15EC6"/>
    <w:rsid w:val="00E22F40"/>
    <w:rsid w:val="00E53CCD"/>
    <w:rsid w:val="00E53D77"/>
    <w:rsid w:val="00E5407C"/>
    <w:rsid w:val="00E55D71"/>
    <w:rsid w:val="00E60E30"/>
    <w:rsid w:val="00E6288C"/>
    <w:rsid w:val="00E653A2"/>
    <w:rsid w:val="00E65B70"/>
    <w:rsid w:val="00E6627D"/>
    <w:rsid w:val="00E73AEE"/>
    <w:rsid w:val="00E74F8B"/>
    <w:rsid w:val="00E81E94"/>
    <w:rsid w:val="00E82607"/>
    <w:rsid w:val="00E876EC"/>
    <w:rsid w:val="00E87C4C"/>
    <w:rsid w:val="00E90A2D"/>
    <w:rsid w:val="00E95AF8"/>
    <w:rsid w:val="00E97EE2"/>
    <w:rsid w:val="00EA0C87"/>
    <w:rsid w:val="00EA0EA5"/>
    <w:rsid w:val="00EA2677"/>
    <w:rsid w:val="00EA31C2"/>
    <w:rsid w:val="00EA4D5A"/>
    <w:rsid w:val="00EA5169"/>
    <w:rsid w:val="00EB16FF"/>
    <w:rsid w:val="00EB4C54"/>
    <w:rsid w:val="00EC0734"/>
    <w:rsid w:val="00EC3132"/>
    <w:rsid w:val="00EC3FA6"/>
    <w:rsid w:val="00EC60C5"/>
    <w:rsid w:val="00ED265E"/>
    <w:rsid w:val="00ED7BEB"/>
    <w:rsid w:val="00EE234D"/>
    <w:rsid w:val="00EE2EA3"/>
    <w:rsid w:val="00EE43A7"/>
    <w:rsid w:val="00EF041A"/>
    <w:rsid w:val="00F01516"/>
    <w:rsid w:val="00F12577"/>
    <w:rsid w:val="00F14D09"/>
    <w:rsid w:val="00F2271B"/>
    <w:rsid w:val="00F227C9"/>
    <w:rsid w:val="00F35A1F"/>
    <w:rsid w:val="00F42AEB"/>
    <w:rsid w:val="00F524AA"/>
    <w:rsid w:val="00F560CD"/>
    <w:rsid w:val="00F57129"/>
    <w:rsid w:val="00F90CFE"/>
    <w:rsid w:val="00F96586"/>
    <w:rsid w:val="00FA016D"/>
    <w:rsid w:val="00FA40A9"/>
    <w:rsid w:val="00FA43E0"/>
    <w:rsid w:val="00FA5A79"/>
    <w:rsid w:val="00FA6422"/>
    <w:rsid w:val="00FB00CB"/>
    <w:rsid w:val="00FB0BFE"/>
    <w:rsid w:val="00FB2419"/>
    <w:rsid w:val="00FB4C51"/>
    <w:rsid w:val="00FB6AC1"/>
    <w:rsid w:val="00FB6F00"/>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14:docId w14:val="31A1B9A6"/>
  <w15:docId w15:val="{8BC98AB7-9E02-4296-B926-9C64A9A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qFormat/>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qFormat/>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uiPriority w:val="99"/>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HTMLPreformatted">
    <w:name w:val="HTML Preformatted"/>
    <w:basedOn w:val="Normal"/>
    <w:link w:val="HTMLPreformattedChar"/>
    <w:uiPriority w:val="99"/>
    <w:semiHidden/>
    <w:unhideWhenUsed/>
    <w:rsid w:val="000B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B1105"/>
    <w:rPr>
      <w:rFonts w:ascii="Courier New" w:hAnsi="Courier New" w:cs="Courier New"/>
    </w:rPr>
  </w:style>
  <w:style w:type="character" w:customStyle="1" w:styleId="Heading7Char">
    <w:name w:val="Heading 7 Char"/>
    <w:basedOn w:val="DefaultParagraphFont"/>
    <w:link w:val="Heading7"/>
    <w:rsid w:val="001474C1"/>
    <w:rPr>
      <w:lang w:val="fr-CH" w:eastAsia="en-US"/>
    </w:rPr>
  </w:style>
  <w:style w:type="table" w:customStyle="1" w:styleId="Tabellenraster2">
    <w:name w:val="Tabellenraster2"/>
    <w:basedOn w:val="TableNormal"/>
    <w:rsid w:val="001474C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539664754">
      <w:bodyDiv w:val="1"/>
      <w:marLeft w:val="0"/>
      <w:marRight w:val="0"/>
      <w:marTop w:val="0"/>
      <w:marBottom w:val="0"/>
      <w:divBdr>
        <w:top w:val="none" w:sz="0" w:space="0" w:color="auto"/>
        <w:left w:val="none" w:sz="0" w:space="0" w:color="auto"/>
        <w:bottom w:val="none" w:sz="0" w:space="0" w:color="auto"/>
        <w:right w:val="none" w:sz="0" w:space="0" w:color="auto"/>
      </w:divBdr>
    </w:div>
    <w:div w:id="1597517511">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830054716">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 w:id="2026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ECED-E31E-48D7-8440-E081DB99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13</TotalTime>
  <Pages>7</Pages>
  <Words>2313</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Secretariat</cp:lastModifiedBy>
  <cp:revision>5</cp:revision>
  <cp:lastPrinted>2018-08-29T06:46:00Z</cp:lastPrinted>
  <dcterms:created xsi:type="dcterms:W3CDTF">2018-08-28T16:58:00Z</dcterms:created>
  <dcterms:modified xsi:type="dcterms:W3CDTF">2018-08-29T11:35:00Z</dcterms:modified>
</cp:coreProperties>
</file>