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9157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91572" w:rsidP="00891572">
            <w:pPr>
              <w:jc w:val="right"/>
            </w:pPr>
            <w:r w:rsidRPr="00891572">
              <w:rPr>
                <w:sz w:val="40"/>
              </w:rPr>
              <w:t>ST</w:t>
            </w:r>
            <w:r>
              <w:t>/SG/AC.10/C.4/2018/9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91572" w:rsidP="00F01738">
            <w:pPr>
              <w:spacing w:before="240"/>
            </w:pPr>
            <w:proofErr w:type="spellStart"/>
            <w:r>
              <w:t>Distr</w:t>
            </w:r>
            <w:proofErr w:type="spellEnd"/>
            <w:r>
              <w:t xml:space="preserve">. </w:t>
            </w:r>
            <w:proofErr w:type="gramStart"/>
            <w:r>
              <w:t>générale</w:t>
            </w:r>
            <w:proofErr w:type="gramEnd"/>
          </w:p>
          <w:p w:rsidR="00891572" w:rsidRDefault="00891572" w:rsidP="00891572">
            <w:pPr>
              <w:spacing w:line="240" w:lineRule="exact"/>
            </w:pPr>
            <w:r>
              <w:t>11 avril 2018</w:t>
            </w:r>
          </w:p>
          <w:p w:rsidR="00891572" w:rsidRDefault="00891572" w:rsidP="00891572">
            <w:pPr>
              <w:spacing w:line="240" w:lineRule="exact"/>
            </w:pPr>
            <w:r>
              <w:t>Français</w:t>
            </w:r>
          </w:p>
          <w:p w:rsidR="00891572" w:rsidRPr="00DB58B5" w:rsidRDefault="00891572" w:rsidP="00891572">
            <w:pPr>
              <w:spacing w:line="240" w:lineRule="exact"/>
            </w:pPr>
            <w:r>
              <w:t>Original : anglais</w:t>
            </w:r>
          </w:p>
        </w:tc>
      </w:tr>
    </w:tbl>
    <w:p w:rsidR="00891572" w:rsidRPr="00CA0680" w:rsidRDefault="00891572" w:rsidP="000305D3">
      <w:pPr>
        <w:spacing w:before="120"/>
        <w:rPr>
          <w:b/>
          <w:sz w:val="24"/>
          <w:szCs w:val="24"/>
        </w:rPr>
      </w:pPr>
      <w:r w:rsidRPr="00CA0680">
        <w:rPr>
          <w:b/>
          <w:sz w:val="24"/>
          <w:szCs w:val="24"/>
        </w:rPr>
        <w:t>Comité d</w:t>
      </w:r>
      <w:r w:rsidR="00E22482">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22482">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91572" w:rsidRPr="00CA0680" w:rsidRDefault="00891572" w:rsidP="000305D3">
      <w:pPr>
        <w:spacing w:before="120"/>
        <w:rPr>
          <w:b/>
        </w:rPr>
      </w:pPr>
      <w:r w:rsidRPr="00CA0680">
        <w:rPr>
          <w:b/>
        </w:rPr>
        <w:t>Sous</w:t>
      </w:r>
      <w:r>
        <w:rPr>
          <w:b/>
        </w:rPr>
        <w:t>-</w:t>
      </w:r>
      <w:r w:rsidRPr="00CA0680">
        <w:rPr>
          <w:b/>
        </w:rPr>
        <w:t>Comité d</w:t>
      </w:r>
      <w:r w:rsidR="00E22482">
        <w:rPr>
          <w:b/>
        </w:rPr>
        <w:t>’</w:t>
      </w:r>
      <w:r w:rsidRPr="00CA0680">
        <w:rPr>
          <w:b/>
        </w:rPr>
        <w:t xml:space="preserve">experts </w:t>
      </w:r>
      <w:r>
        <w:rPr>
          <w:b/>
        </w:rPr>
        <w:t>du Système général harmonisé</w:t>
      </w:r>
      <w:r>
        <w:rPr>
          <w:b/>
        </w:rPr>
        <w:br/>
        <w:t>de classification et d</w:t>
      </w:r>
      <w:r w:rsidR="00E22482">
        <w:rPr>
          <w:b/>
        </w:rPr>
        <w:t>’</w:t>
      </w:r>
      <w:r>
        <w:rPr>
          <w:b/>
        </w:rPr>
        <w:t>étiquetage des produits chimiques</w:t>
      </w:r>
    </w:p>
    <w:p w:rsidR="00891572" w:rsidRDefault="00891572" w:rsidP="000305D3">
      <w:pPr>
        <w:spacing w:before="120"/>
        <w:rPr>
          <w:b/>
        </w:rPr>
      </w:pPr>
      <w:r w:rsidRPr="00891572">
        <w:rPr>
          <w:b/>
          <w:lang w:val="fr-FR"/>
        </w:rPr>
        <w:t>Trente-cinquième session</w:t>
      </w:r>
      <w:r w:rsidRPr="00CA0680">
        <w:rPr>
          <w:b/>
        </w:rPr>
        <w:t xml:space="preserve"> </w:t>
      </w:r>
    </w:p>
    <w:p w:rsidR="00891572" w:rsidRDefault="00891572" w:rsidP="000305D3">
      <w:r>
        <w:t xml:space="preserve">Genève, </w:t>
      </w:r>
      <w:r w:rsidRPr="00891572">
        <w:rPr>
          <w:lang w:val="fr-FR"/>
        </w:rPr>
        <w:t>4-6</w:t>
      </w:r>
      <w:r>
        <w:rPr>
          <w:lang w:val="fr-FR"/>
        </w:rPr>
        <w:t> </w:t>
      </w:r>
      <w:r w:rsidRPr="00891572">
        <w:rPr>
          <w:lang w:val="fr-FR"/>
        </w:rPr>
        <w:t>juillet 2018</w:t>
      </w:r>
      <w:r>
        <w:t xml:space="preserve"> </w:t>
      </w:r>
    </w:p>
    <w:p w:rsidR="00891572" w:rsidRDefault="00891572" w:rsidP="000305D3">
      <w:r>
        <w:t>Point 3 h) de l</w:t>
      </w:r>
      <w:r w:rsidR="00E22482">
        <w:t>’</w:t>
      </w:r>
      <w:r>
        <w:t>ordre du jour provisoire</w:t>
      </w:r>
    </w:p>
    <w:p w:rsidR="00891572" w:rsidRDefault="00891572" w:rsidP="00AC3823">
      <w:r w:rsidRPr="00891572">
        <w:rPr>
          <w:b/>
          <w:lang w:val="fr-FR"/>
        </w:rPr>
        <w:t xml:space="preserve">Critères de classification et communication </w:t>
      </w:r>
      <w:r>
        <w:rPr>
          <w:b/>
          <w:lang w:val="fr-FR"/>
        </w:rPr>
        <w:br/>
      </w:r>
      <w:r w:rsidRPr="00891572">
        <w:rPr>
          <w:b/>
          <w:lang w:val="fr-FR"/>
        </w:rPr>
        <w:t>des dangers y relatifs</w:t>
      </w:r>
      <w:r>
        <w:rPr>
          <w:b/>
          <w:lang w:val="fr-FR"/>
        </w:rPr>
        <w:t> </w:t>
      </w:r>
      <w:r w:rsidRPr="00891572">
        <w:rPr>
          <w:b/>
          <w:lang w:val="fr-FR"/>
        </w:rPr>
        <w:t>:</w:t>
      </w:r>
      <w:r>
        <w:rPr>
          <w:b/>
          <w:lang w:val="fr-FR"/>
        </w:rPr>
        <w:t xml:space="preserve"> </w:t>
      </w:r>
      <w:r w:rsidRPr="00891572">
        <w:rPr>
          <w:b/>
          <w:lang w:val="fr-FR"/>
        </w:rPr>
        <w:t>autres questions</w:t>
      </w:r>
    </w:p>
    <w:p w:rsidR="00891572" w:rsidRPr="00891572" w:rsidRDefault="00891572" w:rsidP="00891572">
      <w:pPr>
        <w:pStyle w:val="HChG"/>
        <w:rPr>
          <w:spacing w:val="-2"/>
          <w:lang w:val="fr-FR"/>
        </w:rPr>
      </w:pPr>
      <w:r w:rsidRPr="00891572">
        <w:rPr>
          <w:lang w:val="fr-FR"/>
        </w:rPr>
        <w:tab/>
      </w:r>
      <w:r w:rsidRPr="00891572">
        <w:rPr>
          <w:lang w:val="fr-FR"/>
        </w:rPr>
        <w:tab/>
        <w:t>Amendements proposés au chapitre 2.3 tendant à</w:t>
      </w:r>
      <w:r w:rsidRPr="00891572">
        <w:rPr>
          <w:spacing w:val="-2"/>
          <w:lang w:val="fr-FR"/>
        </w:rPr>
        <w:t xml:space="preserve"> la conversion des diagrammes de décision en texte</w:t>
      </w:r>
    </w:p>
    <w:p w:rsidR="00891572" w:rsidRPr="00891572" w:rsidRDefault="00891572" w:rsidP="00891572">
      <w:pPr>
        <w:pStyle w:val="H1G"/>
        <w:rPr>
          <w:lang w:val="fr-FR"/>
        </w:rPr>
      </w:pPr>
      <w:r w:rsidRPr="00891572">
        <w:rPr>
          <w:lang w:val="fr-FR"/>
        </w:rPr>
        <w:tab/>
      </w:r>
      <w:r w:rsidRPr="00891572">
        <w:rPr>
          <w:lang w:val="fr-FR"/>
        </w:rPr>
        <w:tab/>
        <w:t>Communication de l</w:t>
      </w:r>
      <w:r w:rsidR="00E22482">
        <w:rPr>
          <w:lang w:val="fr-FR"/>
        </w:rPr>
        <w:t>’</w:t>
      </w:r>
      <w:r w:rsidRPr="00891572">
        <w:rPr>
          <w:lang w:val="fr-FR"/>
        </w:rPr>
        <w:t xml:space="preserve">expert du Canada et de la Fédération </w:t>
      </w:r>
      <w:r>
        <w:rPr>
          <w:lang w:val="fr-FR"/>
        </w:rPr>
        <w:br/>
      </w:r>
      <w:r w:rsidRPr="00891572">
        <w:rPr>
          <w:lang w:val="fr-FR"/>
        </w:rPr>
        <w:t>européenne des aérosols (FEA)</w:t>
      </w:r>
      <w:r w:rsidRPr="00891572">
        <w:rPr>
          <w:rStyle w:val="FootnoteReference"/>
          <w:b w:val="0"/>
          <w:sz w:val="20"/>
          <w:vertAlign w:val="baseline"/>
        </w:rPr>
        <w:footnoteReference w:customMarkFollows="1" w:id="2"/>
        <w:t>*</w:t>
      </w:r>
    </w:p>
    <w:p w:rsidR="00891572" w:rsidRPr="00891572" w:rsidRDefault="00891572" w:rsidP="00891572">
      <w:pPr>
        <w:pStyle w:val="SingleTxtG"/>
        <w:rPr>
          <w:lang w:val="fr-FR"/>
        </w:rPr>
      </w:pPr>
      <w:r w:rsidRPr="00891572">
        <w:rPr>
          <w:lang w:val="fr-FR"/>
        </w:rPr>
        <w:t>1.</w:t>
      </w:r>
      <w:r w:rsidRPr="00891572">
        <w:rPr>
          <w:lang w:val="fr-FR"/>
        </w:rPr>
        <w:tab/>
        <w:t>À la trente-troisième session du Sous-Comité, le Conseil européen de l</w:t>
      </w:r>
      <w:r w:rsidR="00E22482">
        <w:rPr>
          <w:lang w:val="fr-FR"/>
        </w:rPr>
        <w:t>’</w:t>
      </w:r>
      <w:r w:rsidRPr="00891572">
        <w:rPr>
          <w:lang w:val="fr-FR"/>
        </w:rPr>
        <w:t xml:space="preserve">industrie chimique (CEFIC) et </w:t>
      </w:r>
      <w:proofErr w:type="spellStart"/>
      <w:r w:rsidRPr="00891572">
        <w:rPr>
          <w:lang w:val="fr-FR"/>
        </w:rPr>
        <w:t>European</w:t>
      </w:r>
      <w:proofErr w:type="spellEnd"/>
      <w:r w:rsidRPr="00891572">
        <w:rPr>
          <w:lang w:val="fr-FR"/>
        </w:rPr>
        <w:t xml:space="preserve"> </w:t>
      </w:r>
      <w:proofErr w:type="spellStart"/>
      <w:r w:rsidRPr="00891572">
        <w:rPr>
          <w:lang w:val="fr-FR"/>
        </w:rPr>
        <w:t>Industrial</w:t>
      </w:r>
      <w:proofErr w:type="spellEnd"/>
      <w:r w:rsidRPr="00891572">
        <w:rPr>
          <w:lang w:val="fr-FR"/>
        </w:rPr>
        <w:t xml:space="preserve"> </w:t>
      </w:r>
      <w:proofErr w:type="spellStart"/>
      <w:r w:rsidRPr="00891572">
        <w:rPr>
          <w:lang w:val="fr-FR"/>
        </w:rPr>
        <w:t>Gases</w:t>
      </w:r>
      <w:proofErr w:type="spellEnd"/>
      <w:r w:rsidRPr="00891572">
        <w:rPr>
          <w:lang w:val="fr-FR"/>
        </w:rPr>
        <w:t xml:space="preserve"> Associated (EIGA) ont soumis le document informel INF.12, intitulé </w:t>
      </w:r>
      <w:r>
        <w:rPr>
          <w:lang w:val="fr-FR"/>
        </w:rPr>
        <w:t>« </w:t>
      </w:r>
      <w:r w:rsidRPr="00891572">
        <w:rPr>
          <w:lang w:val="fr-FR"/>
        </w:rPr>
        <w:t>Proposition relative à une nouvelle classification des produits chimiques sous pression</w:t>
      </w:r>
      <w:r>
        <w:rPr>
          <w:lang w:val="fr-FR"/>
        </w:rPr>
        <w:t> »</w:t>
      </w:r>
      <w:r w:rsidRPr="00891572">
        <w:rPr>
          <w:lang w:val="fr-FR"/>
        </w:rPr>
        <w:t>. Il était proposé dans ce document que les aérosols et les produits chimiques sous pression soient traités ensemble au chapitre 2.3 du Système général harmonisé de classification et d</w:t>
      </w:r>
      <w:r w:rsidR="00E22482">
        <w:rPr>
          <w:lang w:val="fr-FR"/>
        </w:rPr>
        <w:t>’</w:t>
      </w:r>
      <w:r w:rsidRPr="00891572">
        <w:rPr>
          <w:lang w:val="fr-FR"/>
        </w:rPr>
        <w:t>étiquetage des produits chimiques (SGH), actuellement consacré aux aérosols.</w:t>
      </w:r>
    </w:p>
    <w:p w:rsidR="00891572" w:rsidRPr="00891572" w:rsidRDefault="00891572" w:rsidP="00891572">
      <w:pPr>
        <w:pStyle w:val="SingleTxtG"/>
        <w:rPr>
          <w:lang w:val="fr-FR"/>
        </w:rPr>
      </w:pPr>
      <w:r w:rsidRPr="00891572">
        <w:rPr>
          <w:lang w:val="fr-FR"/>
        </w:rPr>
        <w:t>2.</w:t>
      </w:r>
      <w:r w:rsidRPr="00891572">
        <w:rPr>
          <w:lang w:val="fr-FR"/>
        </w:rPr>
        <w:tab/>
        <w:t>L</w:t>
      </w:r>
      <w:r w:rsidR="00E22482">
        <w:rPr>
          <w:lang w:val="fr-FR"/>
        </w:rPr>
        <w:t>’</w:t>
      </w:r>
      <w:r w:rsidRPr="00891572">
        <w:rPr>
          <w:lang w:val="fr-FR"/>
        </w:rPr>
        <w:t>importance des diagrammes de décision présentés au 2.3.1.4.1 et au 2.3.2.4.1 du document informel INF.12 était soulignée en son paragraphe 8. S</w:t>
      </w:r>
      <w:r w:rsidR="00E22482">
        <w:rPr>
          <w:lang w:val="fr-FR"/>
        </w:rPr>
        <w:t>’</w:t>
      </w:r>
      <w:r w:rsidRPr="00891572">
        <w:rPr>
          <w:lang w:val="fr-FR"/>
        </w:rPr>
        <w:t>agissant des aérosols et des produits chimiques sous pression, il était suggéré que les diagrammes de décision étaient nécessaires pour déterminer les critères de classification appropriés d</w:t>
      </w:r>
      <w:r w:rsidR="00E22482">
        <w:rPr>
          <w:lang w:val="fr-FR"/>
        </w:rPr>
        <w:t>’</w:t>
      </w:r>
      <w:r w:rsidRPr="00891572">
        <w:rPr>
          <w:lang w:val="fr-FR"/>
        </w:rPr>
        <w:t>un produit chimique, les critères de décision n</w:t>
      </w:r>
      <w:r w:rsidR="00E22482">
        <w:rPr>
          <w:lang w:val="fr-FR"/>
        </w:rPr>
        <w:t>’</w:t>
      </w:r>
      <w:r w:rsidRPr="00891572">
        <w:rPr>
          <w:lang w:val="fr-FR"/>
        </w:rPr>
        <w:t xml:space="preserve">étant pas entièrement reproduits dans la section </w:t>
      </w:r>
      <w:r>
        <w:rPr>
          <w:lang w:val="fr-FR"/>
        </w:rPr>
        <w:t>« </w:t>
      </w:r>
      <w:r w:rsidRPr="00891572">
        <w:rPr>
          <w:lang w:val="fr-FR"/>
        </w:rPr>
        <w:t>Critères de classification</w:t>
      </w:r>
      <w:r>
        <w:rPr>
          <w:lang w:val="fr-FR"/>
        </w:rPr>
        <w:t> »</w:t>
      </w:r>
      <w:r w:rsidRPr="00891572">
        <w:rPr>
          <w:lang w:val="fr-FR"/>
        </w:rPr>
        <w:t xml:space="preserve">. Il était proposé que les mots </w:t>
      </w:r>
      <w:r>
        <w:rPr>
          <w:lang w:val="fr-FR"/>
        </w:rPr>
        <w:t>« </w:t>
      </w:r>
      <w:r w:rsidRPr="00891572">
        <w:rPr>
          <w:lang w:val="fr-FR"/>
        </w:rPr>
        <w:t>ne font pas partie du système général harmonisé de classification</w:t>
      </w:r>
      <w:r>
        <w:rPr>
          <w:lang w:val="fr-FR"/>
        </w:rPr>
        <w:t> »</w:t>
      </w:r>
      <w:r w:rsidRPr="00891572">
        <w:rPr>
          <w:lang w:val="fr-FR"/>
        </w:rPr>
        <w:t>, qui se rapportent à la procédure de décision, soient supprimés des sections 2.3.1.4 et 2.3.2.4 pour mettre en évidence l</w:t>
      </w:r>
      <w:r w:rsidR="00E22482">
        <w:rPr>
          <w:lang w:val="fr-FR"/>
        </w:rPr>
        <w:t>’</w:t>
      </w:r>
      <w:r w:rsidRPr="00891572">
        <w:rPr>
          <w:lang w:val="fr-FR"/>
        </w:rPr>
        <w:t>importance des diagrammes de décision dans la clarific</w:t>
      </w:r>
      <w:r>
        <w:rPr>
          <w:lang w:val="fr-FR"/>
        </w:rPr>
        <w:t>ation du processus de décision.</w:t>
      </w:r>
    </w:p>
    <w:p w:rsidR="00891572" w:rsidRPr="00891572" w:rsidRDefault="00891572" w:rsidP="00891572">
      <w:pPr>
        <w:pStyle w:val="SingleTxtG"/>
        <w:rPr>
          <w:lang w:val="fr-FR"/>
        </w:rPr>
      </w:pPr>
      <w:r w:rsidRPr="00891572">
        <w:rPr>
          <w:lang w:val="fr-FR"/>
        </w:rPr>
        <w:t>3.</w:t>
      </w:r>
      <w:r w:rsidRPr="00891572">
        <w:rPr>
          <w:lang w:val="fr-FR"/>
        </w:rPr>
        <w:tab/>
        <w:t>À l</w:t>
      </w:r>
      <w:r w:rsidR="00E22482">
        <w:rPr>
          <w:lang w:val="fr-FR"/>
        </w:rPr>
        <w:t>’</w:t>
      </w:r>
      <w:r w:rsidRPr="00891572">
        <w:rPr>
          <w:lang w:val="fr-FR"/>
        </w:rPr>
        <w:t>occasion du débat sur le document informel INF.12 tenu à la trente-troisième session du Sous-Comité, l</w:t>
      </w:r>
      <w:r w:rsidR="00E22482">
        <w:rPr>
          <w:lang w:val="fr-FR"/>
        </w:rPr>
        <w:t>’</w:t>
      </w:r>
      <w:r w:rsidRPr="00891572">
        <w:rPr>
          <w:lang w:val="fr-FR"/>
        </w:rPr>
        <w:t>expert du Canada a informé le Sous-Comité qu</w:t>
      </w:r>
      <w:r w:rsidR="00E22482">
        <w:rPr>
          <w:lang w:val="fr-FR"/>
        </w:rPr>
        <w:t>’</w:t>
      </w:r>
      <w:r w:rsidRPr="00891572">
        <w:rPr>
          <w:lang w:val="fr-FR"/>
        </w:rPr>
        <w:t>aucun des diagrammes de décision du SGH ne figurait dans le Règlement canadien sur les produits dangereux. Il n</w:t>
      </w:r>
      <w:r w:rsidR="00E22482">
        <w:rPr>
          <w:lang w:val="fr-FR"/>
        </w:rPr>
        <w:t>’</w:t>
      </w:r>
      <w:r w:rsidRPr="00891572">
        <w:rPr>
          <w:lang w:val="fr-FR"/>
        </w:rPr>
        <w:t>était pas possible d</w:t>
      </w:r>
      <w:r w:rsidR="00E22482">
        <w:rPr>
          <w:lang w:val="fr-FR"/>
        </w:rPr>
        <w:t>’</w:t>
      </w:r>
      <w:r w:rsidRPr="00891572">
        <w:rPr>
          <w:lang w:val="fr-FR"/>
        </w:rPr>
        <w:t>incorporer des diagrammes ou des graphiques dans le</w:t>
      </w:r>
      <w:r>
        <w:rPr>
          <w:lang w:val="fr-FR"/>
        </w:rPr>
        <w:t>s lois et règlements canadiens.</w:t>
      </w:r>
    </w:p>
    <w:p w:rsidR="00891572" w:rsidRPr="00891572" w:rsidRDefault="00891572" w:rsidP="00891572">
      <w:pPr>
        <w:pStyle w:val="SingleTxtG"/>
        <w:rPr>
          <w:lang w:val="fr-FR"/>
        </w:rPr>
      </w:pPr>
      <w:r w:rsidRPr="00891572">
        <w:rPr>
          <w:lang w:val="fr-FR"/>
        </w:rPr>
        <w:lastRenderedPageBreak/>
        <w:t>4.</w:t>
      </w:r>
      <w:r w:rsidRPr="00891572">
        <w:rPr>
          <w:lang w:val="fr-FR"/>
        </w:rPr>
        <w:tab/>
        <w:t>De ce fait, pour les classes de danger visées par une procédure de décision comprenant des informations qui n</w:t>
      </w:r>
      <w:r w:rsidR="00E22482">
        <w:rPr>
          <w:lang w:val="fr-FR"/>
        </w:rPr>
        <w:t>’</w:t>
      </w:r>
      <w:r w:rsidRPr="00891572">
        <w:rPr>
          <w:lang w:val="fr-FR"/>
        </w:rPr>
        <w:t>étaient pas entièrement reproduites dans la section « Critères de classification »</w:t>
      </w:r>
      <w:r>
        <w:rPr>
          <w:lang w:val="fr-FR"/>
        </w:rPr>
        <w:t xml:space="preserve"> </w:t>
      </w:r>
      <w:r w:rsidRPr="00891572">
        <w:rPr>
          <w:lang w:val="fr-FR"/>
        </w:rPr>
        <w:t>du même chapitre du SGH, l</w:t>
      </w:r>
      <w:r w:rsidR="00E22482">
        <w:rPr>
          <w:lang w:val="fr-FR"/>
        </w:rPr>
        <w:t>’</w:t>
      </w:r>
      <w:r w:rsidRPr="00891572">
        <w:rPr>
          <w:lang w:val="fr-FR"/>
        </w:rPr>
        <w:t>information présentée dans le diagramme de décision était incorporée dans le Règlement sur les produits dangereux</w:t>
      </w:r>
      <w:r w:rsidRPr="00891572">
        <w:rPr>
          <w:i/>
          <w:lang w:val="fr-FR"/>
        </w:rPr>
        <w:t xml:space="preserve"> </w:t>
      </w:r>
      <w:r w:rsidRPr="00891572">
        <w:rPr>
          <w:lang w:val="fr-FR"/>
        </w:rPr>
        <w:t>sous forme de texte. À titre d</w:t>
      </w:r>
      <w:r w:rsidR="00E22482">
        <w:rPr>
          <w:lang w:val="fr-FR"/>
        </w:rPr>
        <w:t>’</w:t>
      </w:r>
      <w:r w:rsidRPr="00891572">
        <w:rPr>
          <w:lang w:val="fr-FR"/>
        </w:rPr>
        <w:t>exemple, dans le cas de la classe de danger des aérosols inflammables, l</w:t>
      </w:r>
      <w:r w:rsidR="00E22482">
        <w:rPr>
          <w:lang w:val="fr-FR"/>
        </w:rPr>
        <w:t>’</w:t>
      </w:r>
      <w:r w:rsidRPr="00891572">
        <w:rPr>
          <w:lang w:val="fr-FR"/>
        </w:rPr>
        <w:t>information présentée dans la procédure de décision concernant les aérosols inflammables au 2.3.4.1 du SGH (rev.3) avait été transformée en texte.</w:t>
      </w:r>
    </w:p>
    <w:p w:rsidR="00891572" w:rsidRPr="00891572" w:rsidRDefault="00891572" w:rsidP="00891572">
      <w:pPr>
        <w:pStyle w:val="SingleTxtG"/>
        <w:rPr>
          <w:lang w:val="fr-FR"/>
        </w:rPr>
      </w:pPr>
      <w:r w:rsidRPr="00891572">
        <w:rPr>
          <w:lang w:val="fr-FR"/>
        </w:rPr>
        <w:t>5.</w:t>
      </w:r>
      <w:r w:rsidRPr="00891572">
        <w:rPr>
          <w:lang w:val="fr-FR"/>
        </w:rPr>
        <w:tab/>
        <w:t>À la trente-quatrième session du Sous-Comité, l</w:t>
      </w:r>
      <w:r w:rsidR="00E22482">
        <w:rPr>
          <w:lang w:val="fr-FR"/>
        </w:rPr>
        <w:t>’</w:t>
      </w:r>
      <w:r w:rsidRPr="00891572">
        <w:rPr>
          <w:lang w:val="fr-FR"/>
        </w:rPr>
        <w:t xml:space="preserve">expert du Canada a soumis le document informel INF.13, intitulé </w:t>
      </w:r>
      <w:r>
        <w:rPr>
          <w:lang w:val="fr-FR"/>
        </w:rPr>
        <w:t>« </w:t>
      </w:r>
      <w:r w:rsidRPr="00891572">
        <w:rPr>
          <w:lang w:val="fr-FR"/>
        </w:rPr>
        <w:t>Éclaircissements sur la procédure par laquelle les dispositions relatives à procédure de décision du SGH (rev.3) sur les aérosols inflammables ont été transformées en texte afin d</w:t>
      </w:r>
      <w:r w:rsidR="00E22482">
        <w:rPr>
          <w:lang w:val="fr-FR"/>
        </w:rPr>
        <w:t>’</w:t>
      </w:r>
      <w:r w:rsidRPr="00891572">
        <w:rPr>
          <w:lang w:val="fr-FR"/>
        </w:rPr>
        <w:t>être incorporées au Règlement canadien sur les produits dangereux</w:t>
      </w:r>
      <w:r>
        <w:rPr>
          <w:lang w:val="fr-FR"/>
        </w:rPr>
        <w:t> »</w:t>
      </w:r>
      <w:r w:rsidRPr="00891572">
        <w:rPr>
          <w:lang w:val="fr-FR"/>
        </w:rPr>
        <w:t>. Le Sous-Comité a constaté que dans la plupart des classes de danger, les diagrammes de décision ne faisaient pas partie des critères. Il a considéré qu</w:t>
      </w:r>
      <w:r w:rsidR="00E22482">
        <w:rPr>
          <w:lang w:val="fr-FR"/>
        </w:rPr>
        <w:t>’</w:t>
      </w:r>
      <w:r w:rsidRPr="00891572">
        <w:rPr>
          <w:lang w:val="fr-FR"/>
        </w:rPr>
        <w:t>en principe, les critères devraient être exprimés sous forme de texte pour pouvoir être mis en œuvre de manière cohérente dans différentes juridictions.</w:t>
      </w:r>
    </w:p>
    <w:p w:rsidR="00891572" w:rsidRPr="00891572" w:rsidRDefault="00891572" w:rsidP="00891572">
      <w:pPr>
        <w:pStyle w:val="SingleTxtG"/>
        <w:rPr>
          <w:lang w:val="fr-FR"/>
        </w:rPr>
      </w:pPr>
      <w:r w:rsidRPr="00891572">
        <w:rPr>
          <w:lang w:val="fr-FR"/>
        </w:rPr>
        <w:t>6.</w:t>
      </w:r>
      <w:r w:rsidRPr="00891572">
        <w:rPr>
          <w:lang w:val="fr-FR"/>
        </w:rPr>
        <w:tab/>
        <w:t>À la trente-quatrième session du Sous-Comité, les représentants du CEFIC et d</w:t>
      </w:r>
      <w:r w:rsidR="00E22482">
        <w:rPr>
          <w:lang w:val="fr-FR"/>
        </w:rPr>
        <w:t>’</w:t>
      </w:r>
      <w:r w:rsidRPr="00891572">
        <w:rPr>
          <w:lang w:val="fr-FR"/>
        </w:rPr>
        <w:t xml:space="preserve">EIGA ont soumis le document informel INF.15, intitulé </w:t>
      </w:r>
      <w:r>
        <w:rPr>
          <w:lang w:val="fr-FR"/>
        </w:rPr>
        <w:t>« </w:t>
      </w:r>
      <w:r w:rsidRPr="00891572">
        <w:rPr>
          <w:lang w:val="fr-FR"/>
        </w:rPr>
        <w:t>Proposition relative à une nouvelle classification des produits chimiques sous pression au chapitre 2.3</w:t>
      </w:r>
      <w:r>
        <w:rPr>
          <w:lang w:val="fr-FR"/>
        </w:rPr>
        <w:t> »</w:t>
      </w:r>
      <w:r w:rsidRPr="00891572">
        <w:rPr>
          <w:lang w:val="fr-FR"/>
        </w:rPr>
        <w:t>, ainsi qu</w:t>
      </w:r>
      <w:r w:rsidR="00E22482">
        <w:rPr>
          <w:lang w:val="fr-FR"/>
        </w:rPr>
        <w:t>’</w:t>
      </w:r>
      <w:r w:rsidRPr="00891572">
        <w:rPr>
          <w:lang w:val="fr-FR"/>
        </w:rPr>
        <w:t>une version actualisée du document informel INF.12 soumis à la trente-troisième session.</w:t>
      </w:r>
    </w:p>
    <w:p w:rsidR="00891572" w:rsidRPr="00891572" w:rsidRDefault="00891572" w:rsidP="00891572">
      <w:pPr>
        <w:pStyle w:val="SingleTxtG"/>
        <w:rPr>
          <w:lang w:val="fr-FR"/>
        </w:rPr>
      </w:pPr>
      <w:r w:rsidRPr="00891572">
        <w:rPr>
          <w:lang w:val="fr-FR"/>
        </w:rPr>
        <w:t>7.</w:t>
      </w:r>
      <w:r w:rsidRPr="00891572">
        <w:rPr>
          <w:lang w:val="fr-FR"/>
        </w:rPr>
        <w:tab/>
        <w:t>L</w:t>
      </w:r>
      <w:r w:rsidR="00E22482">
        <w:rPr>
          <w:lang w:val="fr-FR"/>
        </w:rPr>
        <w:t>’</w:t>
      </w:r>
      <w:r w:rsidRPr="00891572">
        <w:rPr>
          <w:lang w:val="fr-FR"/>
        </w:rPr>
        <w:t>expert du Canada et les représentants du CEFIC et d</w:t>
      </w:r>
      <w:r w:rsidR="00E22482">
        <w:rPr>
          <w:lang w:val="fr-FR"/>
        </w:rPr>
        <w:t>’</w:t>
      </w:r>
      <w:r w:rsidRPr="00891572">
        <w:rPr>
          <w:lang w:val="fr-FR"/>
        </w:rPr>
        <w:t>EIGA ont été invités à soumettre, à la trente-cinquième session du Sous-Comité, un projet de critères de classification des aérosols qui consisterait à présenter la procédure de décision sous forme de texte, soit dans un document de travail distinct, soit dans le projet de version révisée du chapitre 2.3 incorporant les produits chimiques sous pression.</w:t>
      </w:r>
    </w:p>
    <w:p w:rsidR="00891572" w:rsidRPr="00891572" w:rsidRDefault="00891572" w:rsidP="00891572">
      <w:pPr>
        <w:pStyle w:val="SingleTxtG"/>
        <w:rPr>
          <w:lang w:val="fr-FR"/>
        </w:rPr>
      </w:pPr>
      <w:r w:rsidRPr="00891572">
        <w:rPr>
          <w:lang w:val="fr-FR"/>
        </w:rPr>
        <w:t>8.</w:t>
      </w:r>
      <w:r w:rsidRPr="00891572">
        <w:rPr>
          <w:lang w:val="fr-FR"/>
        </w:rPr>
        <w:tab/>
        <w:t>Le présent document contient une proposition sur la manière dont les critères de classification des aérosols pourraient être reproduits sous forme de texte, indépendamment de la proposition du CEFIC et d</w:t>
      </w:r>
      <w:r w:rsidR="00E22482">
        <w:rPr>
          <w:lang w:val="fr-FR"/>
        </w:rPr>
        <w:t>’</w:t>
      </w:r>
      <w:r w:rsidRPr="00891572">
        <w:rPr>
          <w:lang w:val="fr-FR"/>
        </w:rPr>
        <w:t>EIGA concernant une nouvelle classification des produits chimiques sous pression au chapitre 2.3. Ce document a été élaboré par l</w:t>
      </w:r>
      <w:r w:rsidR="00E22482">
        <w:rPr>
          <w:lang w:val="fr-FR"/>
        </w:rPr>
        <w:t>’</w:t>
      </w:r>
      <w:r w:rsidRPr="00891572">
        <w:rPr>
          <w:lang w:val="fr-FR"/>
        </w:rPr>
        <w:t>expert du Canada, en collaboration avec la FEA.</w:t>
      </w:r>
    </w:p>
    <w:p w:rsidR="00891572" w:rsidRDefault="00891572" w:rsidP="00891572">
      <w:pPr>
        <w:pStyle w:val="SingleTxtG"/>
      </w:pPr>
      <w:r w:rsidRPr="00891572">
        <w:rPr>
          <w:lang w:val="fr-FR"/>
        </w:rPr>
        <w:t>9.</w:t>
      </w:r>
      <w:r w:rsidRPr="00891572">
        <w:rPr>
          <w:lang w:val="fr-FR"/>
        </w:rPr>
        <w:tab/>
        <w:t>On trouvera dans l</w:t>
      </w:r>
      <w:r w:rsidR="00E22482">
        <w:rPr>
          <w:lang w:val="fr-FR"/>
        </w:rPr>
        <w:t>’</w:t>
      </w:r>
      <w:r w:rsidRPr="00891572">
        <w:rPr>
          <w:lang w:val="fr-FR"/>
        </w:rPr>
        <w:t>annexe du présent document les modifications qu</w:t>
      </w:r>
      <w:r w:rsidR="00E22482">
        <w:rPr>
          <w:lang w:val="fr-FR"/>
        </w:rPr>
        <w:t>’</w:t>
      </w:r>
      <w:r w:rsidRPr="00891572">
        <w:rPr>
          <w:lang w:val="fr-FR"/>
        </w:rPr>
        <w:t>il est proposé d</w:t>
      </w:r>
      <w:r w:rsidR="00E22482">
        <w:rPr>
          <w:lang w:val="fr-FR"/>
        </w:rPr>
        <w:t>’</w:t>
      </w:r>
      <w:r w:rsidRPr="00891572">
        <w:rPr>
          <w:lang w:val="fr-FR"/>
        </w:rPr>
        <w:t>apporter au chapitre 2.3 afin de présenter les critères de classification des aérosols sous forme de texte. Le Sous-Comité est invité à examiner ces propositions.</w:t>
      </w:r>
    </w:p>
    <w:p w:rsidR="00806CF7" w:rsidRPr="00E91460" w:rsidRDefault="00891572" w:rsidP="00806CF7">
      <w:pPr>
        <w:pStyle w:val="HChG"/>
      </w:pPr>
      <w:r>
        <w:br w:type="page"/>
      </w:r>
      <w:r w:rsidR="00806CF7" w:rsidRPr="00E91460">
        <w:lastRenderedPageBreak/>
        <w:tab/>
      </w:r>
      <w:r w:rsidR="00806CF7" w:rsidRPr="00E91460">
        <w:tab/>
        <w:t>Annexe</w:t>
      </w:r>
    </w:p>
    <w:p w:rsidR="00806CF7" w:rsidRPr="00E91460" w:rsidRDefault="00806CF7" w:rsidP="00806CF7">
      <w:pPr>
        <w:pStyle w:val="HChG"/>
      </w:pPr>
      <w:r w:rsidRPr="00E91460">
        <w:tab/>
      </w:r>
      <w:r w:rsidRPr="00E91460">
        <w:tab/>
      </w:r>
      <w:r>
        <w:t>Modifications</w:t>
      </w:r>
      <w:r w:rsidRPr="00E91460">
        <w:t xml:space="preserve"> qu</w:t>
      </w:r>
      <w:r w:rsidR="00E22482">
        <w:t>’</w:t>
      </w:r>
      <w:r w:rsidRPr="00E91460">
        <w:t>il est proposé d</w:t>
      </w:r>
      <w:r w:rsidR="00E22482">
        <w:t>’</w:t>
      </w:r>
      <w:r w:rsidRPr="00E91460">
        <w:t>apporter au SGH afin de présenter les critères de classification des aérosols sous forme de texte</w:t>
      </w:r>
    </w:p>
    <w:p w:rsidR="00806CF7" w:rsidRPr="00E91460" w:rsidRDefault="00806CF7" w:rsidP="00806CF7">
      <w:pPr>
        <w:pStyle w:val="SingleTxtG"/>
      </w:pPr>
      <w:r w:rsidRPr="00E91460">
        <w:t xml:space="preserve">Les </w:t>
      </w:r>
      <w:r>
        <w:t>modifications</w:t>
      </w:r>
      <w:r w:rsidRPr="00E91460">
        <w:t xml:space="preserve"> qu</w:t>
      </w:r>
      <w:r w:rsidR="00E22482">
        <w:t>’</w:t>
      </w:r>
      <w:r w:rsidRPr="00E91460">
        <w:t>il est proposé d</w:t>
      </w:r>
      <w:r w:rsidR="00E22482">
        <w:t>’</w:t>
      </w:r>
      <w:r w:rsidRPr="00E91460">
        <w:t xml:space="preserve">apporter </w:t>
      </w:r>
      <w:r w:rsidRPr="00E91460">
        <w:rPr>
          <w:u w:val="single"/>
        </w:rPr>
        <w:t>sont souligné</w:t>
      </w:r>
      <w:r>
        <w:rPr>
          <w:u w:val="single"/>
        </w:rPr>
        <w:t>e</w:t>
      </w:r>
      <w:r w:rsidRPr="00E91460">
        <w:rPr>
          <w:u w:val="single"/>
        </w:rPr>
        <w:t>s pour les ajouts</w:t>
      </w:r>
      <w:r w:rsidRPr="00E91460">
        <w:t xml:space="preserve"> et </w:t>
      </w:r>
      <w:r w:rsidRPr="00E91460">
        <w:rPr>
          <w:strike/>
        </w:rPr>
        <w:t>biffé</w:t>
      </w:r>
      <w:r>
        <w:rPr>
          <w:strike/>
        </w:rPr>
        <w:t>e</w:t>
      </w:r>
      <w:r w:rsidRPr="00E91460">
        <w:rPr>
          <w:strike/>
        </w:rPr>
        <w:t>s pour les suppressions</w:t>
      </w:r>
      <w:r w:rsidRPr="00E91460">
        <w:t>.</w:t>
      </w:r>
    </w:p>
    <w:p w:rsidR="00806CF7" w:rsidRPr="00E91460" w:rsidRDefault="00806CF7" w:rsidP="00806CF7">
      <w:pPr>
        <w:pStyle w:val="SingleTxtG"/>
      </w:pPr>
      <w:r>
        <w:t>1.</w:t>
      </w:r>
      <w:r>
        <w:tab/>
      </w:r>
      <w:r w:rsidRPr="00E91460">
        <w:t>Section 2.3.2 modifier comme suit</w:t>
      </w:r>
      <w:r>
        <w:t> </w:t>
      </w:r>
      <w:r w:rsidRPr="00E91460">
        <w:t>:</w:t>
      </w:r>
    </w:p>
    <w:p w:rsidR="00806CF7" w:rsidRPr="00E91460" w:rsidRDefault="00806CF7" w:rsidP="00806CF7">
      <w:pPr>
        <w:pStyle w:val="H23G"/>
      </w:pPr>
      <w:r>
        <w:tab/>
      </w:r>
      <w:r>
        <w:tab/>
      </w:r>
      <w:r w:rsidRPr="00E91460">
        <w:tab/>
      </w:r>
      <w:r w:rsidR="00EF5A98" w:rsidRPr="00EF5A98">
        <w:rPr>
          <w:b w:val="0"/>
        </w:rPr>
        <w:t>« </w:t>
      </w:r>
      <w:r w:rsidRPr="00E91460">
        <w:t>2.3.2</w:t>
      </w:r>
      <w:r w:rsidRPr="00E91460">
        <w:tab/>
        <w:t>Critères de classification</w:t>
      </w:r>
    </w:p>
    <w:p w:rsidR="00806CF7" w:rsidRPr="00E91460" w:rsidRDefault="00806CF7" w:rsidP="00806CF7">
      <w:pPr>
        <w:pStyle w:val="SingleTxtG"/>
        <w:rPr>
          <w:lang w:val="fr-FR"/>
        </w:rPr>
      </w:pPr>
      <w:r w:rsidRPr="00E91460">
        <w:rPr>
          <w:lang w:val="fr-FR"/>
        </w:rPr>
        <w:t>2.3.2.1</w:t>
      </w:r>
      <w:r w:rsidRPr="00E91460">
        <w:rPr>
          <w:lang w:val="fr-FR"/>
        </w:rPr>
        <w:tab/>
      </w:r>
      <w:r>
        <w:rPr>
          <w:lang w:val="fr-FR"/>
        </w:rPr>
        <w:tab/>
      </w:r>
      <w:r w:rsidRPr="00E91460">
        <w:rPr>
          <w:lang w:val="fr-FR"/>
        </w:rPr>
        <w:t>Les aérosols sont classés dans l</w:t>
      </w:r>
      <w:r w:rsidR="00E22482">
        <w:rPr>
          <w:lang w:val="fr-FR"/>
        </w:rPr>
        <w:t>’</w:t>
      </w:r>
      <w:r w:rsidRPr="00E91460">
        <w:rPr>
          <w:lang w:val="fr-FR"/>
        </w:rPr>
        <w:t>une des trois catégories de la présente classe de danger,</w:t>
      </w:r>
      <w:r w:rsidRPr="00E91460">
        <w:rPr>
          <w:u w:val="single"/>
          <w:lang w:val="fr-FR"/>
        </w:rPr>
        <w:t xml:space="preserve"> conformément au tableau 2.3.1,</w:t>
      </w:r>
      <w:r w:rsidRPr="00E91460">
        <w:rPr>
          <w:lang w:val="fr-FR"/>
        </w:rPr>
        <w:t xml:space="preserve"> en fonction </w:t>
      </w:r>
      <w:r w:rsidRPr="0022369F">
        <w:rPr>
          <w:strike/>
          <w:lang w:val="fr-FR"/>
        </w:rPr>
        <w:t>de</w:t>
      </w:r>
      <w:r w:rsidRPr="00806CF7">
        <w:rPr>
          <w:lang w:val="fr-FR"/>
        </w:rPr>
        <w:t> </w:t>
      </w:r>
      <w:r w:rsidRPr="00E91460">
        <w:rPr>
          <w:lang w:val="fr-FR"/>
        </w:rPr>
        <w:t>:</w:t>
      </w:r>
    </w:p>
    <w:p w:rsidR="00806CF7" w:rsidRPr="00E91460" w:rsidRDefault="00806CF7" w:rsidP="006D289A">
      <w:pPr>
        <w:pStyle w:val="SingleTxtG"/>
        <w:ind w:left="2268" w:hanging="567"/>
        <w:rPr>
          <w:lang w:val="fr-FR"/>
        </w:rPr>
      </w:pPr>
      <w:r>
        <w:rPr>
          <w:lang w:val="fr-FR"/>
        </w:rPr>
        <w:t>-</w:t>
      </w:r>
      <w:r>
        <w:rPr>
          <w:lang w:val="fr-FR"/>
        </w:rPr>
        <w:tab/>
      </w:r>
      <w:r>
        <w:rPr>
          <w:u w:val="single"/>
          <w:lang w:val="fr-FR"/>
        </w:rPr>
        <w:t xml:space="preserve">de </w:t>
      </w:r>
      <w:r w:rsidRPr="00E91460">
        <w:rPr>
          <w:lang w:val="fr-FR"/>
        </w:rPr>
        <w:t>leurs propriétés d</w:t>
      </w:r>
      <w:r w:rsidR="00E22482">
        <w:rPr>
          <w:lang w:val="fr-FR"/>
        </w:rPr>
        <w:t>’</w:t>
      </w:r>
      <w:r w:rsidRPr="00E91460">
        <w:rPr>
          <w:lang w:val="fr-FR"/>
        </w:rPr>
        <w:t>inflammabilité</w:t>
      </w:r>
      <w:r w:rsidRPr="00E91460">
        <w:rPr>
          <w:u w:val="single"/>
          <w:lang w:val="fr-FR"/>
        </w:rPr>
        <w:t>,</w:t>
      </w:r>
      <w:r w:rsidRPr="00E91460">
        <w:rPr>
          <w:strike/>
          <w:u w:val="single"/>
          <w:lang w:val="fr-FR"/>
        </w:rPr>
        <w:t xml:space="preserve"> </w:t>
      </w:r>
      <w:r w:rsidRPr="00E91460">
        <w:rPr>
          <w:strike/>
          <w:lang w:val="fr-FR"/>
        </w:rPr>
        <w:t>et de</w:t>
      </w:r>
      <w:r w:rsidRPr="00E91460">
        <w:rPr>
          <w:lang w:val="fr-FR"/>
        </w:rPr>
        <w:t xml:space="preserve"> </w:t>
      </w:r>
    </w:p>
    <w:p w:rsidR="00806CF7" w:rsidRDefault="00806CF7" w:rsidP="006D289A">
      <w:pPr>
        <w:pStyle w:val="SingleTxtG"/>
        <w:ind w:left="2268" w:hanging="567"/>
        <w:rPr>
          <w:lang w:val="fr-FR"/>
        </w:rPr>
      </w:pPr>
      <w:r w:rsidRPr="00E91460">
        <w:rPr>
          <w:lang w:val="fr-FR"/>
        </w:rPr>
        <w:t>-</w:t>
      </w:r>
      <w:r>
        <w:rPr>
          <w:lang w:val="fr-FR"/>
        </w:rPr>
        <w:tab/>
      </w:r>
      <w:r>
        <w:rPr>
          <w:u w:val="single"/>
          <w:lang w:val="fr-FR"/>
        </w:rPr>
        <w:t xml:space="preserve">de </w:t>
      </w:r>
      <w:r w:rsidRPr="00E91460">
        <w:rPr>
          <w:lang w:val="fr-FR"/>
        </w:rPr>
        <w:t>leur chaleur de combustion</w:t>
      </w:r>
      <w:r w:rsidRPr="00E91460">
        <w:rPr>
          <w:u w:val="single"/>
          <w:lang w:val="fr-FR"/>
        </w:rPr>
        <w:t>, et</w:t>
      </w:r>
      <w:r>
        <w:rPr>
          <w:u w:val="single"/>
          <w:lang w:val="fr-FR"/>
        </w:rPr>
        <w:t> </w:t>
      </w:r>
      <w:r w:rsidRPr="00E91460">
        <w:rPr>
          <w:u w:val="single"/>
          <w:lang w:val="fr-FR"/>
        </w:rPr>
        <w:t>;</w:t>
      </w:r>
      <w:r w:rsidRPr="00E91460">
        <w:rPr>
          <w:lang w:val="fr-FR"/>
        </w:rPr>
        <w:t xml:space="preserve"> </w:t>
      </w:r>
    </w:p>
    <w:p w:rsidR="00806CF7" w:rsidRPr="00806CF7" w:rsidRDefault="00806CF7" w:rsidP="006D289A">
      <w:pPr>
        <w:pStyle w:val="SingleTxtG"/>
        <w:ind w:left="2268" w:hanging="567"/>
        <w:rPr>
          <w:u w:val="single"/>
          <w:lang w:val="fr-FR"/>
        </w:rPr>
      </w:pPr>
      <w:r>
        <w:rPr>
          <w:lang w:val="fr-FR"/>
        </w:rPr>
        <w:t>-</w:t>
      </w:r>
      <w:r>
        <w:rPr>
          <w:lang w:val="fr-FR"/>
        </w:rPr>
        <w:tab/>
      </w:r>
      <w:r w:rsidRPr="00806CF7">
        <w:rPr>
          <w:u w:val="single"/>
          <w:lang w:val="fr-FR"/>
        </w:rPr>
        <w:t>selon le cas, des résultats de l</w:t>
      </w:r>
      <w:r w:rsidR="00E22482">
        <w:rPr>
          <w:u w:val="single"/>
          <w:lang w:val="fr-FR"/>
        </w:rPr>
        <w:t>’</w:t>
      </w:r>
      <w:r w:rsidRPr="00806CF7">
        <w:rPr>
          <w:u w:val="single"/>
          <w:lang w:val="fr-FR"/>
        </w:rPr>
        <w:t>épreuve d</w:t>
      </w:r>
      <w:r w:rsidR="00E22482">
        <w:rPr>
          <w:u w:val="single"/>
          <w:lang w:val="fr-FR"/>
        </w:rPr>
        <w:t>’</w:t>
      </w:r>
      <w:r w:rsidRPr="00806CF7">
        <w:rPr>
          <w:u w:val="single"/>
          <w:lang w:val="fr-FR"/>
        </w:rPr>
        <w:t xml:space="preserve">inflammation à distance, de </w:t>
      </w:r>
      <w:r w:rsidRPr="00806CF7">
        <w:rPr>
          <w:lang w:val="fr-FR"/>
        </w:rPr>
        <w:tab/>
      </w:r>
      <w:r w:rsidRPr="00806CF7">
        <w:rPr>
          <w:u w:val="single"/>
          <w:lang w:val="fr-FR"/>
        </w:rPr>
        <w:t>l</w:t>
      </w:r>
      <w:r w:rsidR="00E22482">
        <w:rPr>
          <w:u w:val="single"/>
          <w:lang w:val="fr-FR"/>
        </w:rPr>
        <w:t>’</w:t>
      </w:r>
      <w:r w:rsidRPr="00806CF7">
        <w:rPr>
          <w:u w:val="single"/>
          <w:lang w:val="fr-FR"/>
        </w:rPr>
        <w:t>épreuve d</w:t>
      </w:r>
      <w:r w:rsidR="00E22482">
        <w:rPr>
          <w:u w:val="single"/>
          <w:lang w:val="fr-FR"/>
        </w:rPr>
        <w:t>’</w:t>
      </w:r>
      <w:r w:rsidRPr="00806CF7">
        <w:rPr>
          <w:u w:val="single"/>
          <w:lang w:val="fr-FR"/>
        </w:rPr>
        <w:t>inflammation dans un espace clos et de l</w:t>
      </w:r>
      <w:r w:rsidR="00E22482">
        <w:rPr>
          <w:u w:val="single"/>
          <w:lang w:val="fr-FR"/>
        </w:rPr>
        <w:t>’</w:t>
      </w:r>
      <w:r w:rsidRPr="00806CF7">
        <w:rPr>
          <w:u w:val="single"/>
          <w:lang w:val="fr-FR"/>
        </w:rPr>
        <w:t>épreuve d</w:t>
      </w:r>
      <w:r w:rsidR="00E22482">
        <w:rPr>
          <w:u w:val="single"/>
          <w:lang w:val="fr-FR"/>
        </w:rPr>
        <w:t>’</w:t>
      </w:r>
      <w:r w:rsidRPr="00806CF7">
        <w:rPr>
          <w:u w:val="single"/>
          <w:lang w:val="fr-FR"/>
        </w:rPr>
        <w:t xml:space="preserve">inflammation </w:t>
      </w:r>
      <w:r w:rsidRPr="00806CF7">
        <w:rPr>
          <w:lang w:val="fr-FR"/>
        </w:rPr>
        <w:tab/>
      </w:r>
      <w:r w:rsidRPr="00806CF7">
        <w:rPr>
          <w:u w:val="single"/>
          <w:lang w:val="fr-FR"/>
        </w:rPr>
        <w:t>des mousses, exécutées conformément à la méthode d</w:t>
      </w:r>
      <w:r w:rsidR="00E22482">
        <w:rPr>
          <w:u w:val="single"/>
          <w:lang w:val="fr-FR"/>
        </w:rPr>
        <w:t>’</w:t>
      </w:r>
      <w:r w:rsidRPr="00806CF7">
        <w:rPr>
          <w:u w:val="single"/>
          <w:lang w:val="fr-FR"/>
        </w:rPr>
        <w:t xml:space="preserve">épreuve décrite dans </w:t>
      </w:r>
      <w:r w:rsidRPr="00806CF7">
        <w:rPr>
          <w:lang w:val="fr-FR"/>
        </w:rPr>
        <w:tab/>
      </w:r>
      <w:r w:rsidRPr="00806CF7">
        <w:rPr>
          <w:u w:val="single"/>
          <w:lang w:val="fr-FR"/>
        </w:rPr>
        <w:t xml:space="preserve">les sous-sections 31.4, 31.5 et 31.6 des </w:t>
      </w:r>
      <w:r w:rsidRPr="00806CF7">
        <w:rPr>
          <w:i/>
          <w:iCs/>
          <w:u w:val="single"/>
          <w:lang w:val="fr-FR"/>
        </w:rPr>
        <w:t xml:space="preserve">Recommandations relatives au </w:t>
      </w:r>
      <w:r w:rsidRPr="00806CF7">
        <w:rPr>
          <w:i/>
          <w:iCs/>
          <w:lang w:val="fr-FR"/>
        </w:rPr>
        <w:tab/>
      </w:r>
      <w:r w:rsidRPr="00806CF7">
        <w:rPr>
          <w:i/>
          <w:iCs/>
          <w:u w:val="single"/>
          <w:lang w:val="fr-FR"/>
        </w:rPr>
        <w:t>transport des marchandises dangereuses, Manuel d</w:t>
      </w:r>
      <w:r w:rsidR="00E22482">
        <w:rPr>
          <w:i/>
          <w:iCs/>
          <w:u w:val="single"/>
          <w:lang w:val="fr-FR"/>
        </w:rPr>
        <w:t>’</w:t>
      </w:r>
      <w:r w:rsidRPr="00806CF7">
        <w:rPr>
          <w:i/>
          <w:iCs/>
          <w:u w:val="single"/>
          <w:lang w:val="fr-FR"/>
        </w:rPr>
        <w:t>épreuves et de critères</w:t>
      </w:r>
      <w:r w:rsidRPr="00806CF7">
        <w:rPr>
          <w:u w:val="single"/>
          <w:lang w:val="fr-FR"/>
        </w:rPr>
        <w:t>.</w:t>
      </w:r>
    </w:p>
    <w:p w:rsidR="00806CF7" w:rsidRPr="00E91460" w:rsidRDefault="00806CF7" w:rsidP="006D289A">
      <w:pPr>
        <w:pStyle w:val="SingleTxtG"/>
        <w:rPr>
          <w:lang w:val="fr-FR"/>
        </w:rPr>
      </w:pPr>
      <w:r w:rsidRPr="00E91460">
        <w:rPr>
          <w:lang w:val="fr-FR"/>
        </w:rPr>
        <w:t xml:space="preserve">Les aérosols doivent être soumis aux procédures de classification dans la </w:t>
      </w:r>
      <w:r>
        <w:rPr>
          <w:lang w:val="fr-FR"/>
        </w:rPr>
        <w:t>c</w:t>
      </w:r>
      <w:r w:rsidRPr="00E91460">
        <w:rPr>
          <w:lang w:val="fr-FR"/>
        </w:rPr>
        <w:t>atégorie 1 ou 2 s</w:t>
      </w:r>
      <w:r w:rsidR="00E22482">
        <w:rPr>
          <w:lang w:val="fr-FR"/>
        </w:rPr>
        <w:t>’</w:t>
      </w:r>
      <w:r w:rsidRPr="00E91460">
        <w:rPr>
          <w:lang w:val="fr-FR"/>
        </w:rPr>
        <w:t>ils contiennent plus de 1</w:t>
      </w:r>
      <w:r w:rsidR="00EF5A98">
        <w:rPr>
          <w:lang w:val="fr-FR"/>
        </w:rPr>
        <w:t> </w:t>
      </w:r>
      <w:r w:rsidRPr="00E91460">
        <w:rPr>
          <w:lang w:val="fr-FR"/>
        </w:rPr>
        <w:t>% de composants (en masse) classés inflammables conformément aux critères du système général harmonisé, à savoir</w:t>
      </w:r>
      <w:r w:rsidR="006D289A">
        <w:rPr>
          <w:lang w:val="fr-FR"/>
        </w:rPr>
        <w:t> </w:t>
      </w:r>
      <w:r w:rsidRPr="00E91460">
        <w:rPr>
          <w:lang w:val="fr-FR"/>
        </w:rPr>
        <w:t>:</w:t>
      </w:r>
    </w:p>
    <w:p w:rsidR="00806CF7" w:rsidRPr="006D289A" w:rsidRDefault="006D289A" w:rsidP="006D289A">
      <w:pPr>
        <w:pStyle w:val="SingleTxtG"/>
        <w:ind w:left="2268" w:hanging="567"/>
        <w:rPr>
          <w:lang w:val="fr-FR"/>
        </w:rPr>
      </w:pPr>
      <w:r>
        <w:rPr>
          <w:lang w:val="fr-FR"/>
        </w:rPr>
        <w:t>-</w:t>
      </w:r>
      <w:r w:rsidR="00806CF7" w:rsidRPr="006D289A">
        <w:rPr>
          <w:lang w:val="fr-FR"/>
        </w:rPr>
        <w:tab/>
        <w:t>Gaz inflammables (voir chap</w:t>
      </w:r>
      <w:r>
        <w:rPr>
          <w:lang w:val="fr-FR"/>
        </w:rPr>
        <w:t>. </w:t>
      </w:r>
      <w:r w:rsidR="00806CF7" w:rsidRPr="006D289A">
        <w:rPr>
          <w:lang w:val="fr-FR"/>
        </w:rPr>
        <w:t>2.2)</w:t>
      </w:r>
      <w:r>
        <w:rPr>
          <w:lang w:val="fr-FR"/>
        </w:rPr>
        <w:t> </w:t>
      </w:r>
      <w:r w:rsidR="00806CF7" w:rsidRPr="006D289A">
        <w:rPr>
          <w:lang w:val="fr-FR"/>
        </w:rPr>
        <w:t>;</w:t>
      </w:r>
    </w:p>
    <w:p w:rsidR="00806CF7" w:rsidRPr="006D289A" w:rsidRDefault="006D289A" w:rsidP="006D289A">
      <w:pPr>
        <w:pStyle w:val="SingleTxtG"/>
        <w:ind w:left="2268" w:hanging="567"/>
      </w:pPr>
      <w:r>
        <w:t>-</w:t>
      </w:r>
      <w:r w:rsidR="00806CF7" w:rsidRPr="006D289A">
        <w:tab/>
        <w:t>Liquides inflammables (voir chap</w:t>
      </w:r>
      <w:r>
        <w:t>. </w:t>
      </w:r>
      <w:r w:rsidR="00806CF7" w:rsidRPr="006D289A">
        <w:t>2.6)</w:t>
      </w:r>
      <w:r>
        <w:t> </w:t>
      </w:r>
      <w:r w:rsidR="00806CF7" w:rsidRPr="006D289A">
        <w:t>;</w:t>
      </w:r>
    </w:p>
    <w:p w:rsidR="00806CF7" w:rsidRPr="006D289A" w:rsidRDefault="006D289A" w:rsidP="006D289A">
      <w:pPr>
        <w:pStyle w:val="SingleTxtG"/>
        <w:ind w:left="2268" w:hanging="567"/>
      </w:pPr>
      <w:r>
        <w:t>-</w:t>
      </w:r>
      <w:r w:rsidR="00806CF7" w:rsidRPr="006D289A">
        <w:tab/>
        <w:t>Matières solides inflammables (voir chap</w:t>
      </w:r>
      <w:r>
        <w:t>. </w:t>
      </w:r>
      <w:r w:rsidR="00806CF7" w:rsidRPr="006D289A">
        <w:t>2.7)</w:t>
      </w:r>
      <w:r w:rsidR="00EF5A98">
        <w:t> ;</w:t>
      </w:r>
    </w:p>
    <w:p w:rsidR="00806CF7" w:rsidRPr="00E91460" w:rsidRDefault="00806CF7" w:rsidP="006D289A">
      <w:pPr>
        <w:pStyle w:val="SingleTxtG"/>
        <w:ind w:left="1701"/>
        <w:rPr>
          <w:lang w:val="fr-FR"/>
        </w:rPr>
      </w:pPr>
      <w:proofErr w:type="gramStart"/>
      <w:r w:rsidRPr="00E91460">
        <w:rPr>
          <w:lang w:val="fr-FR"/>
        </w:rPr>
        <w:t>ou</w:t>
      </w:r>
      <w:proofErr w:type="gramEnd"/>
      <w:r w:rsidRPr="00E91460">
        <w:rPr>
          <w:lang w:val="fr-FR"/>
        </w:rPr>
        <w:t xml:space="preserve"> s</w:t>
      </w:r>
      <w:r w:rsidR="00E22482">
        <w:rPr>
          <w:lang w:val="fr-FR"/>
        </w:rPr>
        <w:t>’</w:t>
      </w:r>
      <w:r w:rsidRPr="00E91460">
        <w:rPr>
          <w:lang w:val="fr-FR"/>
        </w:rPr>
        <w:t>ils ont une chaleur de combustion au moins égale à 20</w:t>
      </w:r>
      <w:r w:rsidR="006D289A">
        <w:rPr>
          <w:lang w:val="fr-FR"/>
        </w:rPr>
        <w:t> </w:t>
      </w:r>
      <w:r w:rsidRPr="00E91460">
        <w:rPr>
          <w:lang w:val="fr-FR"/>
        </w:rPr>
        <w:t>kJ/g.</w:t>
      </w:r>
    </w:p>
    <w:p w:rsidR="00806CF7" w:rsidRPr="006D289A" w:rsidRDefault="00806CF7" w:rsidP="004154B4">
      <w:pPr>
        <w:pStyle w:val="SingleTxtG"/>
        <w:jc w:val="left"/>
        <w:rPr>
          <w:b/>
          <w:u w:val="single"/>
        </w:rPr>
      </w:pPr>
      <w:r w:rsidRPr="006D289A">
        <w:rPr>
          <w:b/>
          <w:u w:val="single"/>
        </w:rPr>
        <w:t>Tableau 2.3.1</w:t>
      </w:r>
      <w:r w:rsidR="006D289A">
        <w:rPr>
          <w:b/>
          <w:u w:val="single"/>
        </w:rPr>
        <w:t> </w:t>
      </w:r>
      <w:r w:rsidRPr="006D289A">
        <w:rPr>
          <w:b/>
          <w:u w:val="single"/>
        </w:rPr>
        <w:t>: Critères de classification des aérosols</w:t>
      </w:r>
    </w:p>
    <w:tbl>
      <w:tblPr>
        <w:tblStyle w:val="TableGrid"/>
        <w:tblW w:w="7370" w:type="dxa"/>
        <w:tblInd w:w="1134" w:type="dxa"/>
        <w:tblLayout w:type="fixed"/>
        <w:tblLook w:val="04A0" w:firstRow="1" w:lastRow="0" w:firstColumn="1" w:lastColumn="0" w:noHBand="0" w:noVBand="1"/>
      </w:tblPr>
      <w:tblGrid>
        <w:gridCol w:w="1953"/>
        <w:gridCol w:w="5417"/>
      </w:tblGrid>
      <w:tr w:rsidR="00806CF7" w:rsidRPr="00E91460" w:rsidTr="00CD5C42">
        <w:trPr>
          <w:tblHeader/>
        </w:trPr>
        <w:tc>
          <w:tcPr>
            <w:tcW w:w="1953" w:type="dxa"/>
          </w:tcPr>
          <w:p w:rsidR="00806CF7" w:rsidRPr="006D289A" w:rsidRDefault="00806CF7" w:rsidP="006D289A">
            <w:pPr>
              <w:spacing w:before="60" w:after="60"/>
              <w:ind w:left="57" w:right="57"/>
              <w:rPr>
                <w:b/>
                <w:u w:val="single"/>
              </w:rPr>
            </w:pPr>
            <w:r w:rsidRPr="006D289A">
              <w:rPr>
                <w:b/>
                <w:u w:val="single"/>
              </w:rPr>
              <w:t>Catégorie</w:t>
            </w:r>
          </w:p>
        </w:tc>
        <w:tc>
          <w:tcPr>
            <w:tcW w:w="5417" w:type="dxa"/>
          </w:tcPr>
          <w:p w:rsidR="00806CF7" w:rsidRPr="006D289A" w:rsidRDefault="00806CF7" w:rsidP="006D289A">
            <w:pPr>
              <w:spacing w:before="60" w:after="60"/>
              <w:ind w:left="57" w:right="57"/>
              <w:jc w:val="center"/>
              <w:rPr>
                <w:b/>
                <w:u w:val="single"/>
              </w:rPr>
            </w:pPr>
            <w:r w:rsidRPr="006D289A">
              <w:rPr>
                <w:b/>
                <w:u w:val="single"/>
              </w:rPr>
              <w:t>Critères</w:t>
            </w:r>
          </w:p>
        </w:tc>
      </w:tr>
      <w:tr w:rsidR="00806CF7" w:rsidRPr="00E91460" w:rsidTr="00F156F8">
        <w:tc>
          <w:tcPr>
            <w:tcW w:w="1953" w:type="dxa"/>
            <w:tcBorders>
              <w:bottom w:val="single" w:sz="4" w:space="0" w:color="auto"/>
            </w:tcBorders>
          </w:tcPr>
          <w:p w:rsidR="00806CF7" w:rsidRPr="006D289A" w:rsidRDefault="00806CF7" w:rsidP="006D289A">
            <w:pPr>
              <w:spacing w:before="60" w:after="60"/>
              <w:ind w:left="57" w:right="57"/>
              <w:rPr>
                <w:b/>
                <w:u w:val="single"/>
              </w:rPr>
            </w:pPr>
            <w:r w:rsidRPr="006D289A">
              <w:rPr>
                <w:b/>
                <w:u w:val="single"/>
              </w:rPr>
              <w:t>1</w:t>
            </w:r>
          </w:p>
        </w:tc>
        <w:tc>
          <w:tcPr>
            <w:tcW w:w="5417" w:type="dxa"/>
            <w:tcBorders>
              <w:bottom w:val="single" w:sz="4" w:space="0" w:color="auto"/>
            </w:tcBorders>
          </w:tcPr>
          <w:p w:rsidR="00806CF7" w:rsidRPr="006D289A" w:rsidRDefault="00806CF7" w:rsidP="00EF5A98">
            <w:pPr>
              <w:spacing w:before="60" w:after="60"/>
              <w:ind w:left="57" w:right="57"/>
              <w:jc w:val="both"/>
              <w:rPr>
                <w:u w:val="single"/>
              </w:rPr>
            </w:pPr>
            <w:r w:rsidRPr="006D289A">
              <w:rPr>
                <w:u w:val="single"/>
              </w:rPr>
              <w:t>Tout aérosol contenant au moins 85</w:t>
            </w:r>
            <w:r w:rsidR="00EF5A98">
              <w:rPr>
                <w:u w:val="single"/>
              </w:rPr>
              <w:t> </w:t>
            </w:r>
            <w:r w:rsidRPr="006D289A">
              <w:rPr>
                <w:u w:val="single"/>
              </w:rPr>
              <w:t>% de composants (en masse) classés inflammables et ayant une chaleur de combustion au moins égale à 30</w:t>
            </w:r>
            <w:r w:rsidR="006D289A">
              <w:rPr>
                <w:u w:val="single"/>
              </w:rPr>
              <w:t> </w:t>
            </w:r>
            <w:r w:rsidRPr="006D289A">
              <w:rPr>
                <w:u w:val="single"/>
              </w:rPr>
              <w:t>kJ/g</w:t>
            </w:r>
            <w:r w:rsidR="006D289A">
              <w:rPr>
                <w:u w:val="single"/>
              </w:rPr>
              <w:t> </w:t>
            </w:r>
            <w:r w:rsidRPr="006D289A">
              <w:rPr>
                <w:u w:val="single"/>
              </w:rPr>
              <w:t xml:space="preserve">; </w:t>
            </w:r>
            <w:proofErr w:type="gramStart"/>
            <w:r w:rsidRPr="006D289A">
              <w:rPr>
                <w:u w:val="single"/>
              </w:rPr>
              <w:t>ou</w:t>
            </w:r>
            <w:proofErr w:type="gramEnd"/>
          </w:p>
          <w:p w:rsidR="00806CF7" w:rsidRPr="006D289A" w:rsidRDefault="00806CF7" w:rsidP="00EF5A98">
            <w:pPr>
              <w:spacing w:before="60" w:after="60"/>
              <w:ind w:left="57" w:right="57"/>
              <w:jc w:val="both"/>
              <w:rPr>
                <w:u w:val="single"/>
              </w:rPr>
            </w:pPr>
            <w:r w:rsidRPr="006D289A">
              <w:rPr>
                <w:u w:val="single"/>
              </w:rPr>
              <w:t>Tout aérosol vaporisé qui, dans l</w:t>
            </w:r>
            <w:r w:rsidR="00E22482">
              <w:rPr>
                <w:u w:val="single"/>
              </w:rPr>
              <w:t>’</w:t>
            </w:r>
            <w:r w:rsidRPr="006D289A">
              <w:rPr>
                <w:u w:val="single"/>
              </w:rPr>
              <w:t>épreuve d</w:t>
            </w:r>
            <w:r w:rsidR="00E22482">
              <w:rPr>
                <w:u w:val="single"/>
              </w:rPr>
              <w:t>’</w:t>
            </w:r>
            <w:r w:rsidRPr="006D289A">
              <w:rPr>
                <w:u w:val="single"/>
              </w:rPr>
              <w:t>inflammation à distance, provoque une inflammation à une distance au moins égale à 75</w:t>
            </w:r>
            <w:r w:rsidR="006D289A">
              <w:rPr>
                <w:u w:val="single"/>
              </w:rPr>
              <w:t> </w:t>
            </w:r>
            <w:r w:rsidRPr="006D289A">
              <w:rPr>
                <w:u w:val="single"/>
              </w:rPr>
              <w:t>cm</w:t>
            </w:r>
            <w:r w:rsidR="006D289A">
              <w:rPr>
                <w:u w:val="single"/>
              </w:rPr>
              <w:t> </w:t>
            </w:r>
            <w:r w:rsidRPr="006D289A">
              <w:rPr>
                <w:u w:val="single"/>
              </w:rPr>
              <w:t xml:space="preserve">; </w:t>
            </w:r>
            <w:proofErr w:type="gramStart"/>
            <w:r w:rsidRPr="006D289A">
              <w:rPr>
                <w:u w:val="single"/>
              </w:rPr>
              <w:t>ou</w:t>
            </w:r>
            <w:proofErr w:type="gramEnd"/>
          </w:p>
          <w:p w:rsidR="00806CF7" w:rsidRPr="006D289A" w:rsidRDefault="00806CF7" w:rsidP="00EF5A98">
            <w:pPr>
              <w:spacing w:before="60" w:after="60"/>
              <w:ind w:left="57" w:right="57"/>
              <w:jc w:val="both"/>
              <w:rPr>
                <w:u w:val="single"/>
              </w:rPr>
            </w:pPr>
            <w:r w:rsidRPr="006D289A">
              <w:rPr>
                <w:u w:val="single"/>
              </w:rPr>
              <w:t>Tout aérosol distribuant de la mousse qui, dans l</w:t>
            </w:r>
            <w:r w:rsidR="00E22482">
              <w:rPr>
                <w:u w:val="single"/>
              </w:rPr>
              <w:t>’</w:t>
            </w:r>
            <w:r w:rsidRPr="006D289A">
              <w:rPr>
                <w:u w:val="single"/>
              </w:rPr>
              <w:t>épreuve d</w:t>
            </w:r>
            <w:r w:rsidR="00E22482">
              <w:rPr>
                <w:u w:val="single"/>
              </w:rPr>
              <w:t>’</w:t>
            </w:r>
            <w:r w:rsidRPr="006D289A">
              <w:rPr>
                <w:u w:val="single"/>
              </w:rPr>
              <w:t>inflammation des mousses, produit</w:t>
            </w:r>
          </w:p>
          <w:p w:rsidR="00806CF7" w:rsidRPr="006D289A" w:rsidRDefault="006D289A" w:rsidP="00EF5A98">
            <w:pPr>
              <w:spacing w:before="60" w:after="60"/>
              <w:ind w:left="751" w:right="57" w:hanging="411"/>
              <w:jc w:val="both"/>
              <w:rPr>
                <w:u w:val="single"/>
              </w:rPr>
            </w:pPr>
            <w:r w:rsidRPr="006D289A">
              <w:t>a)</w:t>
            </w:r>
            <w:r w:rsidRPr="006D289A">
              <w:tab/>
            </w:r>
            <w:r w:rsidR="00806CF7" w:rsidRPr="006D289A">
              <w:rPr>
                <w:u w:val="single"/>
              </w:rPr>
              <w:t>une flamme dont la hauteur est au moins égale à 20</w:t>
            </w:r>
            <w:r>
              <w:rPr>
                <w:u w:val="single"/>
              </w:rPr>
              <w:t> </w:t>
            </w:r>
            <w:r w:rsidR="00806CF7" w:rsidRPr="006D289A">
              <w:rPr>
                <w:u w:val="single"/>
              </w:rPr>
              <w:t>cm et dont la durée est au moins égale à 2</w:t>
            </w:r>
            <w:r>
              <w:rPr>
                <w:u w:val="single"/>
              </w:rPr>
              <w:t> </w:t>
            </w:r>
            <w:r w:rsidR="00806CF7" w:rsidRPr="006D289A">
              <w:rPr>
                <w:u w:val="single"/>
              </w:rPr>
              <w:t xml:space="preserve">s, </w:t>
            </w:r>
            <w:proofErr w:type="gramStart"/>
            <w:r w:rsidR="00806CF7" w:rsidRPr="006D289A">
              <w:rPr>
                <w:u w:val="single"/>
              </w:rPr>
              <w:t>ou</w:t>
            </w:r>
            <w:proofErr w:type="gramEnd"/>
            <w:r w:rsidR="00806CF7" w:rsidRPr="006D289A">
              <w:rPr>
                <w:u w:val="single"/>
              </w:rPr>
              <w:t xml:space="preserve"> </w:t>
            </w:r>
          </w:p>
          <w:p w:rsidR="00806CF7" w:rsidRPr="006D289A" w:rsidRDefault="006D289A" w:rsidP="00EF5A98">
            <w:pPr>
              <w:spacing w:before="60" w:after="60"/>
              <w:ind w:left="751" w:right="57" w:hanging="411"/>
              <w:jc w:val="both"/>
              <w:rPr>
                <w:u w:val="single"/>
              </w:rPr>
            </w:pPr>
            <w:r w:rsidRPr="006D289A">
              <w:t>b)</w:t>
            </w:r>
            <w:r w:rsidRPr="006D289A">
              <w:tab/>
            </w:r>
            <w:r w:rsidR="00806CF7" w:rsidRPr="006D289A">
              <w:rPr>
                <w:u w:val="single"/>
              </w:rPr>
              <w:t>une flamme dont la hauteur est au moins égale à 4</w:t>
            </w:r>
            <w:r>
              <w:rPr>
                <w:u w:val="single"/>
              </w:rPr>
              <w:t> </w:t>
            </w:r>
            <w:r w:rsidR="00806CF7" w:rsidRPr="006D289A">
              <w:rPr>
                <w:u w:val="single"/>
              </w:rPr>
              <w:t>cm et dont la durée est au moins égale à 7</w:t>
            </w:r>
            <w:r>
              <w:rPr>
                <w:u w:val="single"/>
              </w:rPr>
              <w:t> </w:t>
            </w:r>
            <w:r w:rsidR="00806CF7" w:rsidRPr="006D289A">
              <w:rPr>
                <w:u w:val="single"/>
              </w:rPr>
              <w:t>s</w:t>
            </w:r>
          </w:p>
        </w:tc>
      </w:tr>
      <w:tr w:rsidR="00F156F8" w:rsidRPr="00E91460" w:rsidTr="00F156F8">
        <w:tc>
          <w:tcPr>
            <w:tcW w:w="1953" w:type="dxa"/>
            <w:tcBorders>
              <w:top w:val="single" w:sz="4" w:space="0" w:color="auto"/>
              <w:bottom w:val="nil"/>
            </w:tcBorders>
          </w:tcPr>
          <w:p w:rsidR="00F156F8" w:rsidRPr="006D289A" w:rsidRDefault="00F156F8" w:rsidP="006D289A">
            <w:pPr>
              <w:spacing w:before="60" w:after="60"/>
              <w:ind w:left="57" w:right="57"/>
              <w:rPr>
                <w:b/>
                <w:u w:val="single"/>
              </w:rPr>
            </w:pPr>
            <w:r w:rsidRPr="006D289A">
              <w:rPr>
                <w:b/>
                <w:u w:val="single"/>
              </w:rPr>
              <w:t>2</w:t>
            </w:r>
          </w:p>
        </w:tc>
        <w:tc>
          <w:tcPr>
            <w:tcW w:w="5417" w:type="dxa"/>
            <w:tcBorders>
              <w:top w:val="single" w:sz="4" w:space="0" w:color="auto"/>
              <w:bottom w:val="nil"/>
            </w:tcBorders>
          </w:tcPr>
          <w:p w:rsidR="00F156F8" w:rsidRPr="006D289A" w:rsidRDefault="00F156F8" w:rsidP="00EF5A98">
            <w:pPr>
              <w:spacing w:before="60" w:after="60"/>
              <w:ind w:left="57" w:right="57"/>
              <w:jc w:val="both"/>
              <w:rPr>
                <w:u w:val="single"/>
              </w:rPr>
            </w:pPr>
            <w:r w:rsidRPr="006D289A">
              <w:rPr>
                <w:u w:val="single"/>
              </w:rPr>
              <w:t>Tout aérosol vaporisé qui, dans l</w:t>
            </w:r>
            <w:r w:rsidR="00E22482">
              <w:rPr>
                <w:u w:val="single"/>
              </w:rPr>
              <w:t>’</w:t>
            </w:r>
            <w:r w:rsidRPr="006D289A">
              <w:rPr>
                <w:u w:val="single"/>
              </w:rPr>
              <w:t>épreuve d</w:t>
            </w:r>
            <w:r w:rsidR="00E22482">
              <w:rPr>
                <w:u w:val="single"/>
              </w:rPr>
              <w:t>’</w:t>
            </w:r>
            <w:r w:rsidRPr="006D289A">
              <w:rPr>
                <w:u w:val="single"/>
              </w:rPr>
              <w:t xml:space="preserve">inflammation à distance, ne répond pas aux critères de la catégorie 1, et qui </w:t>
            </w:r>
          </w:p>
          <w:p w:rsidR="00F156F8" w:rsidRPr="006D289A" w:rsidRDefault="00F156F8" w:rsidP="00EF5A98">
            <w:pPr>
              <w:spacing w:before="60" w:after="60"/>
              <w:ind w:left="751" w:right="57" w:hanging="411"/>
              <w:jc w:val="both"/>
              <w:rPr>
                <w:u w:val="single"/>
              </w:rPr>
            </w:pPr>
            <w:r w:rsidRPr="004154B4">
              <w:t>a)</w:t>
            </w:r>
            <w:r w:rsidRPr="004154B4">
              <w:tab/>
            </w:r>
            <w:r w:rsidRPr="00CD5C42">
              <w:rPr>
                <w:spacing w:val="-2"/>
                <w:u w:val="single"/>
              </w:rPr>
              <w:t>a une chaleur de combustion au moins égale à 20</w:t>
            </w:r>
            <w:r w:rsidR="00EF5A98">
              <w:rPr>
                <w:spacing w:val="-2"/>
                <w:u w:val="single"/>
              </w:rPr>
              <w:t> </w:t>
            </w:r>
            <w:r w:rsidRPr="00CD5C42">
              <w:rPr>
                <w:spacing w:val="-2"/>
                <w:u w:val="single"/>
              </w:rPr>
              <w:t>kJ/g,</w:t>
            </w:r>
            <w:r w:rsidRPr="006D289A">
              <w:rPr>
                <w:u w:val="single"/>
              </w:rPr>
              <w:t xml:space="preserve"> </w:t>
            </w:r>
            <w:proofErr w:type="gramStart"/>
            <w:r w:rsidRPr="006D289A">
              <w:rPr>
                <w:u w:val="single"/>
              </w:rPr>
              <w:t>ou</w:t>
            </w:r>
            <w:proofErr w:type="gramEnd"/>
          </w:p>
          <w:p w:rsidR="00F156F8" w:rsidRPr="006D289A" w:rsidRDefault="00F156F8" w:rsidP="00EF5A98">
            <w:pPr>
              <w:spacing w:before="60" w:after="60"/>
              <w:ind w:left="751" w:right="57" w:hanging="411"/>
              <w:jc w:val="both"/>
              <w:rPr>
                <w:u w:val="single"/>
              </w:rPr>
            </w:pPr>
            <w:r w:rsidRPr="004154B4">
              <w:t>b)</w:t>
            </w:r>
            <w:r w:rsidRPr="004154B4">
              <w:tab/>
            </w:r>
            <w:r w:rsidRPr="006D289A">
              <w:rPr>
                <w:u w:val="single"/>
              </w:rPr>
              <w:t>a une chaleur de combustion inférieure à 20</w:t>
            </w:r>
            <w:r w:rsidR="00EF5A98">
              <w:rPr>
                <w:u w:val="single"/>
              </w:rPr>
              <w:t> </w:t>
            </w:r>
            <w:r w:rsidRPr="006D289A">
              <w:rPr>
                <w:u w:val="single"/>
              </w:rPr>
              <w:t>kJ/g et provoque une inflammation à une distance au moins</w:t>
            </w:r>
            <w:r>
              <w:rPr>
                <w:u w:val="single"/>
              </w:rPr>
              <w:t xml:space="preserve"> </w:t>
            </w:r>
            <w:r w:rsidRPr="006D289A">
              <w:rPr>
                <w:u w:val="single"/>
              </w:rPr>
              <w:t>égale à 15</w:t>
            </w:r>
            <w:r w:rsidR="00EF5A98">
              <w:rPr>
                <w:u w:val="single"/>
              </w:rPr>
              <w:t> </w:t>
            </w:r>
            <w:r w:rsidRPr="006D289A">
              <w:rPr>
                <w:u w:val="single"/>
              </w:rPr>
              <w:t>cm, ou</w:t>
            </w:r>
          </w:p>
        </w:tc>
      </w:tr>
      <w:tr w:rsidR="00806CF7" w:rsidRPr="00E91460" w:rsidTr="00F156F8">
        <w:tc>
          <w:tcPr>
            <w:tcW w:w="1953" w:type="dxa"/>
            <w:tcBorders>
              <w:top w:val="nil"/>
              <w:bottom w:val="single" w:sz="4" w:space="0" w:color="auto"/>
            </w:tcBorders>
          </w:tcPr>
          <w:p w:rsidR="00806CF7" w:rsidRPr="006D289A" w:rsidRDefault="00806CF7" w:rsidP="006D289A">
            <w:pPr>
              <w:spacing w:before="60" w:after="60"/>
              <w:ind w:left="57" w:right="57"/>
              <w:rPr>
                <w:b/>
                <w:u w:val="single"/>
              </w:rPr>
            </w:pPr>
          </w:p>
        </w:tc>
        <w:tc>
          <w:tcPr>
            <w:tcW w:w="5417" w:type="dxa"/>
            <w:tcBorders>
              <w:top w:val="nil"/>
              <w:bottom w:val="single" w:sz="4" w:space="0" w:color="auto"/>
            </w:tcBorders>
          </w:tcPr>
          <w:p w:rsidR="00806CF7" w:rsidRPr="006D289A" w:rsidRDefault="004154B4" w:rsidP="00EF5A98">
            <w:pPr>
              <w:keepLines/>
              <w:spacing w:before="60" w:after="60"/>
              <w:ind w:left="748" w:right="57" w:hanging="408"/>
              <w:jc w:val="both"/>
              <w:rPr>
                <w:u w:val="single"/>
              </w:rPr>
            </w:pPr>
            <w:r w:rsidRPr="004154B4">
              <w:t>c)</w:t>
            </w:r>
            <w:r w:rsidRPr="004154B4">
              <w:tab/>
            </w:r>
            <w:r w:rsidR="00806CF7" w:rsidRPr="006D289A">
              <w:rPr>
                <w:u w:val="single"/>
              </w:rPr>
              <w:t>a une chaleur de combustion inférieure à 20 kJ/g et provoque une inflammation à une distance inférieure à 15 cm, et, dans l</w:t>
            </w:r>
            <w:r w:rsidR="00E22482">
              <w:rPr>
                <w:u w:val="single"/>
              </w:rPr>
              <w:t>’</w:t>
            </w:r>
            <w:r w:rsidR="00806CF7" w:rsidRPr="006D289A">
              <w:rPr>
                <w:u w:val="single"/>
              </w:rPr>
              <w:t>épreuve d</w:t>
            </w:r>
            <w:r w:rsidR="00E22482">
              <w:rPr>
                <w:u w:val="single"/>
              </w:rPr>
              <w:t>’</w:t>
            </w:r>
            <w:r w:rsidR="00806CF7" w:rsidRPr="006D289A">
              <w:rPr>
                <w:u w:val="single"/>
              </w:rPr>
              <w:t>inflammation dans un espace clos,</w:t>
            </w:r>
          </w:p>
          <w:p w:rsidR="00806CF7" w:rsidRPr="006D289A" w:rsidRDefault="00806CF7" w:rsidP="00EF5A98">
            <w:pPr>
              <w:numPr>
                <w:ilvl w:val="0"/>
                <w:numId w:val="22"/>
              </w:numPr>
              <w:spacing w:before="60" w:after="60"/>
              <w:ind w:left="1320" w:right="57"/>
              <w:jc w:val="both"/>
              <w:rPr>
                <w:u w:val="single"/>
              </w:rPr>
            </w:pPr>
            <w:proofErr w:type="gramStart"/>
            <w:r w:rsidRPr="006D289A">
              <w:rPr>
                <w:u w:val="single"/>
              </w:rPr>
              <w:t>a</w:t>
            </w:r>
            <w:proofErr w:type="gramEnd"/>
            <w:r w:rsidRPr="006D289A">
              <w:rPr>
                <w:u w:val="single"/>
              </w:rPr>
              <w:t xml:space="preserve"> un temps équivalent égale ou inférieur à 300 s/m</w:t>
            </w:r>
            <w:r w:rsidRPr="006D289A">
              <w:rPr>
                <w:u w:val="single"/>
                <w:vertAlign w:val="superscript"/>
              </w:rPr>
              <w:t>3</w:t>
            </w:r>
            <w:r w:rsidRPr="006D289A">
              <w:rPr>
                <w:u w:val="single"/>
              </w:rPr>
              <w:t>, ou</w:t>
            </w:r>
          </w:p>
          <w:p w:rsidR="00806CF7" w:rsidRPr="006D289A" w:rsidRDefault="00806CF7" w:rsidP="00EF5A98">
            <w:pPr>
              <w:numPr>
                <w:ilvl w:val="0"/>
                <w:numId w:val="22"/>
              </w:numPr>
              <w:spacing w:before="60" w:after="60"/>
              <w:ind w:left="1320" w:right="57"/>
              <w:jc w:val="both"/>
              <w:rPr>
                <w:u w:val="single"/>
              </w:rPr>
            </w:pPr>
            <w:proofErr w:type="gramStart"/>
            <w:r w:rsidRPr="006D289A">
              <w:rPr>
                <w:u w:val="single"/>
              </w:rPr>
              <w:t>a</w:t>
            </w:r>
            <w:proofErr w:type="gramEnd"/>
            <w:r w:rsidRPr="006D289A">
              <w:rPr>
                <w:u w:val="single"/>
              </w:rPr>
              <w:t xml:space="preserve"> une densité de déflagration égale ou inférieure à</w:t>
            </w:r>
            <w:r w:rsidR="00CD5C42">
              <w:rPr>
                <w:u w:val="single"/>
              </w:rPr>
              <w:t> </w:t>
            </w:r>
            <w:r w:rsidRPr="006D289A">
              <w:rPr>
                <w:u w:val="single"/>
              </w:rPr>
              <w:t>300 g/m</w:t>
            </w:r>
            <w:r w:rsidRPr="006D289A">
              <w:rPr>
                <w:u w:val="single"/>
                <w:vertAlign w:val="superscript"/>
              </w:rPr>
              <w:t>3</w:t>
            </w:r>
            <w:r w:rsidRPr="006D289A">
              <w:rPr>
                <w:u w:val="single"/>
              </w:rPr>
              <w:t>; ou</w:t>
            </w:r>
          </w:p>
          <w:p w:rsidR="00806CF7" w:rsidRPr="006D289A" w:rsidRDefault="00806CF7" w:rsidP="00EF5A98">
            <w:pPr>
              <w:spacing w:before="60" w:after="60"/>
              <w:ind w:left="57" w:right="57"/>
              <w:jc w:val="both"/>
              <w:rPr>
                <w:u w:val="single"/>
              </w:rPr>
            </w:pPr>
            <w:r w:rsidRPr="006D289A">
              <w:rPr>
                <w:u w:val="single"/>
              </w:rPr>
              <w:t>Tout aérosol distribuant de la mousse qui, dans l</w:t>
            </w:r>
            <w:r w:rsidR="00E22482">
              <w:rPr>
                <w:u w:val="single"/>
              </w:rPr>
              <w:t>’</w:t>
            </w:r>
            <w:r w:rsidRPr="006D289A">
              <w:rPr>
                <w:u w:val="single"/>
              </w:rPr>
              <w:t>épreuve d</w:t>
            </w:r>
            <w:r w:rsidR="00E22482">
              <w:rPr>
                <w:u w:val="single"/>
              </w:rPr>
              <w:t>’</w:t>
            </w:r>
            <w:r w:rsidRPr="006D289A">
              <w:rPr>
                <w:u w:val="single"/>
              </w:rPr>
              <w:t>inflammation des mousses d</w:t>
            </w:r>
            <w:r w:rsidR="00E22482">
              <w:rPr>
                <w:u w:val="single"/>
              </w:rPr>
              <w:t>’</w:t>
            </w:r>
            <w:r w:rsidRPr="006D289A">
              <w:rPr>
                <w:u w:val="single"/>
              </w:rPr>
              <w:t>aérosols ne répond pas aux critères de la catégorie 1, et qui produit une flamme dont la hauteur est au moins égale à 4 cm et la durée est au moins égale à</w:t>
            </w:r>
            <w:r w:rsidR="00CD5C42">
              <w:rPr>
                <w:u w:val="single"/>
              </w:rPr>
              <w:t> </w:t>
            </w:r>
            <w:r w:rsidRPr="006D289A">
              <w:rPr>
                <w:u w:val="single"/>
              </w:rPr>
              <w:t>2 s.</w:t>
            </w:r>
          </w:p>
        </w:tc>
      </w:tr>
      <w:tr w:rsidR="00806CF7" w:rsidRPr="00E91460" w:rsidTr="00F156F8">
        <w:tc>
          <w:tcPr>
            <w:tcW w:w="1953" w:type="dxa"/>
            <w:tcBorders>
              <w:top w:val="single" w:sz="4" w:space="0" w:color="auto"/>
            </w:tcBorders>
          </w:tcPr>
          <w:p w:rsidR="00806CF7" w:rsidRPr="004154B4" w:rsidRDefault="00806CF7" w:rsidP="004154B4">
            <w:pPr>
              <w:spacing w:before="60" w:after="60"/>
              <w:ind w:left="57" w:right="57"/>
              <w:rPr>
                <w:b/>
                <w:u w:val="single"/>
              </w:rPr>
            </w:pPr>
            <w:r w:rsidRPr="004154B4">
              <w:rPr>
                <w:b/>
                <w:u w:val="single"/>
              </w:rPr>
              <w:t>3</w:t>
            </w:r>
          </w:p>
        </w:tc>
        <w:tc>
          <w:tcPr>
            <w:tcW w:w="5417" w:type="dxa"/>
            <w:tcBorders>
              <w:top w:val="single" w:sz="4" w:space="0" w:color="auto"/>
            </w:tcBorders>
          </w:tcPr>
          <w:p w:rsidR="00806CF7" w:rsidRPr="006D289A" w:rsidRDefault="00806CF7" w:rsidP="00EF5A98">
            <w:pPr>
              <w:spacing w:before="60" w:after="60"/>
              <w:ind w:left="57" w:right="57"/>
              <w:jc w:val="both"/>
              <w:rPr>
                <w:u w:val="single"/>
              </w:rPr>
            </w:pPr>
            <w:r w:rsidRPr="006D289A">
              <w:rPr>
                <w:u w:val="single"/>
              </w:rPr>
              <w:t>Tout aérosol contenant 1</w:t>
            </w:r>
            <w:r w:rsidR="004154B4">
              <w:rPr>
                <w:u w:val="single"/>
              </w:rPr>
              <w:t> </w:t>
            </w:r>
            <w:r w:rsidRPr="006D289A">
              <w:rPr>
                <w:u w:val="single"/>
              </w:rPr>
              <w:t>% de composants inflammables (en masse) ou moins et ayant une chaleur de combustion inférieure à</w:t>
            </w:r>
            <w:r w:rsidR="00CD5C42">
              <w:rPr>
                <w:u w:val="single"/>
              </w:rPr>
              <w:t> </w:t>
            </w:r>
            <w:r w:rsidRPr="006D289A">
              <w:rPr>
                <w:u w:val="single"/>
              </w:rPr>
              <w:t>20</w:t>
            </w:r>
            <w:r w:rsidR="004154B4">
              <w:rPr>
                <w:u w:val="single"/>
              </w:rPr>
              <w:t> </w:t>
            </w:r>
            <w:r w:rsidRPr="006D289A">
              <w:rPr>
                <w:u w:val="single"/>
              </w:rPr>
              <w:t>kJ/g</w:t>
            </w:r>
            <w:r w:rsidR="004154B4">
              <w:rPr>
                <w:u w:val="single"/>
              </w:rPr>
              <w:t> </w:t>
            </w:r>
            <w:r w:rsidRPr="006D289A">
              <w:rPr>
                <w:u w:val="single"/>
              </w:rPr>
              <w:t xml:space="preserve">; </w:t>
            </w:r>
            <w:proofErr w:type="gramStart"/>
            <w:r w:rsidRPr="006D289A">
              <w:rPr>
                <w:u w:val="single"/>
              </w:rPr>
              <w:t>ou</w:t>
            </w:r>
            <w:proofErr w:type="gramEnd"/>
          </w:p>
          <w:p w:rsidR="00806CF7" w:rsidRPr="006D289A" w:rsidRDefault="00806CF7" w:rsidP="00EF5A98">
            <w:pPr>
              <w:spacing w:before="60" w:after="60"/>
              <w:ind w:left="57" w:right="57"/>
              <w:jc w:val="both"/>
              <w:rPr>
                <w:u w:val="single"/>
              </w:rPr>
            </w:pPr>
            <w:r w:rsidRPr="006D289A">
              <w:rPr>
                <w:u w:val="single"/>
              </w:rPr>
              <w:t>Tout aérosol contenant plus de 1</w:t>
            </w:r>
            <w:r w:rsidR="004154B4">
              <w:rPr>
                <w:u w:val="single"/>
              </w:rPr>
              <w:t> </w:t>
            </w:r>
            <w:r w:rsidRPr="006D289A">
              <w:rPr>
                <w:u w:val="single"/>
              </w:rPr>
              <w:t>% de composants inflammables (en masse) ou ayant une chaleur de combustion inférieure à 20</w:t>
            </w:r>
            <w:r w:rsidR="004154B4">
              <w:rPr>
                <w:u w:val="single"/>
              </w:rPr>
              <w:t> </w:t>
            </w:r>
            <w:r w:rsidRPr="006D289A">
              <w:rPr>
                <w:u w:val="single"/>
              </w:rPr>
              <w:t>kJ/g mais qui, selon les résultats de l</w:t>
            </w:r>
            <w:r w:rsidR="00E22482">
              <w:rPr>
                <w:u w:val="single"/>
              </w:rPr>
              <w:t>’</w:t>
            </w:r>
            <w:r w:rsidRPr="006D289A">
              <w:rPr>
                <w:u w:val="single"/>
              </w:rPr>
              <w:t>épreuve d</w:t>
            </w:r>
            <w:r w:rsidR="00E22482">
              <w:rPr>
                <w:u w:val="single"/>
              </w:rPr>
              <w:t>’</w:t>
            </w:r>
            <w:r w:rsidRPr="006D289A">
              <w:rPr>
                <w:u w:val="single"/>
              </w:rPr>
              <w:t>inflammation dans un espace clos et de l</w:t>
            </w:r>
            <w:r w:rsidR="00E22482">
              <w:rPr>
                <w:u w:val="single"/>
              </w:rPr>
              <w:t>’</w:t>
            </w:r>
            <w:r w:rsidRPr="006D289A">
              <w:rPr>
                <w:u w:val="single"/>
              </w:rPr>
              <w:t>épreuve d</w:t>
            </w:r>
            <w:r w:rsidR="00E22482">
              <w:rPr>
                <w:u w:val="single"/>
              </w:rPr>
              <w:t>’</w:t>
            </w:r>
            <w:r w:rsidRPr="006D289A">
              <w:rPr>
                <w:u w:val="single"/>
              </w:rPr>
              <w:t>inflammation des mousses, ne répond ni aux critères de la catégorie 1 ni à ceux de la catégorie 2.</w:t>
            </w:r>
          </w:p>
        </w:tc>
      </w:tr>
    </w:tbl>
    <w:p w:rsidR="00806CF7" w:rsidRPr="004154B4" w:rsidRDefault="00806CF7" w:rsidP="004154B4">
      <w:pPr>
        <w:pStyle w:val="SingleTxtG"/>
        <w:spacing w:before="120"/>
        <w:rPr>
          <w:i/>
        </w:rPr>
      </w:pPr>
      <w:r w:rsidRPr="004154B4">
        <w:rPr>
          <w:b/>
          <w:i/>
        </w:rPr>
        <w:t>NOTA 1</w:t>
      </w:r>
      <w:r w:rsidR="004154B4">
        <w:rPr>
          <w:b/>
          <w:i/>
        </w:rPr>
        <w:t> </w:t>
      </w:r>
      <w:r w:rsidRPr="004154B4">
        <w:rPr>
          <w:b/>
          <w:i/>
        </w:rPr>
        <w:t>:</w:t>
      </w:r>
      <w:r w:rsidRPr="004154B4">
        <w:rPr>
          <w:i/>
        </w:rPr>
        <w:tab/>
        <w:t>Dans ce contexte, l</w:t>
      </w:r>
      <w:r w:rsidR="00E22482">
        <w:rPr>
          <w:i/>
        </w:rPr>
        <w:t>’</w:t>
      </w:r>
      <w:r w:rsidRPr="004154B4">
        <w:rPr>
          <w:i/>
        </w:rPr>
        <w:t>expression «</w:t>
      </w:r>
      <w:r w:rsidR="00EF5A98">
        <w:rPr>
          <w:i/>
        </w:rPr>
        <w:t> </w:t>
      </w:r>
      <w:r w:rsidRPr="004154B4">
        <w:rPr>
          <w:i/>
        </w:rPr>
        <w:t>composant inflammable</w:t>
      </w:r>
      <w:r w:rsidR="00EF5A98">
        <w:rPr>
          <w:i/>
        </w:rPr>
        <w:t> </w:t>
      </w:r>
      <w:r w:rsidRPr="004154B4">
        <w:rPr>
          <w:i/>
        </w:rPr>
        <w:t>» ne s</w:t>
      </w:r>
      <w:r w:rsidR="00E22482">
        <w:rPr>
          <w:i/>
        </w:rPr>
        <w:t>’</w:t>
      </w:r>
      <w:r w:rsidRPr="004154B4">
        <w:rPr>
          <w:i/>
        </w:rPr>
        <w:t xml:space="preserve">applique pas aux matières pyrophoriques, auto-échauffantes ou </w:t>
      </w:r>
      <w:proofErr w:type="spellStart"/>
      <w:r w:rsidRPr="004154B4">
        <w:rPr>
          <w:i/>
        </w:rPr>
        <w:t>hydroréactives</w:t>
      </w:r>
      <w:proofErr w:type="spellEnd"/>
      <w:r w:rsidRPr="004154B4">
        <w:rPr>
          <w:i/>
        </w:rPr>
        <w:t xml:space="preserve"> parce que ces composants ne sont jamais utilisés comme contenus de générateurs d</w:t>
      </w:r>
      <w:r w:rsidR="00E22482">
        <w:rPr>
          <w:i/>
        </w:rPr>
        <w:t>’</w:t>
      </w:r>
      <w:r w:rsidRPr="004154B4">
        <w:rPr>
          <w:i/>
        </w:rPr>
        <w:t>aérosols.</w:t>
      </w:r>
    </w:p>
    <w:p w:rsidR="00806CF7" w:rsidRPr="004154B4" w:rsidRDefault="00806CF7" w:rsidP="004154B4">
      <w:pPr>
        <w:pStyle w:val="SingleTxtG"/>
        <w:rPr>
          <w:i/>
        </w:rPr>
      </w:pPr>
      <w:r w:rsidRPr="004154B4">
        <w:rPr>
          <w:b/>
          <w:i/>
        </w:rPr>
        <w:t>NOTA 2</w:t>
      </w:r>
      <w:r w:rsidR="004154B4">
        <w:rPr>
          <w:b/>
          <w:i/>
        </w:rPr>
        <w:t> </w:t>
      </w:r>
      <w:r w:rsidRPr="004154B4">
        <w:rPr>
          <w:b/>
          <w:i/>
        </w:rPr>
        <w:t>:</w:t>
      </w:r>
      <w:r w:rsidRPr="004154B4">
        <w:rPr>
          <w:i/>
        </w:rPr>
        <w:tab/>
        <w:t>Les aérosols n</w:t>
      </w:r>
      <w:r w:rsidR="00E22482">
        <w:rPr>
          <w:i/>
        </w:rPr>
        <w:t>’</w:t>
      </w:r>
      <w:r w:rsidRPr="004154B4">
        <w:rPr>
          <w:i/>
        </w:rPr>
        <w:t>entrent pas, en plus, dans le champ d</w:t>
      </w:r>
      <w:r w:rsidR="00E22482">
        <w:rPr>
          <w:i/>
        </w:rPr>
        <w:t>’</w:t>
      </w:r>
      <w:r w:rsidRPr="004154B4">
        <w:rPr>
          <w:i/>
        </w:rPr>
        <w:t>application des chapitres 2.2 (Gaz inflammables), 2.5 (Gaz sous pression), 2.6 (Liquides inflammables) ou 2.7 (Matières solides inflammables). En fonction de leurs composants, les aérosols peuvent toutefois relever du champ d</w:t>
      </w:r>
      <w:r w:rsidR="00E22482">
        <w:rPr>
          <w:i/>
        </w:rPr>
        <w:t>’</w:t>
      </w:r>
      <w:r w:rsidRPr="004154B4">
        <w:rPr>
          <w:i/>
        </w:rPr>
        <w:t>application d</w:t>
      </w:r>
      <w:r w:rsidR="00E22482">
        <w:rPr>
          <w:i/>
        </w:rPr>
        <w:t>’</w:t>
      </w:r>
      <w:r w:rsidRPr="004154B4">
        <w:rPr>
          <w:i/>
        </w:rPr>
        <w:t>autres classes de danger, y compris en ce qui concerne leurs éléments d</w:t>
      </w:r>
      <w:r w:rsidR="00E22482">
        <w:rPr>
          <w:i/>
        </w:rPr>
        <w:t>’</w:t>
      </w:r>
      <w:r w:rsidRPr="004154B4">
        <w:rPr>
          <w:i/>
        </w:rPr>
        <w:t>étiquetage.</w:t>
      </w:r>
    </w:p>
    <w:p w:rsidR="00806CF7" w:rsidRPr="004154B4" w:rsidRDefault="00806CF7" w:rsidP="004154B4">
      <w:pPr>
        <w:pStyle w:val="SingleTxtG"/>
        <w:rPr>
          <w:strike/>
        </w:rPr>
      </w:pPr>
      <w:r w:rsidRPr="004154B4">
        <w:rPr>
          <w:strike/>
        </w:rPr>
        <w:t>2.3.2.2</w:t>
      </w:r>
      <w:r w:rsidR="00EF5A98">
        <w:rPr>
          <w:strike/>
        </w:rPr>
        <w:tab/>
      </w:r>
      <w:r w:rsidRPr="004154B4">
        <w:rPr>
          <w:strike/>
        </w:rPr>
        <w:tab/>
        <w:t>Un aérosol doit être classé dans l</w:t>
      </w:r>
      <w:r w:rsidR="00E22482">
        <w:rPr>
          <w:strike/>
        </w:rPr>
        <w:t>’</w:t>
      </w:r>
      <w:r w:rsidRPr="004154B4">
        <w:rPr>
          <w:strike/>
        </w:rPr>
        <w:t>une des trois catégories de cette classe en fonction de ses composants, de sa chaleur de combustion et, selon le cas, des résultats de l</w:t>
      </w:r>
      <w:r w:rsidR="00E22482">
        <w:rPr>
          <w:strike/>
        </w:rPr>
        <w:t>’</w:t>
      </w:r>
      <w:r w:rsidRPr="004154B4">
        <w:rPr>
          <w:strike/>
        </w:rPr>
        <w:t>épreuve d</w:t>
      </w:r>
      <w:r w:rsidR="00E22482">
        <w:rPr>
          <w:strike/>
        </w:rPr>
        <w:t>’</w:t>
      </w:r>
      <w:r w:rsidRPr="004154B4">
        <w:rPr>
          <w:strike/>
        </w:rPr>
        <w:t>inflammabilité des mousses (pour les mousses d</w:t>
      </w:r>
      <w:r w:rsidR="00E22482">
        <w:rPr>
          <w:strike/>
        </w:rPr>
        <w:t>’</w:t>
      </w:r>
      <w:r w:rsidRPr="004154B4">
        <w:rPr>
          <w:strike/>
        </w:rPr>
        <w:t>aérosols) et des épreuves de la distance d</w:t>
      </w:r>
      <w:r w:rsidR="00E22482">
        <w:rPr>
          <w:strike/>
        </w:rPr>
        <w:t>’</w:t>
      </w:r>
      <w:r w:rsidRPr="004154B4">
        <w:rPr>
          <w:strike/>
        </w:rPr>
        <w:t>inflammation et de l</w:t>
      </w:r>
      <w:r w:rsidR="00E22482">
        <w:rPr>
          <w:strike/>
        </w:rPr>
        <w:t>’</w:t>
      </w:r>
      <w:r w:rsidRPr="004154B4">
        <w:rPr>
          <w:strike/>
        </w:rPr>
        <w:t xml:space="preserve">inflammation dans un espace clos (pour les aérosols vaporisés). Voir la procédure de décision au 2.3.4.1. Les aérosols qui ne répondent pas aux critères de classement dans la Catégorie 1 ou 2 (aérosols extrêmement inflammables ou inflammables) doivent être classés dans la Catégorie 3 (aérosols ininflammables). </w:t>
      </w:r>
    </w:p>
    <w:p w:rsidR="00806CF7" w:rsidRPr="004154B4" w:rsidRDefault="00806CF7" w:rsidP="004154B4">
      <w:pPr>
        <w:pStyle w:val="SingleTxtG"/>
        <w:rPr>
          <w:i/>
        </w:rPr>
      </w:pPr>
      <w:r w:rsidRPr="004154B4">
        <w:rPr>
          <w:b/>
          <w:i/>
        </w:rPr>
        <w:t xml:space="preserve">NOTA </w:t>
      </w:r>
      <w:r w:rsidRPr="004154B4">
        <w:rPr>
          <w:b/>
          <w:i/>
          <w:u w:val="single"/>
        </w:rPr>
        <w:t>3</w:t>
      </w:r>
      <w:r w:rsidR="004154B4">
        <w:rPr>
          <w:b/>
          <w:i/>
        </w:rPr>
        <w:t> </w:t>
      </w:r>
      <w:r w:rsidRPr="004154B4">
        <w:rPr>
          <w:b/>
          <w:i/>
        </w:rPr>
        <w:t>:</w:t>
      </w:r>
      <w:r w:rsidRPr="004154B4">
        <w:rPr>
          <w:i/>
        </w:rPr>
        <w:tab/>
        <w:t>Les aérosols contenant plus de 1</w:t>
      </w:r>
      <w:r w:rsidR="00CD5C42">
        <w:rPr>
          <w:i/>
        </w:rPr>
        <w:t> </w:t>
      </w:r>
      <w:r w:rsidRPr="004154B4">
        <w:rPr>
          <w:i/>
        </w:rPr>
        <w:t>% de composants inflammables ou avec une chaleur de combustion d</w:t>
      </w:r>
      <w:r w:rsidR="00E22482">
        <w:rPr>
          <w:i/>
        </w:rPr>
        <w:t>’</w:t>
      </w:r>
      <w:r w:rsidRPr="004154B4">
        <w:rPr>
          <w:i/>
        </w:rPr>
        <w:t>au moins 20</w:t>
      </w:r>
      <w:r w:rsidR="004154B4">
        <w:rPr>
          <w:i/>
        </w:rPr>
        <w:t> </w:t>
      </w:r>
      <w:r w:rsidRPr="004154B4">
        <w:rPr>
          <w:i/>
        </w:rPr>
        <w:t>kJ/g, qui ne sont pas soumis aux procédures de classification du présent chapitre relatives aux aérosols inflammables, devraient être classés en tant qu</w:t>
      </w:r>
      <w:r w:rsidR="00E22482">
        <w:rPr>
          <w:i/>
        </w:rPr>
        <w:t>’</w:t>
      </w:r>
      <w:r w:rsidRPr="004154B4">
        <w:rPr>
          <w:i/>
        </w:rPr>
        <w:t>aérosols, catégorie 1.</w:t>
      </w:r>
    </w:p>
    <w:p w:rsidR="00806CF7" w:rsidRPr="00E91460" w:rsidRDefault="004154B4" w:rsidP="004154B4">
      <w:pPr>
        <w:pStyle w:val="SingleTxtG"/>
        <w:rPr>
          <w:lang w:val="fr-FR"/>
        </w:rPr>
      </w:pPr>
      <w:r>
        <w:rPr>
          <w:lang w:val="fr-FR"/>
        </w:rPr>
        <w:t>2.</w:t>
      </w:r>
      <w:r>
        <w:rPr>
          <w:lang w:val="fr-FR"/>
        </w:rPr>
        <w:tab/>
        <w:t>« </w:t>
      </w:r>
      <w:r w:rsidR="00806CF7" w:rsidRPr="00E91460">
        <w:rPr>
          <w:lang w:val="fr-FR"/>
        </w:rPr>
        <w:t>Tableau 2.3.1</w:t>
      </w:r>
      <w:r>
        <w:rPr>
          <w:lang w:val="fr-FR"/>
        </w:rPr>
        <w:t> </w:t>
      </w:r>
      <w:r w:rsidR="00806CF7" w:rsidRPr="00E91460">
        <w:rPr>
          <w:lang w:val="fr-FR"/>
        </w:rPr>
        <w:t>: Éléments d</w:t>
      </w:r>
      <w:r w:rsidR="00E22482">
        <w:rPr>
          <w:lang w:val="fr-FR"/>
        </w:rPr>
        <w:t>’</w:t>
      </w:r>
      <w:r w:rsidR="00806CF7" w:rsidRPr="00E91460">
        <w:rPr>
          <w:lang w:val="fr-FR"/>
        </w:rPr>
        <w:t>étiquetage pour les aérosols</w:t>
      </w:r>
      <w:r>
        <w:rPr>
          <w:lang w:val="fr-FR"/>
        </w:rPr>
        <w:t> »</w:t>
      </w:r>
      <w:r w:rsidR="00806CF7" w:rsidRPr="00E91460">
        <w:rPr>
          <w:lang w:val="fr-FR"/>
        </w:rPr>
        <w:t>, modifier le titre comme suit</w:t>
      </w:r>
      <w:r>
        <w:rPr>
          <w:lang w:val="fr-FR"/>
        </w:rPr>
        <w:t> </w:t>
      </w:r>
      <w:r w:rsidR="00806CF7" w:rsidRPr="00E91460">
        <w:rPr>
          <w:lang w:val="fr-FR"/>
        </w:rPr>
        <w:t>:</w:t>
      </w:r>
    </w:p>
    <w:p w:rsidR="00891572" w:rsidRDefault="00806CF7" w:rsidP="004154B4">
      <w:pPr>
        <w:pStyle w:val="SingleTxtG"/>
        <w:rPr>
          <w:b/>
        </w:rPr>
      </w:pPr>
      <w:r w:rsidRPr="004154B4">
        <w:rPr>
          <w:b/>
        </w:rPr>
        <w:t>Tableau 2.3.</w:t>
      </w:r>
      <w:r w:rsidRPr="004154B4">
        <w:rPr>
          <w:b/>
          <w:strike/>
        </w:rPr>
        <w:t>1</w:t>
      </w:r>
      <w:r w:rsidRPr="004154B4">
        <w:rPr>
          <w:b/>
          <w:u w:val="single"/>
        </w:rPr>
        <w:t>2</w:t>
      </w:r>
      <w:r w:rsidR="004154B4" w:rsidRPr="004154B4">
        <w:rPr>
          <w:b/>
          <w:u w:val="single"/>
        </w:rPr>
        <w:t> </w:t>
      </w:r>
      <w:r w:rsidRPr="004154B4">
        <w:rPr>
          <w:b/>
        </w:rPr>
        <w:t>: Éléments d</w:t>
      </w:r>
      <w:r w:rsidR="00E22482">
        <w:rPr>
          <w:b/>
        </w:rPr>
        <w:t>’</w:t>
      </w:r>
      <w:r w:rsidRPr="004154B4">
        <w:rPr>
          <w:b/>
        </w:rPr>
        <w:t>étiquetage pour les aérosols</w:t>
      </w:r>
    </w:p>
    <w:p w:rsidR="004154B4" w:rsidRPr="004154B4" w:rsidRDefault="004154B4" w:rsidP="004154B4">
      <w:pPr>
        <w:pStyle w:val="SingleTxtG"/>
        <w:spacing w:before="240" w:after="0"/>
        <w:jc w:val="center"/>
        <w:rPr>
          <w:u w:val="single"/>
        </w:rPr>
      </w:pPr>
      <w:r>
        <w:rPr>
          <w:u w:val="single"/>
        </w:rPr>
        <w:tab/>
      </w:r>
      <w:r>
        <w:rPr>
          <w:u w:val="single"/>
        </w:rPr>
        <w:tab/>
      </w:r>
      <w:r>
        <w:rPr>
          <w:u w:val="single"/>
        </w:rPr>
        <w:tab/>
      </w:r>
    </w:p>
    <w:sectPr w:rsidR="004154B4" w:rsidRPr="004154B4" w:rsidSect="0089157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317" w:rsidRDefault="00BA0317" w:rsidP="00F95C08">
      <w:pPr>
        <w:spacing w:line="240" w:lineRule="auto"/>
      </w:pPr>
    </w:p>
  </w:endnote>
  <w:endnote w:type="continuationSeparator" w:id="0">
    <w:p w:rsidR="00BA0317" w:rsidRPr="00AC3823" w:rsidRDefault="00BA0317" w:rsidP="00AC3823">
      <w:pPr>
        <w:pStyle w:val="Footer"/>
      </w:pPr>
    </w:p>
  </w:endnote>
  <w:endnote w:type="continuationNotice" w:id="1">
    <w:p w:rsidR="00BA0317" w:rsidRDefault="00BA03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72" w:rsidRPr="00891572" w:rsidRDefault="00891572" w:rsidP="00891572">
    <w:pPr>
      <w:pStyle w:val="Footer"/>
      <w:tabs>
        <w:tab w:val="right" w:pos="9638"/>
      </w:tabs>
    </w:pPr>
    <w:r w:rsidRPr="00891572">
      <w:rPr>
        <w:b/>
        <w:sz w:val="18"/>
      </w:rPr>
      <w:fldChar w:fldCharType="begin"/>
    </w:r>
    <w:r w:rsidRPr="00891572">
      <w:rPr>
        <w:b/>
        <w:sz w:val="18"/>
      </w:rPr>
      <w:instrText xml:space="preserve"> PAGE  \* MERGEFORMAT </w:instrText>
    </w:r>
    <w:r w:rsidRPr="00891572">
      <w:rPr>
        <w:b/>
        <w:sz w:val="18"/>
      </w:rPr>
      <w:fldChar w:fldCharType="separate"/>
    </w:r>
    <w:r w:rsidR="00115246">
      <w:rPr>
        <w:b/>
        <w:noProof/>
        <w:sz w:val="18"/>
      </w:rPr>
      <w:t>4</w:t>
    </w:r>
    <w:r w:rsidRPr="00891572">
      <w:rPr>
        <w:b/>
        <w:sz w:val="18"/>
      </w:rPr>
      <w:fldChar w:fldCharType="end"/>
    </w:r>
    <w:r>
      <w:rPr>
        <w:b/>
        <w:sz w:val="18"/>
      </w:rPr>
      <w:tab/>
    </w:r>
    <w:r>
      <w:t>GE.18-05716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72" w:rsidRPr="00891572" w:rsidRDefault="00891572" w:rsidP="00891572">
    <w:pPr>
      <w:pStyle w:val="Footer"/>
      <w:tabs>
        <w:tab w:val="right" w:pos="9638"/>
      </w:tabs>
      <w:rPr>
        <w:b/>
        <w:sz w:val="18"/>
      </w:rPr>
    </w:pPr>
    <w:r>
      <w:t>GE.18-05716</w:t>
    </w:r>
    <w:r>
      <w:tab/>
    </w:r>
    <w:r w:rsidRPr="00891572">
      <w:rPr>
        <w:b/>
        <w:sz w:val="18"/>
      </w:rPr>
      <w:fldChar w:fldCharType="begin"/>
    </w:r>
    <w:r w:rsidRPr="00891572">
      <w:rPr>
        <w:b/>
        <w:sz w:val="18"/>
      </w:rPr>
      <w:instrText xml:space="preserve"> PAGE  \* MERGEFORMAT </w:instrText>
    </w:r>
    <w:r w:rsidRPr="00891572">
      <w:rPr>
        <w:b/>
        <w:sz w:val="18"/>
      </w:rPr>
      <w:fldChar w:fldCharType="separate"/>
    </w:r>
    <w:r w:rsidR="00115246">
      <w:rPr>
        <w:b/>
        <w:noProof/>
        <w:sz w:val="18"/>
      </w:rPr>
      <w:t>3</w:t>
    </w:r>
    <w:r w:rsidRPr="00891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91572" w:rsidRDefault="00891572" w:rsidP="00891572">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05716  (</w:t>
    </w:r>
    <w:proofErr w:type="gramEnd"/>
    <w:r>
      <w:rPr>
        <w:sz w:val="20"/>
      </w:rPr>
      <w:t>F)</w:t>
    </w:r>
    <w:r w:rsidR="00E22482">
      <w:rPr>
        <w:sz w:val="20"/>
      </w:rPr>
      <w:t xml:space="preserve">    030718    040718</w:t>
    </w:r>
    <w:r>
      <w:rPr>
        <w:sz w:val="20"/>
      </w:rPr>
      <w:br/>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sidRPr="0089157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317" w:rsidRPr="00AC3823" w:rsidRDefault="00BA0317" w:rsidP="00AC3823">
      <w:pPr>
        <w:pStyle w:val="Footer"/>
        <w:tabs>
          <w:tab w:val="right" w:pos="2155"/>
        </w:tabs>
        <w:spacing w:after="80" w:line="240" w:lineRule="atLeast"/>
        <w:ind w:left="680"/>
        <w:rPr>
          <w:u w:val="single"/>
        </w:rPr>
      </w:pPr>
      <w:r>
        <w:rPr>
          <w:u w:val="single"/>
        </w:rPr>
        <w:tab/>
      </w:r>
    </w:p>
  </w:footnote>
  <w:footnote w:type="continuationSeparator" w:id="0">
    <w:p w:rsidR="00BA0317" w:rsidRPr="00AC3823" w:rsidRDefault="00BA0317" w:rsidP="00AC3823">
      <w:pPr>
        <w:pStyle w:val="Footer"/>
        <w:tabs>
          <w:tab w:val="right" w:pos="2155"/>
        </w:tabs>
        <w:spacing w:after="80" w:line="240" w:lineRule="atLeast"/>
        <w:ind w:left="680"/>
        <w:rPr>
          <w:u w:val="single"/>
        </w:rPr>
      </w:pPr>
      <w:r>
        <w:rPr>
          <w:u w:val="single"/>
        </w:rPr>
        <w:tab/>
      </w:r>
    </w:p>
  </w:footnote>
  <w:footnote w:type="continuationNotice" w:id="1">
    <w:p w:rsidR="00BA0317" w:rsidRPr="00AC3823" w:rsidRDefault="00BA0317">
      <w:pPr>
        <w:spacing w:line="240" w:lineRule="auto"/>
        <w:rPr>
          <w:sz w:val="2"/>
          <w:szCs w:val="2"/>
        </w:rPr>
      </w:pPr>
    </w:p>
  </w:footnote>
  <w:footnote w:id="2">
    <w:p w:rsidR="00891572" w:rsidRPr="00891572" w:rsidRDefault="00891572">
      <w:pPr>
        <w:pStyle w:val="FootnoteText"/>
      </w:pPr>
      <w:r>
        <w:rPr>
          <w:rStyle w:val="FootnoteReference"/>
        </w:rPr>
        <w:tab/>
      </w:r>
      <w:r w:rsidRPr="00891572">
        <w:rPr>
          <w:rStyle w:val="FootnoteReference"/>
          <w:sz w:val="20"/>
          <w:vertAlign w:val="baseline"/>
        </w:rPr>
        <w:t>*</w:t>
      </w:r>
      <w:r>
        <w:rPr>
          <w:rStyle w:val="FootnoteReference"/>
          <w:sz w:val="20"/>
          <w:vertAlign w:val="baseline"/>
        </w:rPr>
        <w:tab/>
      </w:r>
      <w:r w:rsidRPr="00891572">
        <w:t xml:space="preserve">Conformément au programme de travail du </w:t>
      </w:r>
      <w:r w:rsidR="00EF5A98">
        <w:t>Sous-Comité pour la période 2017</w:t>
      </w:r>
      <w:r>
        <w:t>-</w:t>
      </w:r>
      <w:r w:rsidRPr="00891572">
        <w:t>2018, approuvé par le</w:t>
      </w:r>
      <w:r>
        <w:t> </w:t>
      </w:r>
      <w:r w:rsidRPr="00891572">
        <w:t>Comité à sa huitième session (voir ST/SG/AC.10/C.3/100, par.</w:t>
      </w:r>
      <w:r>
        <w:t> </w:t>
      </w:r>
      <w:r w:rsidRPr="00891572">
        <w:t>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72" w:rsidRPr="00891572" w:rsidRDefault="00115246">
    <w:pPr>
      <w:pStyle w:val="Header"/>
    </w:pPr>
    <w:r>
      <w:fldChar w:fldCharType="begin"/>
    </w:r>
    <w:r>
      <w:instrText xml:space="preserve"> TITLE  \* MERGEFORMAT </w:instrText>
    </w:r>
    <w:r>
      <w:fldChar w:fldCharType="separate"/>
    </w:r>
    <w:r>
      <w:t>ST/SG/AC.10/C.4/2018/9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72" w:rsidRPr="00891572" w:rsidRDefault="00115246" w:rsidP="00891572">
    <w:pPr>
      <w:pStyle w:val="Header"/>
      <w:jc w:val="right"/>
    </w:pPr>
    <w:r>
      <w:fldChar w:fldCharType="begin"/>
    </w:r>
    <w:r>
      <w:instrText xml:space="preserve"> TITLE  \* MERGEFORMAT </w:instrText>
    </w:r>
    <w:r>
      <w:fldChar w:fldCharType="separate"/>
    </w:r>
    <w:r>
      <w:t>ST/SG/AC.10/C.4/2018/9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CC76BBC"/>
    <w:multiLevelType w:val="hybridMultilevel"/>
    <w:tmpl w:val="3D287CEC"/>
    <w:lvl w:ilvl="0" w:tplc="100C0003">
      <w:start w:val="1"/>
      <w:numFmt w:val="bullet"/>
      <w:lvlText w:val="o"/>
      <w:lvlJc w:val="left"/>
      <w:pPr>
        <w:ind w:left="777" w:hanging="360"/>
      </w:pPr>
      <w:rPr>
        <w:rFonts w:ascii="Courier New" w:hAnsi="Courier New" w:cs="Courier New"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E682F99"/>
    <w:multiLevelType w:val="hybridMultilevel"/>
    <w:tmpl w:val="7AE8AAAA"/>
    <w:lvl w:ilvl="0" w:tplc="11E629BE">
      <w:start w:val="1"/>
      <w:numFmt w:val="bullet"/>
      <w:lvlText w:val=""/>
      <w:lvlJc w:val="left"/>
      <w:pPr>
        <w:ind w:left="1678" w:hanging="360"/>
      </w:pPr>
      <w:rPr>
        <w:rFonts w:ascii="Symbol" w:hAnsi="Symbol" w:hint="default"/>
        <w:sz w:val="16"/>
      </w:rPr>
    </w:lvl>
    <w:lvl w:ilvl="1" w:tplc="100C0003" w:tentative="1">
      <w:start w:val="1"/>
      <w:numFmt w:val="bullet"/>
      <w:lvlText w:val="o"/>
      <w:lvlJc w:val="left"/>
      <w:pPr>
        <w:ind w:left="2398" w:hanging="360"/>
      </w:pPr>
      <w:rPr>
        <w:rFonts w:ascii="Courier New" w:hAnsi="Courier New" w:cs="Courier New" w:hint="default"/>
      </w:rPr>
    </w:lvl>
    <w:lvl w:ilvl="2" w:tplc="100C0005" w:tentative="1">
      <w:start w:val="1"/>
      <w:numFmt w:val="bullet"/>
      <w:lvlText w:val=""/>
      <w:lvlJc w:val="left"/>
      <w:pPr>
        <w:ind w:left="3118" w:hanging="360"/>
      </w:pPr>
      <w:rPr>
        <w:rFonts w:ascii="Wingdings" w:hAnsi="Wingdings" w:hint="default"/>
      </w:rPr>
    </w:lvl>
    <w:lvl w:ilvl="3" w:tplc="100C0001" w:tentative="1">
      <w:start w:val="1"/>
      <w:numFmt w:val="bullet"/>
      <w:lvlText w:val=""/>
      <w:lvlJc w:val="left"/>
      <w:pPr>
        <w:ind w:left="3838" w:hanging="360"/>
      </w:pPr>
      <w:rPr>
        <w:rFonts w:ascii="Symbol" w:hAnsi="Symbol" w:hint="default"/>
      </w:rPr>
    </w:lvl>
    <w:lvl w:ilvl="4" w:tplc="100C0003" w:tentative="1">
      <w:start w:val="1"/>
      <w:numFmt w:val="bullet"/>
      <w:lvlText w:val="o"/>
      <w:lvlJc w:val="left"/>
      <w:pPr>
        <w:ind w:left="4558" w:hanging="360"/>
      </w:pPr>
      <w:rPr>
        <w:rFonts w:ascii="Courier New" w:hAnsi="Courier New" w:cs="Courier New" w:hint="default"/>
      </w:rPr>
    </w:lvl>
    <w:lvl w:ilvl="5" w:tplc="100C0005" w:tentative="1">
      <w:start w:val="1"/>
      <w:numFmt w:val="bullet"/>
      <w:lvlText w:val=""/>
      <w:lvlJc w:val="left"/>
      <w:pPr>
        <w:ind w:left="5278" w:hanging="360"/>
      </w:pPr>
      <w:rPr>
        <w:rFonts w:ascii="Wingdings" w:hAnsi="Wingdings" w:hint="default"/>
      </w:rPr>
    </w:lvl>
    <w:lvl w:ilvl="6" w:tplc="100C0001" w:tentative="1">
      <w:start w:val="1"/>
      <w:numFmt w:val="bullet"/>
      <w:lvlText w:val=""/>
      <w:lvlJc w:val="left"/>
      <w:pPr>
        <w:ind w:left="5998" w:hanging="360"/>
      </w:pPr>
      <w:rPr>
        <w:rFonts w:ascii="Symbol" w:hAnsi="Symbol" w:hint="default"/>
      </w:rPr>
    </w:lvl>
    <w:lvl w:ilvl="7" w:tplc="100C0003" w:tentative="1">
      <w:start w:val="1"/>
      <w:numFmt w:val="bullet"/>
      <w:lvlText w:val="o"/>
      <w:lvlJc w:val="left"/>
      <w:pPr>
        <w:ind w:left="6718" w:hanging="360"/>
      </w:pPr>
      <w:rPr>
        <w:rFonts w:ascii="Courier New" w:hAnsi="Courier New" w:cs="Courier New" w:hint="default"/>
      </w:rPr>
    </w:lvl>
    <w:lvl w:ilvl="8" w:tplc="100C0005" w:tentative="1">
      <w:start w:val="1"/>
      <w:numFmt w:val="bullet"/>
      <w:lvlText w:val=""/>
      <w:lvlJc w:val="left"/>
      <w:pPr>
        <w:ind w:left="7438" w:hanging="360"/>
      </w:pPr>
      <w:rPr>
        <w:rFonts w:ascii="Wingdings" w:hAnsi="Wingdings" w:hint="default"/>
      </w:rPr>
    </w:lvl>
  </w:abstractNum>
  <w:abstractNum w:abstractNumId="1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2"/>
  </w:num>
  <w:num w:numId="17">
    <w:abstractNumId w:val="13"/>
  </w:num>
  <w:num w:numId="18">
    <w:abstractNumId w:val="18"/>
  </w:num>
  <w:num w:numId="19">
    <w:abstractNumId w:val="15"/>
  </w:num>
  <w:num w:numId="20">
    <w:abstractNumId w:val="1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17"/>
    <w:rsid w:val="00017F94"/>
    <w:rsid w:val="00023842"/>
    <w:rsid w:val="000305D3"/>
    <w:rsid w:val="000334F9"/>
    <w:rsid w:val="0007796D"/>
    <w:rsid w:val="000B7790"/>
    <w:rsid w:val="000D5839"/>
    <w:rsid w:val="00111F2F"/>
    <w:rsid w:val="00115246"/>
    <w:rsid w:val="00132EA9"/>
    <w:rsid w:val="0014365E"/>
    <w:rsid w:val="00176178"/>
    <w:rsid w:val="001F525A"/>
    <w:rsid w:val="00223272"/>
    <w:rsid w:val="0024779E"/>
    <w:rsid w:val="00283190"/>
    <w:rsid w:val="002832AC"/>
    <w:rsid w:val="002D7C93"/>
    <w:rsid w:val="004154B4"/>
    <w:rsid w:val="00441C3B"/>
    <w:rsid w:val="00446FE5"/>
    <w:rsid w:val="00452396"/>
    <w:rsid w:val="004E468C"/>
    <w:rsid w:val="005505B7"/>
    <w:rsid w:val="00573BE5"/>
    <w:rsid w:val="00584DC4"/>
    <w:rsid w:val="00586ED3"/>
    <w:rsid w:val="00596AA9"/>
    <w:rsid w:val="00666581"/>
    <w:rsid w:val="0068456F"/>
    <w:rsid w:val="006D289A"/>
    <w:rsid w:val="006D2FFB"/>
    <w:rsid w:val="0071601D"/>
    <w:rsid w:val="007A62E6"/>
    <w:rsid w:val="0080684C"/>
    <w:rsid w:val="00806CF7"/>
    <w:rsid w:val="00871C75"/>
    <w:rsid w:val="008776DC"/>
    <w:rsid w:val="00891572"/>
    <w:rsid w:val="008B40CD"/>
    <w:rsid w:val="009705C8"/>
    <w:rsid w:val="009C1CF4"/>
    <w:rsid w:val="00A30353"/>
    <w:rsid w:val="00AC3823"/>
    <w:rsid w:val="00AE323C"/>
    <w:rsid w:val="00B00181"/>
    <w:rsid w:val="00B00B0D"/>
    <w:rsid w:val="00B765F7"/>
    <w:rsid w:val="00B76E34"/>
    <w:rsid w:val="00BA0317"/>
    <w:rsid w:val="00BA0CA9"/>
    <w:rsid w:val="00C02897"/>
    <w:rsid w:val="00C77A74"/>
    <w:rsid w:val="00CD5C42"/>
    <w:rsid w:val="00D3439C"/>
    <w:rsid w:val="00DB1831"/>
    <w:rsid w:val="00DD3BFD"/>
    <w:rsid w:val="00DF6678"/>
    <w:rsid w:val="00E22482"/>
    <w:rsid w:val="00EF2E22"/>
    <w:rsid w:val="00EF5A98"/>
    <w:rsid w:val="00F01738"/>
    <w:rsid w:val="00F156F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A16EDF-C6F1-4AF3-B3E9-A30061F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806CF7"/>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806CF7"/>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806CF7"/>
    <w:pPr>
      <w:kinsoku/>
      <w:overflowPunct/>
      <w:autoSpaceDE/>
      <w:autoSpaceDN/>
      <w:adjustRightInd/>
      <w:snapToGrid/>
      <w:ind w:left="720"/>
      <w:contextualSpacing/>
    </w:pPr>
    <w:rPr>
      <w:rFonts w:eastAsia="Times New Roman"/>
      <w:lang w:val="en-GB"/>
    </w:rPr>
  </w:style>
  <w:style w:type="paragraph" w:customStyle="1" w:styleId="GHSBodyText">
    <w:name w:val="GHSBody Text"/>
    <w:basedOn w:val="BodyText"/>
    <w:link w:val="GHSBodyTextChar"/>
    <w:rsid w:val="00806CF7"/>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val="en-GB"/>
    </w:rPr>
  </w:style>
  <w:style w:type="character" w:customStyle="1" w:styleId="GHSBodyTextChar">
    <w:name w:val="GHSBody Text Char"/>
    <w:link w:val="GHSBodyText"/>
    <w:rsid w:val="00806CF7"/>
    <w:rPr>
      <w:rFonts w:ascii="Times New Roman" w:hAnsi="Times New Roman" w:cs="Times New Roman"/>
      <w:szCs w:val="20"/>
      <w:lang w:val="en-GB" w:eastAsia="en-US"/>
    </w:rPr>
  </w:style>
  <w:style w:type="paragraph" w:styleId="BodyText">
    <w:name w:val="Body Text"/>
    <w:basedOn w:val="Normal"/>
    <w:link w:val="BodyTextChar"/>
    <w:uiPriority w:val="99"/>
    <w:semiHidden/>
    <w:unhideWhenUsed/>
    <w:rsid w:val="00806CF7"/>
    <w:pPr>
      <w:spacing w:after="120"/>
    </w:pPr>
  </w:style>
  <w:style w:type="character" w:customStyle="1" w:styleId="BodyTextChar">
    <w:name w:val="Body Text Char"/>
    <w:basedOn w:val="DefaultParagraphFont"/>
    <w:link w:val="BodyText"/>
    <w:uiPriority w:val="99"/>
    <w:semiHidden/>
    <w:rsid w:val="00806CF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7A6D-47A6-498F-A229-113B39E0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ST/SG/AC.10/C.4/2018/9</vt:lpstr>
      <vt:lpstr>ST/SG/AC.10/C.4/2018/9</vt:lpstr>
    </vt:vector>
  </TitlesOfParts>
  <Company>DCM</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ST/SG/AC.10/C.4/2018/9</dc:title>
  <dc:subject/>
  <dc:creator>Fabienne CRELIER</dc:creator>
  <cp:keywords/>
  <cp:lastModifiedBy>Laurence Berthet</cp:lastModifiedBy>
  <cp:revision>3</cp:revision>
  <cp:lastPrinted>2018-07-04T07:30:00Z</cp:lastPrinted>
  <dcterms:created xsi:type="dcterms:W3CDTF">2018-07-04T07:30:00Z</dcterms:created>
  <dcterms:modified xsi:type="dcterms:W3CDTF">2018-07-04T07:30:00Z</dcterms:modified>
</cp:coreProperties>
</file>