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53D705A3"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2F71C5">
              <w:rPr>
                <w:b/>
                <w:sz w:val="40"/>
                <w:szCs w:val="40"/>
              </w:rPr>
              <w:t>4</w:t>
            </w:r>
            <w:r w:rsidRPr="00A83451">
              <w:rPr>
                <w:b/>
                <w:sz w:val="40"/>
                <w:szCs w:val="40"/>
              </w:rPr>
              <w:t>/INF.</w:t>
            </w:r>
            <w:r w:rsidR="000F356F">
              <w:rPr>
                <w:b/>
                <w:sz w:val="40"/>
                <w:szCs w:val="40"/>
              </w:rPr>
              <w:t>49</w:t>
            </w:r>
          </w:p>
          <w:p w14:paraId="5D82F3A9" w14:textId="77777777" w:rsidR="000216CC" w:rsidRPr="000B491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5137"/>
        <w:gridCol w:w="4508"/>
      </w:tblGrid>
      <w:tr w:rsidR="00645A0B" w:rsidRPr="000B4919" w14:paraId="578C7ABA" w14:textId="77777777" w:rsidTr="00165735">
        <w:tc>
          <w:tcPr>
            <w:tcW w:w="9645" w:type="dxa"/>
            <w:gridSpan w:val="2"/>
            <w:tcMar>
              <w:top w:w="142" w:type="dxa"/>
              <w:left w:w="108" w:type="dxa"/>
              <w:bottom w:w="142" w:type="dxa"/>
              <w:right w:w="108" w:type="dxa"/>
            </w:tcMar>
          </w:tcPr>
          <w:p w14:paraId="4F930DFD" w14:textId="04721F88" w:rsidR="00645A0B" w:rsidRPr="000B4919" w:rsidRDefault="00645A0B" w:rsidP="00D66471">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D66471">
              <w:rPr>
                <w:b/>
              </w:rPr>
              <w:t>2</w:t>
            </w:r>
            <w:r w:rsidR="00673B7A">
              <w:rPr>
                <w:b/>
              </w:rPr>
              <w:t>9</w:t>
            </w:r>
            <w:r w:rsidR="00F212F7">
              <w:rPr>
                <w:b/>
              </w:rPr>
              <w:t xml:space="preserve"> </w:t>
            </w:r>
            <w:r w:rsidR="00D66471">
              <w:rPr>
                <w:b/>
              </w:rPr>
              <w:t>Nov</w:t>
            </w:r>
            <w:r w:rsidR="00F212F7">
              <w:rPr>
                <w:b/>
              </w:rPr>
              <w:t>ember 2018</w:t>
            </w:r>
          </w:p>
        </w:tc>
      </w:tr>
      <w:tr w:rsidR="00645A0B" w:rsidRPr="000B4919" w14:paraId="469535E0" w14:textId="77777777" w:rsidTr="00563D28">
        <w:tc>
          <w:tcPr>
            <w:tcW w:w="5137" w:type="dxa"/>
            <w:tcMar>
              <w:top w:w="57" w:type="dxa"/>
              <w:left w:w="108" w:type="dxa"/>
              <w:bottom w:w="0" w:type="dxa"/>
              <w:right w:w="108" w:type="dxa"/>
            </w:tcMar>
            <w:vAlign w:val="center"/>
          </w:tcPr>
          <w:p w14:paraId="434D06EA" w14:textId="07F35321" w:rsidR="00645A0B" w:rsidRPr="000B4919" w:rsidRDefault="00645A0B" w:rsidP="00165735">
            <w:pPr>
              <w:spacing w:before="120"/>
              <w:rPr>
                <w:b/>
              </w:rPr>
            </w:pPr>
            <w:r w:rsidRPr="000B4919">
              <w:rPr>
                <w:b/>
              </w:rPr>
              <w:t xml:space="preserve">Sub-Committee of Experts on the </w:t>
            </w:r>
            <w:r w:rsidR="002F71C5">
              <w:rPr>
                <w:b/>
              </w:rPr>
              <w:br/>
            </w:r>
            <w:r w:rsidRPr="000B4919">
              <w:rPr>
                <w:b/>
              </w:rPr>
              <w:t xml:space="preserve">Transport of Dangerous Goods </w:t>
            </w:r>
          </w:p>
        </w:tc>
        <w:tc>
          <w:tcPr>
            <w:tcW w:w="4508" w:type="dxa"/>
            <w:tcMar>
              <w:top w:w="57" w:type="dxa"/>
              <w:left w:w="108" w:type="dxa"/>
              <w:bottom w:w="0" w:type="dxa"/>
              <w:right w:w="108" w:type="dxa"/>
            </w:tcMar>
            <w:vAlign w:val="center"/>
          </w:tcPr>
          <w:p w14:paraId="7D0F1493" w14:textId="77777777" w:rsidR="00645A0B" w:rsidRPr="000B4919" w:rsidRDefault="00645A0B" w:rsidP="00165735">
            <w:pPr>
              <w:spacing w:before="120"/>
              <w:rPr>
                <w:b/>
              </w:rPr>
            </w:pPr>
          </w:p>
        </w:tc>
      </w:tr>
      <w:tr w:rsidR="00645A0B" w:rsidRPr="000B4919" w14:paraId="20BD5CB8" w14:textId="77777777" w:rsidTr="00563D28">
        <w:tc>
          <w:tcPr>
            <w:tcW w:w="5137" w:type="dxa"/>
            <w:tcMar>
              <w:top w:w="57" w:type="dxa"/>
              <w:left w:w="108" w:type="dxa"/>
              <w:bottom w:w="0" w:type="dxa"/>
              <w:right w:w="108" w:type="dxa"/>
            </w:tcMar>
          </w:tcPr>
          <w:p w14:paraId="6540B08F" w14:textId="43878ECB" w:rsidR="00645A0B" w:rsidRPr="00452149" w:rsidRDefault="00CE74ED" w:rsidP="00F64C95">
            <w:pPr>
              <w:spacing w:before="120"/>
              <w:ind w:left="34" w:hanging="34"/>
              <w:rPr>
                <w:b/>
              </w:rPr>
            </w:pPr>
            <w:r w:rsidRPr="00452149">
              <w:rPr>
                <w:b/>
              </w:rPr>
              <w:t>Fifty-</w:t>
            </w:r>
            <w:r w:rsidR="002F71C5" w:rsidRPr="00452149">
              <w:rPr>
                <w:b/>
              </w:rPr>
              <w:t>fourth</w:t>
            </w:r>
            <w:r w:rsidRPr="00452149">
              <w:rPr>
                <w:b/>
              </w:rPr>
              <w:t xml:space="preserve"> session</w:t>
            </w:r>
          </w:p>
        </w:tc>
        <w:tc>
          <w:tcPr>
            <w:tcW w:w="4508" w:type="dxa"/>
            <w:tcMar>
              <w:top w:w="57" w:type="dxa"/>
              <w:left w:w="108" w:type="dxa"/>
              <w:bottom w:w="0" w:type="dxa"/>
              <w:right w:w="108" w:type="dxa"/>
            </w:tcMar>
          </w:tcPr>
          <w:p w14:paraId="7DC24426" w14:textId="77777777" w:rsidR="00645A0B" w:rsidRPr="00AB3E21" w:rsidRDefault="00645A0B" w:rsidP="00CE74ED">
            <w:pPr>
              <w:spacing w:before="120"/>
              <w:ind w:left="34" w:hanging="34"/>
              <w:rPr>
                <w:b/>
                <w:highlight w:val="yellow"/>
              </w:rPr>
            </w:pPr>
          </w:p>
        </w:tc>
      </w:tr>
      <w:tr w:rsidR="00645A0B" w:rsidRPr="000B4919" w14:paraId="10114BD4" w14:textId="77777777" w:rsidTr="00563D28">
        <w:tc>
          <w:tcPr>
            <w:tcW w:w="5137" w:type="dxa"/>
            <w:tcMar>
              <w:top w:w="28" w:type="dxa"/>
              <w:left w:w="108" w:type="dxa"/>
              <w:bottom w:w="0" w:type="dxa"/>
              <w:right w:w="108" w:type="dxa"/>
            </w:tcMar>
          </w:tcPr>
          <w:p w14:paraId="1B9ABC83" w14:textId="36581050" w:rsidR="00CE74ED" w:rsidRPr="00452149" w:rsidRDefault="00CE74ED" w:rsidP="00CE74ED">
            <w:pPr>
              <w:tabs>
                <w:tab w:val="left" w:pos="6361"/>
                <w:tab w:val="left" w:pos="6939"/>
              </w:tabs>
              <w:spacing w:before="40"/>
              <w:outlineLvl w:val="0"/>
              <w:rPr>
                <w:bCs/>
              </w:rPr>
            </w:pPr>
            <w:r w:rsidRPr="00452149">
              <w:t>Geneva,</w:t>
            </w:r>
            <w:r w:rsidR="002F71C5" w:rsidRPr="00452149">
              <w:t xml:space="preserve"> 26 November</w:t>
            </w:r>
            <w:r w:rsidRPr="00452149">
              <w:t xml:space="preserve">-4 </w:t>
            </w:r>
            <w:r w:rsidR="002F71C5" w:rsidRPr="00452149">
              <w:t>December</w:t>
            </w:r>
            <w:r w:rsidRPr="00452149">
              <w:t xml:space="preserve"> 2018</w:t>
            </w:r>
          </w:p>
          <w:p w14:paraId="1A3EB3E0" w14:textId="27E48AF7" w:rsidR="00645A0B" w:rsidRPr="00452149" w:rsidRDefault="00A83451" w:rsidP="00EA48C4">
            <w:pPr>
              <w:spacing w:before="40"/>
              <w:ind w:left="34" w:hanging="34"/>
            </w:pPr>
            <w:r w:rsidRPr="00452149">
              <w:t xml:space="preserve">Item </w:t>
            </w:r>
            <w:r w:rsidR="00452149" w:rsidRPr="00452149">
              <w:t xml:space="preserve">2 (c) </w:t>
            </w:r>
            <w:r w:rsidRPr="00452149">
              <w:t>of the provisional agenda</w:t>
            </w:r>
          </w:p>
          <w:p w14:paraId="72875A62" w14:textId="4D8DC3EC" w:rsidR="00645A0B" w:rsidRPr="00452149" w:rsidRDefault="00452149" w:rsidP="000F356F">
            <w:pPr>
              <w:pStyle w:val="NormalWeb"/>
              <w:rPr>
                <w:b/>
                <w:bCs/>
              </w:rPr>
            </w:pPr>
            <w:r w:rsidRPr="00452149">
              <w:rPr>
                <w:b/>
                <w:bCs/>
                <w:sz w:val="20"/>
                <w:szCs w:val="20"/>
              </w:rPr>
              <w:t>Recommendations made by the Sub-Committee on its fifty-first, fifty-second and fifty-third sessions and pending issues:</w:t>
            </w:r>
            <w:r w:rsidR="000F356F">
              <w:rPr>
                <w:b/>
                <w:bCs/>
                <w:sz w:val="20"/>
                <w:szCs w:val="20"/>
              </w:rPr>
              <w:t xml:space="preserve"> </w:t>
            </w:r>
            <w:r w:rsidRPr="00452149">
              <w:rPr>
                <w:b/>
                <w:bCs/>
                <w:sz w:val="20"/>
                <w:szCs w:val="20"/>
              </w:rPr>
              <w:t xml:space="preserve">listing, classification and </w:t>
            </w:r>
            <w:r w:rsidR="00D66471">
              <w:rPr>
                <w:b/>
                <w:bCs/>
                <w:sz w:val="20"/>
                <w:szCs w:val="20"/>
              </w:rPr>
              <w:t>p</w:t>
            </w:r>
            <w:r w:rsidRPr="00452149">
              <w:rPr>
                <w:b/>
                <w:bCs/>
                <w:sz w:val="20"/>
                <w:szCs w:val="20"/>
              </w:rPr>
              <w:t>acking</w:t>
            </w:r>
          </w:p>
        </w:tc>
        <w:tc>
          <w:tcPr>
            <w:tcW w:w="4508" w:type="dxa"/>
            <w:tcMar>
              <w:top w:w="28" w:type="dxa"/>
              <w:left w:w="108" w:type="dxa"/>
              <w:bottom w:w="0" w:type="dxa"/>
              <w:right w:w="108" w:type="dxa"/>
            </w:tcMar>
          </w:tcPr>
          <w:p w14:paraId="4DA362C7" w14:textId="77777777" w:rsidR="00645A0B" w:rsidRPr="00AB3E21" w:rsidRDefault="00645A0B" w:rsidP="000B6AD1">
            <w:pPr>
              <w:spacing w:before="40"/>
              <w:rPr>
                <w:b/>
                <w:bCs/>
                <w:highlight w:val="yellow"/>
              </w:rPr>
            </w:pPr>
          </w:p>
        </w:tc>
      </w:tr>
    </w:tbl>
    <w:p w14:paraId="6523CB3C" w14:textId="77777777" w:rsidR="00D66471" w:rsidRDefault="00452149" w:rsidP="00D66471">
      <w:pPr>
        <w:pStyle w:val="HChG"/>
      </w:pPr>
      <w:r>
        <w:rPr>
          <w:lang w:val="en-US"/>
        </w:rPr>
        <w:tab/>
      </w:r>
      <w:r>
        <w:rPr>
          <w:lang w:val="en-US"/>
        </w:rPr>
        <w:tab/>
      </w:r>
      <w:r w:rsidR="00D66471">
        <w:rPr>
          <w:lang w:val="en-US"/>
        </w:rPr>
        <w:t>Technical names for environmentally hazardous goods of Class 9 (UN 3077 and UN 3082)</w:t>
      </w:r>
    </w:p>
    <w:p w14:paraId="2938A686" w14:textId="13B96441" w:rsidR="00D66471" w:rsidRDefault="00D66471" w:rsidP="00D66471">
      <w:pPr>
        <w:pStyle w:val="H1G"/>
      </w:pPr>
      <w:r>
        <w:rPr>
          <w:rFonts w:eastAsia="MS Mincho"/>
        </w:rPr>
        <w:tab/>
      </w:r>
      <w:r>
        <w:rPr>
          <w:rFonts w:eastAsia="MS Mincho"/>
        </w:rPr>
        <w:tab/>
      </w:r>
      <w:r>
        <w:t xml:space="preserve">Transmitted by the </w:t>
      </w:r>
      <w:r>
        <w:rPr>
          <w:rFonts w:eastAsia="MS Mincho"/>
        </w:rPr>
        <w:t>International Paint and Printing Ink Council (IPPIC)</w:t>
      </w:r>
    </w:p>
    <w:p w14:paraId="2DD5E9D0" w14:textId="77777777" w:rsidR="00452149" w:rsidRPr="006A1D67" w:rsidRDefault="00452149" w:rsidP="00452149">
      <w:pPr>
        <w:pStyle w:val="HChG"/>
        <w:rPr>
          <w:lang w:val="en-US"/>
        </w:rPr>
      </w:pPr>
      <w:r w:rsidRPr="006B4408">
        <w:tab/>
      </w:r>
      <w:r>
        <w:tab/>
      </w:r>
      <w:r w:rsidRPr="006A1D67">
        <w:rPr>
          <w:lang w:val="en-US"/>
        </w:rPr>
        <w:t>Introduction</w:t>
      </w:r>
    </w:p>
    <w:p w14:paraId="02778BD6" w14:textId="6F4EBBB4" w:rsidR="00452149" w:rsidRPr="005C5514" w:rsidRDefault="00452149" w:rsidP="00452149">
      <w:pPr>
        <w:pStyle w:val="SingleTxtG"/>
        <w:rPr>
          <w:lang w:val="en-GB"/>
        </w:rPr>
      </w:pPr>
      <w:r w:rsidRPr="005C5514">
        <w:rPr>
          <w:lang w:val="en-GB"/>
        </w:rPr>
        <w:t>1.</w:t>
      </w:r>
      <w:r w:rsidRPr="005C5514">
        <w:rPr>
          <w:lang w:val="en-GB"/>
        </w:rPr>
        <w:tab/>
      </w:r>
      <w:r w:rsidR="00D66471">
        <w:rPr>
          <w:lang w:val="en-GB"/>
        </w:rPr>
        <w:t xml:space="preserve">A lunchtime working group met on Wednesday 28 November to discuss the proposal by IPPIC in working document </w:t>
      </w:r>
      <w:r w:rsidR="00D66471" w:rsidRPr="00D66471">
        <w:rPr>
          <w:lang w:val="en-GB"/>
        </w:rPr>
        <w:t>2018/95</w:t>
      </w:r>
      <w:r w:rsidR="00D66471">
        <w:rPr>
          <w:lang w:val="en-GB"/>
        </w:rPr>
        <w:t xml:space="preserve"> and to find an alternative approach to include provisions in the Model Regulations for technical names in the context of UN 3077 and UN 3082.</w:t>
      </w:r>
    </w:p>
    <w:p w14:paraId="093485B4" w14:textId="65541CF4" w:rsidR="007E2870" w:rsidRDefault="00452149" w:rsidP="00CD54C3">
      <w:pPr>
        <w:pStyle w:val="SingleTxtG"/>
        <w:rPr>
          <w:lang w:val="en-GB"/>
        </w:rPr>
      </w:pPr>
      <w:r w:rsidRPr="005C5514">
        <w:rPr>
          <w:lang w:val="en-GB"/>
        </w:rPr>
        <w:t>2.</w:t>
      </w:r>
      <w:r w:rsidRPr="005C5514">
        <w:rPr>
          <w:lang w:val="en-GB"/>
        </w:rPr>
        <w:tab/>
      </w:r>
      <w:r w:rsidR="00FD6738">
        <w:rPr>
          <w:lang w:val="en-GB"/>
        </w:rPr>
        <w:t>A preference was expressed for an approach which would apply generally and not require the creation of new special provisions or frequent amendments.</w:t>
      </w:r>
    </w:p>
    <w:p w14:paraId="66E79727" w14:textId="317162EB" w:rsidR="00FD6738" w:rsidRDefault="00FD6738" w:rsidP="00CD54C3">
      <w:pPr>
        <w:pStyle w:val="SingleTxtG"/>
        <w:rPr>
          <w:lang w:val="en-GB"/>
        </w:rPr>
      </w:pPr>
      <w:r>
        <w:rPr>
          <w:lang w:val="en-GB"/>
        </w:rPr>
        <w:t>3.</w:t>
      </w:r>
      <w:r>
        <w:rPr>
          <w:lang w:val="en-GB"/>
        </w:rPr>
        <w:tab/>
        <w:t xml:space="preserve">The group noted that UN 3077 and UN 3082 are frequently used for </w:t>
      </w:r>
      <w:r w:rsidR="00F10E35">
        <w:rPr>
          <w:lang w:val="en-GB"/>
        </w:rPr>
        <w:t xml:space="preserve">a (relatively small) number of </w:t>
      </w:r>
      <w:r>
        <w:rPr>
          <w:lang w:val="en-GB"/>
        </w:rPr>
        <w:t>commodity products which appear elsewhere in the Dangerous Goods List when classified under a hazard class other than Class 9 (e.g. Class 3 for paints, perfumery products etc.).  In the latter case there is no requirement for a technical name, and safety is adequately assured by the generic name identifying the product together with the relevant transport conditions.</w:t>
      </w:r>
      <w:r w:rsidR="00F10E35">
        <w:rPr>
          <w:lang w:val="en-GB"/>
        </w:rPr>
        <w:t xml:space="preserve">  This should be equally true for those commodities when classified as environmentally hazardous under Class 9.</w:t>
      </w:r>
    </w:p>
    <w:p w14:paraId="7806C2D1" w14:textId="791C7DD8" w:rsidR="00F10E35" w:rsidRDefault="00F10E35" w:rsidP="00CD54C3">
      <w:pPr>
        <w:pStyle w:val="SingleTxtG"/>
        <w:rPr>
          <w:lang w:val="en-GB"/>
        </w:rPr>
      </w:pPr>
      <w:r>
        <w:rPr>
          <w:lang w:val="en-GB"/>
        </w:rPr>
        <w:t>4</w:t>
      </w:r>
      <w:r w:rsidR="007E2870">
        <w:rPr>
          <w:lang w:val="en-GB"/>
        </w:rPr>
        <w:t>.</w:t>
      </w:r>
      <w:r w:rsidR="007E2870">
        <w:rPr>
          <w:lang w:val="en-GB"/>
        </w:rPr>
        <w:tab/>
      </w:r>
      <w:r w:rsidR="00D66471">
        <w:rPr>
          <w:lang w:val="en-GB"/>
        </w:rPr>
        <w:t>Following a constructive</w:t>
      </w:r>
      <w:r w:rsidR="00563D28">
        <w:rPr>
          <w:lang w:val="en-GB"/>
        </w:rPr>
        <w:t xml:space="preserve"> discussion on how to identify </w:t>
      </w:r>
      <w:r w:rsidR="00D66471">
        <w:rPr>
          <w:lang w:val="en-GB"/>
        </w:rPr>
        <w:t xml:space="preserve">generic names </w:t>
      </w:r>
      <w:r w:rsidR="00673B7A">
        <w:rPr>
          <w:lang w:val="en-GB"/>
        </w:rPr>
        <w:t>that</w:t>
      </w:r>
      <w:r w:rsidR="00D66471">
        <w:rPr>
          <w:lang w:val="en-GB"/>
        </w:rPr>
        <w:t xml:space="preserve"> are appropriate </w:t>
      </w:r>
      <w:r w:rsidR="007E2870">
        <w:rPr>
          <w:lang w:val="en-GB"/>
        </w:rPr>
        <w:t>for use as technical names</w:t>
      </w:r>
      <w:r w:rsidR="00D66471">
        <w:rPr>
          <w:lang w:val="en-GB"/>
        </w:rPr>
        <w:t xml:space="preserve">, and </w:t>
      </w:r>
      <w:r w:rsidR="007E2870">
        <w:rPr>
          <w:lang w:val="en-GB"/>
        </w:rPr>
        <w:t xml:space="preserve">also </w:t>
      </w:r>
      <w:r w:rsidR="00D66471">
        <w:rPr>
          <w:lang w:val="en-GB"/>
        </w:rPr>
        <w:t xml:space="preserve">how to </w:t>
      </w:r>
      <w:r w:rsidR="007E2870">
        <w:rPr>
          <w:lang w:val="en-GB"/>
        </w:rPr>
        <w:t>exclude</w:t>
      </w:r>
      <w:r w:rsidR="00CD54C3">
        <w:rPr>
          <w:lang w:val="en-GB"/>
        </w:rPr>
        <w:t xml:space="preserve"> </w:t>
      </w:r>
      <w:r w:rsidR="00D66471">
        <w:rPr>
          <w:lang w:val="en-GB"/>
        </w:rPr>
        <w:t xml:space="preserve">those </w:t>
      </w:r>
      <w:r w:rsidR="007E2870">
        <w:rPr>
          <w:lang w:val="en-GB"/>
        </w:rPr>
        <w:t>that</w:t>
      </w:r>
      <w:r w:rsidR="00D66471">
        <w:rPr>
          <w:lang w:val="en-GB"/>
        </w:rPr>
        <w:t xml:space="preserve"> </w:t>
      </w:r>
      <w:r w:rsidR="00CD54C3">
        <w:rPr>
          <w:lang w:val="en-GB"/>
        </w:rPr>
        <w:t>would be</w:t>
      </w:r>
      <w:r w:rsidR="00D66471">
        <w:rPr>
          <w:lang w:val="en-GB"/>
        </w:rPr>
        <w:t xml:space="preserve"> unsuitable, the working group concluded that </w:t>
      </w:r>
      <w:r w:rsidR="00563D28">
        <w:rPr>
          <w:lang w:val="en-GB"/>
        </w:rPr>
        <w:t xml:space="preserve">this would be best addressed through an amendment to special provision 274, which is proposed below for </w:t>
      </w:r>
      <w:r>
        <w:rPr>
          <w:lang w:val="en-GB"/>
        </w:rPr>
        <w:t xml:space="preserve">the </w:t>
      </w:r>
      <w:r w:rsidR="00563D28">
        <w:rPr>
          <w:lang w:val="en-GB"/>
        </w:rPr>
        <w:t xml:space="preserve">consideration </w:t>
      </w:r>
      <w:r>
        <w:rPr>
          <w:lang w:val="en-GB"/>
        </w:rPr>
        <w:t>of</w:t>
      </w:r>
      <w:r w:rsidR="00563D28">
        <w:rPr>
          <w:lang w:val="en-GB"/>
        </w:rPr>
        <w:t xml:space="preserve"> the Sub-Committee.</w:t>
      </w:r>
      <w:r w:rsidR="007E2870">
        <w:rPr>
          <w:lang w:val="en-GB"/>
        </w:rPr>
        <w:t xml:space="preserve">  </w:t>
      </w:r>
    </w:p>
    <w:p w14:paraId="3F3C37DB" w14:textId="1EC54481" w:rsidR="00452149" w:rsidRDefault="00F10E35" w:rsidP="00CD54C3">
      <w:pPr>
        <w:pStyle w:val="SingleTxtG"/>
        <w:rPr>
          <w:lang w:val="en-GB"/>
        </w:rPr>
      </w:pPr>
      <w:r>
        <w:rPr>
          <w:lang w:val="en-GB"/>
        </w:rPr>
        <w:t>5.</w:t>
      </w:r>
      <w:r>
        <w:rPr>
          <w:lang w:val="en-GB"/>
        </w:rPr>
        <w:tab/>
      </w:r>
      <w:r w:rsidR="007E2870">
        <w:rPr>
          <w:lang w:val="en-GB"/>
        </w:rPr>
        <w:t xml:space="preserve">The proposed amendment </w:t>
      </w:r>
      <w:r>
        <w:rPr>
          <w:lang w:val="en-GB"/>
        </w:rPr>
        <w:t>has the additional advantage of assisting</w:t>
      </w:r>
      <w:r w:rsidR="007E2870">
        <w:rPr>
          <w:lang w:val="en-GB"/>
        </w:rPr>
        <w:t xml:space="preserve"> </w:t>
      </w:r>
      <w:r w:rsidR="00FD6738">
        <w:rPr>
          <w:lang w:val="en-GB"/>
        </w:rPr>
        <w:t>identification</w:t>
      </w:r>
      <w:r w:rsidR="007E2870">
        <w:rPr>
          <w:lang w:val="en-GB"/>
        </w:rPr>
        <w:t xml:space="preserve"> of </w:t>
      </w:r>
      <w:r>
        <w:rPr>
          <w:lang w:val="en-GB"/>
        </w:rPr>
        <w:t xml:space="preserve">recognised </w:t>
      </w:r>
      <w:r w:rsidR="00FD6738">
        <w:rPr>
          <w:lang w:val="en-GB"/>
        </w:rPr>
        <w:t xml:space="preserve">chemical (group) names </w:t>
      </w:r>
      <w:r>
        <w:rPr>
          <w:lang w:val="en-GB"/>
        </w:rPr>
        <w:t>in the Dangerous Goods List that may be used as technical names.  In all cases the name which best describes the nature of the product is to be used, in accordance with the established principle of the Model Regulations (as in 2.0.2.8).</w:t>
      </w:r>
    </w:p>
    <w:p w14:paraId="7A3F554D" w14:textId="6B46AE11" w:rsidR="00563D28" w:rsidRPr="005C5514" w:rsidRDefault="00563D28" w:rsidP="00563D28">
      <w:pPr>
        <w:pStyle w:val="HChG"/>
        <w:rPr>
          <w:lang w:val="en-GB"/>
        </w:rPr>
      </w:pPr>
      <w:r>
        <w:rPr>
          <w:lang w:val="en-US"/>
        </w:rPr>
        <w:lastRenderedPageBreak/>
        <w:tab/>
      </w:r>
      <w:r>
        <w:rPr>
          <w:lang w:val="en-US"/>
        </w:rPr>
        <w:tab/>
        <w:t>Proposal</w:t>
      </w:r>
    </w:p>
    <w:p w14:paraId="2400DD07" w14:textId="40285A16" w:rsidR="00563D28" w:rsidRPr="00563D28" w:rsidRDefault="00F10E35" w:rsidP="00563D28">
      <w:pPr>
        <w:pStyle w:val="SingleTxtG"/>
      </w:pPr>
      <w:r>
        <w:rPr>
          <w:lang w:val="en-GB"/>
        </w:rPr>
        <w:t>6</w:t>
      </w:r>
      <w:r w:rsidR="00452149" w:rsidRPr="005C5514">
        <w:rPr>
          <w:lang w:val="en-GB"/>
        </w:rPr>
        <w:t>.</w:t>
      </w:r>
      <w:r w:rsidR="00452149" w:rsidRPr="005C5514">
        <w:rPr>
          <w:lang w:val="en-GB"/>
        </w:rPr>
        <w:tab/>
      </w:r>
      <w:r w:rsidR="00563D28" w:rsidRPr="00563D28">
        <w:t xml:space="preserve">Amend special provision 274 as follows (added text </w:t>
      </w:r>
      <w:r w:rsidR="00563D28" w:rsidRPr="00563D28">
        <w:rPr>
          <w:u w:val="single"/>
        </w:rPr>
        <w:t>underlined</w:t>
      </w:r>
      <w:r w:rsidR="00563D28" w:rsidRPr="00563D28">
        <w:t>):</w:t>
      </w:r>
    </w:p>
    <w:p w14:paraId="639CC080" w14:textId="77777777" w:rsidR="00B47FAA" w:rsidRDefault="00563D28" w:rsidP="000F356F">
      <w:pPr>
        <w:pStyle w:val="SingleTxtG"/>
        <w:ind w:left="1701"/>
      </w:pPr>
      <w:r w:rsidRPr="00563D28">
        <w:t>“</w:t>
      </w:r>
      <w:r>
        <w:t>274</w:t>
      </w:r>
      <w:r>
        <w:tab/>
      </w:r>
      <w:r w:rsidRPr="00563D28">
        <w:t xml:space="preserve">For the purposes of documentation and package marking, the proper shipping name shall be supplemented with the technical name (see 3.1.2.8).  </w:t>
      </w:r>
    </w:p>
    <w:p w14:paraId="502C0B6A" w14:textId="6170FA8E" w:rsidR="00563D28" w:rsidRPr="00563D28" w:rsidRDefault="00563D28" w:rsidP="00B47FAA">
      <w:pPr>
        <w:pStyle w:val="SingleTxtG"/>
        <w:ind w:left="1701"/>
        <w:rPr>
          <w:u w:val="single"/>
        </w:rPr>
      </w:pPr>
      <w:r w:rsidRPr="00563D28">
        <w:rPr>
          <w:u w:val="single"/>
        </w:rPr>
        <w:t xml:space="preserve">For UN 3077 and UN 3082 only, the technical name may be a name shown in capital letters in column 2 of the Dangerous Goods List, provided </w:t>
      </w:r>
      <w:r w:rsidR="000C1B82">
        <w:rPr>
          <w:u w:val="single"/>
          <w:lang w:val="en-GB"/>
        </w:rPr>
        <w:t xml:space="preserve">that </w:t>
      </w:r>
      <w:r w:rsidRPr="00563D28">
        <w:rPr>
          <w:u w:val="single"/>
        </w:rPr>
        <w:t xml:space="preserve">this name does not include “N.O.S.” and </w:t>
      </w:r>
      <w:r w:rsidR="000C1B82">
        <w:rPr>
          <w:u w:val="single"/>
          <w:lang w:val="en-GB"/>
        </w:rPr>
        <w:t xml:space="preserve">that </w:t>
      </w:r>
      <w:r w:rsidRPr="00563D28">
        <w:rPr>
          <w:u w:val="single"/>
        </w:rPr>
        <w:t>special provision 274 is not assigned.  The name which most appropriately describes the substance or mixture shall be used, e.g.:</w:t>
      </w:r>
    </w:p>
    <w:p w14:paraId="44BED25A" w14:textId="77777777" w:rsidR="00563D28" w:rsidRPr="00563D28" w:rsidRDefault="00563D28" w:rsidP="00563D28">
      <w:pPr>
        <w:pStyle w:val="SingleTxtG"/>
        <w:ind w:left="1701"/>
        <w:rPr>
          <w:u w:val="single"/>
        </w:rPr>
      </w:pPr>
      <w:r w:rsidRPr="00563D28">
        <w:rPr>
          <w:u w:val="single"/>
        </w:rPr>
        <w:t>UN 3082, ENVIRONMENTALLY HAZARDOUS SUBSTANCE, LIQUID, N.O.S., (PAINT)</w:t>
      </w:r>
      <w:bookmarkStart w:id="0" w:name="_GoBack"/>
      <w:bookmarkEnd w:id="0"/>
    </w:p>
    <w:p w14:paraId="362ACCE3" w14:textId="77777777" w:rsidR="00CD54C3" w:rsidRDefault="00563D28" w:rsidP="00CD54C3">
      <w:pPr>
        <w:pStyle w:val="SingleTxtG"/>
        <w:ind w:left="1701"/>
      </w:pPr>
      <w:r w:rsidRPr="00563D28">
        <w:rPr>
          <w:u w:val="single"/>
        </w:rPr>
        <w:t>UN 3082, ENVIRONMENTALLY HAZARDOUS SUBSTANCE, LIQUID, N.O.S., (PERFUMERY PRODUCTS)</w:t>
      </w:r>
      <w:r w:rsidRPr="00563D28">
        <w:t>”</w:t>
      </w:r>
    </w:p>
    <w:p w14:paraId="48DCD169" w14:textId="5B89E32C" w:rsidR="00452149" w:rsidRPr="008672C6" w:rsidRDefault="00CD54C3" w:rsidP="00CD54C3">
      <w:pPr>
        <w:pStyle w:val="SingleTxtG"/>
        <w:ind w:left="1701"/>
        <w:jc w:val="center"/>
        <w:rPr>
          <w:sz w:val="24"/>
          <w:szCs w:val="24"/>
          <w:u w:val="single"/>
          <w:lang w:val="en-US"/>
        </w:rPr>
      </w:pPr>
      <w:r>
        <w:rPr>
          <w:sz w:val="24"/>
          <w:szCs w:val="24"/>
          <w:u w:val="single"/>
          <w:lang w:val="en-US"/>
        </w:rPr>
        <w:tab/>
      </w:r>
      <w:r>
        <w:rPr>
          <w:sz w:val="24"/>
          <w:szCs w:val="24"/>
          <w:u w:val="single"/>
          <w:lang w:val="en-US"/>
        </w:rPr>
        <w:tab/>
      </w:r>
      <w:r>
        <w:rPr>
          <w:sz w:val="24"/>
          <w:szCs w:val="24"/>
          <w:u w:val="single"/>
          <w:lang w:val="en-US"/>
        </w:rPr>
        <w:tab/>
      </w:r>
    </w:p>
    <w:sectPr w:rsidR="00452149" w:rsidRPr="008672C6" w:rsidSect="0039260F">
      <w:headerReference w:type="even" r:id="rId8"/>
      <w:headerReference w:type="default" r:id="rId9"/>
      <w:footerReference w:type="even" r:id="rId10"/>
      <w:footerReference w:type="default" r:id="rId11"/>
      <w:headerReference w:type="first" r:id="rId12"/>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57AF" w14:textId="77777777" w:rsidR="00D66471" w:rsidRDefault="00D66471"/>
  </w:endnote>
  <w:endnote w:type="continuationSeparator" w:id="0">
    <w:p w14:paraId="5E3936CC" w14:textId="77777777" w:rsidR="00D66471" w:rsidRDefault="00D66471"/>
  </w:endnote>
  <w:endnote w:type="continuationNotice" w:id="1">
    <w:p w14:paraId="6DEA5DB7" w14:textId="77777777" w:rsidR="00D66471" w:rsidRDefault="00D66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397B148A" w:rsidR="00D66471" w:rsidRPr="00F257D1" w:rsidRDefault="00D66471" w:rsidP="002F71C5">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673B7A">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77777777" w:rsidR="00D66471" w:rsidRPr="000216CC" w:rsidRDefault="00D6647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63D28">
      <w:rPr>
        <w:b/>
        <w:noProof/>
        <w:sz w:val="18"/>
      </w:rPr>
      <w:t>31</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9EE" w14:textId="77777777" w:rsidR="00D66471" w:rsidRPr="000B175B" w:rsidRDefault="00D66471" w:rsidP="000B175B">
      <w:pPr>
        <w:tabs>
          <w:tab w:val="right" w:pos="2155"/>
        </w:tabs>
        <w:spacing w:after="80"/>
        <w:ind w:left="680"/>
        <w:rPr>
          <w:u w:val="single"/>
        </w:rPr>
      </w:pPr>
      <w:r>
        <w:rPr>
          <w:u w:val="single"/>
        </w:rPr>
        <w:tab/>
      </w:r>
    </w:p>
  </w:footnote>
  <w:footnote w:type="continuationSeparator" w:id="0">
    <w:p w14:paraId="2FC96ADD" w14:textId="77777777" w:rsidR="00D66471" w:rsidRPr="00FC68B7" w:rsidRDefault="00D66471" w:rsidP="00FC68B7">
      <w:pPr>
        <w:tabs>
          <w:tab w:val="left" w:pos="2155"/>
        </w:tabs>
        <w:spacing w:after="80"/>
        <w:ind w:left="680"/>
        <w:rPr>
          <w:u w:val="single"/>
        </w:rPr>
      </w:pPr>
      <w:r>
        <w:rPr>
          <w:u w:val="single"/>
        </w:rPr>
        <w:tab/>
      </w:r>
    </w:p>
  </w:footnote>
  <w:footnote w:type="continuationNotice" w:id="1">
    <w:p w14:paraId="18F5B217" w14:textId="77777777" w:rsidR="00D66471" w:rsidRDefault="00D66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6237A727" w:rsidR="00D66471" w:rsidRPr="00B5392B" w:rsidRDefault="00D66471">
    <w:pPr>
      <w:pStyle w:val="Header"/>
      <w:rPr>
        <w:lang w:val="nl-NL"/>
      </w:rPr>
    </w:pPr>
    <w:r>
      <w:rPr>
        <w:lang w:val="nl-NL"/>
      </w:rPr>
      <w:t>UN/SCETDG/54</w:t>
    </w:r>
    <w:r w:rsidRPr="00460B22">
      <w:rPr>
        <w:lang w:val="nl-NL"/>
      </w:rPr>
      <w:t>/INF.</w:t>
    </w:r>
    <w:r w:rsidR="000F356F">
      <w:rPr>
        <w:lang w:val="nl-NL"/>
      </w:rPr>
      <w:t>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05702AA4" w:rsidR="00D66471" w:rsidRPr="000216CC" w:rsidRDefault="00D66471" w:rsidP="000216CC">
    <w:pPr>
      <w:pStyle w:val="Header"/>
      <w:jc w:val="right"/>
    </w:pPr>
    <w:r w:rsidRPr="0059131E">
      <w:t>UN/SCETDG/</w:t>
    </w:r>
    <w:r>
      <w:t>54</w:t>
    </w:r>
    <w:r w:rsidRPr="0059131E">
      <w:t>/INF.</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00780A0B" w:rsidR="00D66471" w:rsidRDefault="00D66471"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D5562"/>
    <w:multiLevelType w:val="hybridMultilevel"/>
    <w:tmpl w:val="CA0EFF30"/>
    <w:lvl w:ilvl="0" w:tplc="065AF5DE">
      <w:start w:val="1"/>
      <w:numFmt w:val="decimal"/>
      <w:lvlText w:val="%1."/>
      <w:lvlJc w:val="left"/>
      <w:pPr>
        <w:ind w:left="2823" w:hanging="55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DA51CA"/>
    <w:multiLevelType w:val="hybridMultilevel"/>
    <w:tmpl w:val="3D0EC1EC"/>
    <w:lvl w:ilvl="0" w:tplc="9F6C5C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0DE5509"/>
    <w:multiLevelType w:val="hybridMultilevel"/>
    <w:tmpl w:val="F09E84AE"/>
    <w:lvl w:ilvl="0" w:tplc="E3527F60">
      <w:start w:val="15"/>
      <w:numFmt w:val="decimal"/>
      <w:lvlText w:val="%1."/>
      <w:lvlJc w:val="left"/>
      <w:pPr>
        <w:ind w:left="1314" w:hanging="180"/>
      </w:pPr>
      <w:rPr>
        <w:rFonts w:hint="default"/>
      </w:rPr>
    </w:lvl>
    <w:lvl w:ilvl="1" w:tplc="04090019" w:tentative="1">
      <w:start w:val="1"/>
      <w:numFmt w:val="lowerLetter"/>
      <w:lvlText w:val="%2."/>
      <w:lvlJc w:val="left"/>
      <w:pPr>
        <w:ind w:left="873" w:hanging="360"/>
      </w:pPr>
    </w:lvl>
    <w:lvl w:ilvl="2" w:tplc="E9560FFE">
      <w:start w:val="1"/>
      <w:numFmt w:val="decimal"/>
      <w:lvlText w:val="%3."/>
      <w:lvlJc w:val="left"/>
      <w:pPr>
        <w:ind w:left="1593" w:hanging="180"/>
      </w:pPr>
      <w:rPr>
        <w:rFonts w:hint="default"/>
      </w:r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9E73BC"/>
    <w:multiLevelType w:val="hybridMultilevel"/>
    <w:tmpl w:val="77BE566A"/>
    <w:lvl w:ilvl="0" w:tplc="065AF5DE">
      <w:start w:val="1"/>
      <w:numFmt w:val="decimal"/>
      <w:lvlText w:val="%1."/>
      <w:lvlJc w:val="left"/>
      <w:pPr>
        <w:ind w:left="2823" w:hanging="555"/>
      </w:pPr>
      <w:rPr>
        <w:rFonts w:hint="default"/>
      </w:rPr>
    </w:lvl>
    <w:lvl w:ilvl="1" w:tplc="04090019" w:tentative="1">
      <w:start w:val="1"/>
      <w:numFmt w:val="lowerLetter"/>
      <w:lvlText w:val="%2."/>
      <w:lvlJc w:val="left"/>
      <w:pPr>
        <w:ind w:left="1440" w:hanging="360"/>
      </w:pPr>
    </w:lvl>
    <w:lvl w:ilvl="2" w:tplc="065AF5D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0C5535"/>
    <w:multiLevelType w:val="hybridMultilevel"/>
    <w:tmpl w:val="CB700CAA"/>
    <w:lvl w:ilvl="0" w:tplc="AA10B628">
      <w:start w:val="17"/>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6673C"/>
    <w:multiLevelType w:val="hybridMultilevel"/>
    <w:tmpl w:val="5FFA753C"/>
    <w:lvl w:ilvl="0" w:tplc="E3527F60">
      <w:start w:val="15"/>
      <w:numFmt w:val="decimal"/>
      <w:lvlText w:val="%1."/>
      <w:lvlJc w:val="left"/>
      <w:pPr>
        <w:ind w:left="1881"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1"/>
  </w:num>
  <w:num w:numId="14">
    <w:abstractNumId w:val="18"/>
  </w:num>
  <w:num w:numId="15">
    <w:abstractNumId w:val="20"/>
  </w:num>
  <w:num w:numId="16">
    <w:abstractNumId w:val="12"/>
  </w:num>
  <w:num w:numId="17">
    <w:abstractNumId w:val="17"/>
  </w:num>
  <w:num w:numId="18">
    <w:abstractNumId w:val="10"/>
  </w:num>
  <w:num w:numId="19">
    <w:abstractNumId w:val="15"/>
  </w:num>
  <w:num w:numId="20">
    <w:abstractNumId w:val="19"/>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B82"/>
    <w:rsid w:val="000C1ED8"/>
    <w:rsid w:val="000C5D4B"/>
    <w:rsid w:val="000C717F"/>
    <w:rsid w:val="000D0B8F"/>
    <w:rsid w:val="000D481F"/>
    <w:rsid w:val="000D6D97"/>
    <w:rsid w:val="000D7830"/>
    <w:rsid w:val="000E0415"/>
    <w:rsid w:val="000F0347"/>
    <w:rsid w:val="000F356F"/>
    <w:rsid w:val="000F52D6"/>
    <w:rsid w:val="000F6A20"/>
    <w:rsid w:val="001016E7"/>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4934"/>
    <w:rsid w:val="00295C28"/>
    <w:rsid w:val="002976CF"/>
    <w:rsid w:val="002A0BD2"/>
    <w:rsid w:val="002A5B17"/>
    <w:rsid w:val="002B067A"/>
    <w:rsid w:val="002B1514"/>
    <w:rsid w:val="002B1CDA"/>
    <w:rsid w:val="002C7F25"/>
    <w:rsid w:val="002D25C7"/>
    <w:rsid w:val="002D5A85"/>
    <w:rsid w:val="002D5C7D"/>
    <w:rsid w:val="002E35BB"/>
    <w:rsid w:val="002F68FD"/>
    <w:rsid w:val="002F71C5"/>
    <w:rsid w:val="003107FA"/>
    <w:rsid w:val="00313AC2"/>
    <w:rsid w:val="00315D73"/>
    <w:rsid w:val="00316FF9"/>
    <w:rsid w:val="00321716"/>
    <w:rsid w:val="003229D8"/>
    <w:rsid w:val="00327D0A"/>
    <w:rsid w:val="003517C3"/>
    <w:rsid w:val="00355502"/>
    <w:rsid w:val="00356BC7"/>
    <w:rsid w:val="00357A20"/>
    <w:rsid w:val="00362531"/>
    <w:rsid w:val="00372F06"/>
    <w:rsid w:val="00391647"/>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149"/>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3D28"/>
    <w:rsid w:val="0056615B"/>
    <w:rsid w:val="00567DFB"/>
    <w:rsid w:val="00571DAA"/>
    <w:rsid w:val="00572210"/>
    <w:rsid w:val="0058129D"/>
    <w:rsid w:val="00590144"/>
    <w:rsid w:val="0059131E"/>
    <w:rsid w:val="0059682C"/>
    <w:rsid w:val="005A64DD"/>
    <w:rsid w:val="005B09F0"/>
    <w:rsid w:val="005B0CED"/>
    <w:rsid w:val="005B3DB3"/>
    <w:rsid w:val="005B528A"/>
    <w:rsid w:val="005C1359"/>
    <w:rsid w:val="005C4CB5"/>
    <w:rsid w:val="005D0C6C"/>
    <w:rsid w:val="005D1BB4"/>
    <w:rsid w:val="005D7906"/>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3B7A"/>
    <w:rsid w:val="00675F87"/>
    <w:rsid w:val="00685BBB"/>
    <w:rsid w:val="00690CD6"/>
    <w:rsid w:val="006A3932"/>
    <w:rsid w:val="006A63E3"/>
    <w:rsid w:val="006A7392"/>
    <w:rsid w:val="006B1C55"/>
    <w:rsid w:val="006C0D34"/>
    <w:rsid w:val="006C1D1A"/>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2DC6"/>
    <w:rsid w:val="00786434"/>
    <w:rsid w:val="00790791"/>
    <w:rsid w:val="00796F36"/>
    <w:rsid w:val="007A2CDB"/>
    <w:rsid w:val="007A62EC"/>
    <w:rsid w:val="007B1A7E"/>
    <w:rsid w:val="007B1F9B"/>
    <w:rsid w:val="007B2BA8"/>
    <w:rsid w:val="007B6BA5"/>
    <w:rsid w:val="007C2C0D"/>
    <w:rsid w:val="007C3162"/>
    <w:rsid w:val="007C3390"/>
    <w:rsid w:val="007C4F4B"/>
    <w:rsid w:val="007C644D"/>
    <w:rsid w:val="007D7BC6"/>
    <w:rsid w:val="007E2870"/>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6716D"/>
    <w:rsid w:val="00871FD5"/>
    <w:rsid w:val="00881213"/>
    <w:rsid w:val="008830CC"/>
    <w:rsid w:val="00894156"/>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70F32"/>
    <w:rsid w:val="009713A5"/>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3E21"/>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47FAA"/>
    <w:rsid w:val="00B5392B"/>
    <w:rsid w:val="00B71E2B"/>
    <w:rsid w:val="00B73DA8"/>
    <w:rsid w:val="00B74F7C"/>
    <w:rsid w:val="00B75E05"/>
    <w:rsid w:val="00B81E12"/>
    <w:rsid w:val="00B84AAC"/>
    <w:rsid w:val="00B90F54"/>
    <w:rsid w:val="00B91CC3"/>
    <w:rsid w:val="00B92A0C"/>
    <w:rsid w:val="00B93068"/>
    <w:rsid w:val="00BB176D"/>
    <w:rsid w:val="00BB3A7B"/>
    <w:rsid w:val="00BB3B28"/>
    <w:rsid w:val="00BC74E9"/>
    <w:rsid w:val="00BD2077"/>
    <w:rsid w:val="00BE1FF8"/>
    <w:rsid w:val="00BE50CA"/>
    <w:rsid w:val="00BE618E"/>
    <w:rsid w:val="00C0263F"/>
    <w:rsid w:val="00C03B44"/>
    <w:rsid w:val="00C05987"/>
    <w:rsid w:val="00C10822"/>
    <w:rsid w:val="00C13A85"/>
    <w:rsid w:val="00C218A4"/>
    <w:rsid w:val="00C31519"/>
    <w:rsid w:val="00C36D37"/>
    <w:rsid w:val="00C463DD"/>
    <w:rsid w:val="00C46D5B"/>
    <w:rsid w:val="00C537D5"/>
    <w:rsid w:val="00C62F76"/>
    <w:rsid w:val="00C66D78"/>
    <w:rsid w:val="00C745C3"/>
    <w:rsid w:val="00C81212"/>
    <w:rsid w:val="00C84FF1"/>
    <w:rsid w:val="00C85E65"/>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D54C3"/>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3B1B"/>
    <w:rsid w:val="00D658FA"/>
    <w:rsid w:val="00D66471"/>
    <w:rsid w:val="00D730E3"/>
    <w:rsid w:val="00D753D8"/>
    <w:rsid w:val="00D80BA4"/>
    <w:rsid w:val="00D9274F"/>
    <w:rsid w:val="00D96248"/>
    <w:rsid w:val="00D96CC5"/>
    <w:rsid w:val="00D978C6"/>
    <w:rsid w:val="00D97B77"/>
    <w:rsid w:val="00D97C4D"/>
    <w:rsid w:val="00DA1876"/>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0E35"/>
    <w:rsid w:val="00F1200D"/>
    <w:rsid w:val="00F212F7"/>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738"/>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357175"/>
  <w15:docId w15:val="{869495D7-E57A-47B3-971F-D4E5C196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 w:type="character" w:customStyle="1" w:styleId="BodyText3Char">
    <w:name w:val="Body Text 3 Char"/>
    <w:link w:val="BodyText3"/>
    <w:rsid w:val="00452149"/>
    <w:rPr>
      <w:sz w:val="16"/>
      <w:szCs w:val="16"/>
      <w:lang w:val="en-GB"/>
    </w:rPr>
  </w:style>
  <w:style w:type="character" w:customStyle="1" w:styleId="Heading2Char">
    <w:name w:val="Heading 2 Char"/>
    <w:link w:val="Heading2"/>
    <w:rsid w:val="00452149"/>
    <w:rPr>
      <w:lang w:val="en-GB"/>
    </w:rPr>
  </w:style>
  <w:style w:type="character" w:customStyle="1" w:styleId="Heading7Char">
    <w:name w:val="Heading 7 Char"/>
    <w:link w:val="Heading7"/>
    <w:rsid w:val="00452149"/>
    <w:rPr>
      <w:lang w:val="en-GB"/>
    </w:rPr>
  </w:style>
  <w:style w:type="table" w:customStyle="1" w:styleId="Tabellenraster1">
    <w:name w:val="Tabellenraster1"/>
    <w:basedOn w:val="TableNormal"/>
    <w:next w:val="TableGrid"/>
    <w:uiPriority w:val="59"/>
    <w:rsid w:val="00452149"/>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452149"/>
    <w:pPr>
      <w:suppressAutoHyphens w:val="0"/>
      <w:spacing w:before="100" w:beforeAutospacing="1" w:after="100" w:afterAutospacing="1" w:line="240" w:lineRule="auto"/>
    </w:pPr>
    <w:rPr>
      <w:rFonts w:ascii="Calibri" w:hAnsi="Calibri" w:cs="Calibri"/>
      <w:color w:val="008080"/>
      <w:sz w:val="16"/>
      <w:szCs w:val="16"/>
      <w:u w:val="single"/>
      <w:lang w:val="es-ES" w:eastAsia="es-ES"/>
    </w:rPr>
  </w:style>
  <w:style w:type="paragraph" w:customStyle="1" w:styleId="font7">
    <w:name w:val="font7"/>
    <w:basedOn w:val="Normal"/>
    <w:rsid w:val="00452149"/>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8">
    <w:name w:val="font8"/>
    <w:basedOn w:val="Normal"/>
    <w:rsid w:val="00452149"/>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9">
    <w:name w:val="font9"/>
    <w:basedOn w:val="Normal"/>
    <w:rsid w:val="00452149"/>
    <w:pPr>
      <w:suppressAutoHyphens w:val="0"/>
      <w:spacing w:before="100" w:beforeAutospacing="1" w:after="100" w:afterAutospacing="1" w:line="240" w:lineRule="auto"/>
    </w:pPr>
    <w:rPr>
      <w:rFonts w:ascii="Calibri" w:hAnsi="Calibri" w:cs="Calibri"/>
      <w:color w:val="FF0000"/>
      <w:sz w:val="16"/>
      <w:szCs w:val="16"/>
      <w:u w:val="single"/>
      <w:lang w:val="es-ES" w:eastAsia="es-ES"/>
    </w:rPr>
  </w:style>
  <w:style w:type="paragraph" w:customStyle="1" w:styleId="font10">
    <w:name w:val="font10"/>
    <w:basedOn w:val="Normal"/>
    <w:rsid w:val="00452149"/>
    <w:pPr>
      <w:suppressAutoHyphens w:val="0"/>
      <w:spacing w:before="100" w:beforeAutospacing="1" w:after="100" w:afterAutospacing="1" w:line="240" w:lineRule="auto"/>
    </w:pPr>
    <w:rPr>
      <w:rFonts w:ascii="Calibri" w:hAnsi="Calibri" w:cs="Calibri"/>
      <w:color w:val="FF0000"/>
      <w:sz w:val="16"/>
      <w:szCs w:val="16"/>
      <w:lang w:val="es-ES" w:eastAsia="es-ES"/>
    </w:rPr>
  </w:style>
  <w:style w:type="paragraph" w:customStyle="1" w:styleId="font11">
    <w:name w:val="font11"/>
    <w:basedOn w:val="Normal"/>
    <w:rsid w:val="00452149"/>
    <w:pPr>
      <w:suppressAutoHyphens w:val="0"/>
      <w:spacing w:before="100" w:beforeAutospacing="1" w:after="100" w:afterAutospacing="1" w:line="240" w:lineRule="auto"/>
    </w:pPr>
    <w:rPr>
      <w:rFonts w:ascii="Calibri" w:hAnsi="Calibri" w:cs="Calibri"/>
      <w:color w:val="31869B"/>
      <w:sz w:val="16"/>
      <w:szCs w:val="16"/>
      <w:u w:val="single"/>
      <w:lang w:val="es-ES" w:eastAsia="es-ES"/>
    </w:rPr>
  </w:style>
  <w:style w:type="paragraph" w:customStyle="1" w:styleId="font12">
    <w:name w:val="font12"/>
    <w:basedOn w:val="Normal"/>
    <w:rsid w:val="00452149"/>
    <w:pPr>
      <w:suppressAutoHyphens w:val="0"/>
      <w:spacing w:before="100" w:beforeAutospacing="1" w:after="100" w:afterAutospacing="1" w:line="240" w:lineRule="auto"/>
    </w:pPr>
    <w:rPr>
      <w:rFonts w:ascii="Calibri" w:hAnsi="Calibri" w:cs="Calibri"/>
      <w:b/>
      <w:bCs/>
      <w:color w:val="FF0000"/>
      <w:sz w:val="16"/>
      <w:szCs w:val="16"/>
      <w:lang w:val="es-ES" w:eastAsia="es-ES"/>
    </w:rPr>
  </w:style>
  <w:style w:type="paragraph" w:customStyle="1" w:styleId="font13">
    <w:name w:val="font13"/>
    <w:basedOn w:val="Normal"/>
    <w:rsid w:val="00452149"/>
    <w:pPr>
      <w:suppressAutoHyphens w:val="0"/>
      <w:spacing w:before="100" w:beforeAutospacing="1" w:after="100" w:afterAutospacing="1" w:line="240" w:lineRule="auto"/>
    </w:pPr>
    <w:rPr>
      <w:rFonts w:ascii="Calibri" w:hAnsi="Calibri" w:cs="Calibri"/>
      <w:b/>
      <w:bCs/>
      <w:color w:val="008080"/>
      <w:sz w:val="16"/>
      <w:szCs w:val="16"/>
      <w:u w:val="single"/>
      <w:lang w:val="es-ES" w:eastAsia="es-ES"/>
    </w:rPr>
  </w:style>
  <w:style w:type="paragraph" w:customStyle="1" w:styleId="font14">
    <w:name w:val="font14"/>
    <w:basedOn w:val="Normal"/>
    <w:rsid w:val="00452149"/>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15">
    <w:name w:val="font15"/>
    <w:basedOn w:val="Normal"/>
    <w:rsid w:val="00452149"/>
    <w:pPr>
      <w:suppressAutoHyphens w:val="0"/>
      <w:spacing w:before="100" w:beforeAutospacing="1" w:after="100" w:afterAutospacing="1" w:line="240" w:lineRule="auto"/>
    </w:pPr>
    <w:rPr>
      <w:rFonts w:ascii="Calibri" w:hAnsi="Calibri" w:cs="Calibri"/>
      <w:b/>
      <w:bCs/>
      <w:color w:val="000000"/>
      <w:sz w:val="16"/>
      <w:szCs w:val="16"/>
      <w:lang w:val="es-ES" w:eastAsia="es-ES"/>
    </w:rPr>
  </w:style>
  <w:style w:type="paragraph" w:customStyle="1" w:styleId="font16">
    <w:name w:val="font16"/>
    <w:basedOn w:val="Normal"/>
    <w:rsid w:val="00452149"/>
    <w:pPr>
      <w:suppressAutoHyphens w:val="0"/>
      <w:spacing w:before="100" w:beforeAutospacing="1" w:after="100" w:afterAutospacing="1" w:line="240" w:lineRule="auto"/>
    </w:pPr>
    <w:rPr>
      <w:rFonts w:ascii="Calibri" w:hAnsi="Calibri" w:cs="Calibri"/>
      <w:b/>
      <w:bCs/>
      <w:color w:val="31869B"/>
      <w:sz w:val="16"/>
      <w:szCs w:val="16"/>
      <w:u w:val="single"/>
      <w:lang w:val="es-ES" w:eastAsia="es-ES"/>
    </w:rPr>
  </w:style>
  <w:style w:type="paragraph" w:customStyle="1" w:styleId="font17">
    <w:name w:val="font17"/>
    <w:basedOn w:val="Normal"/>
    <w:rsid w:val="00452149"/>
    <w:pPr>
      <w:suppressAutoHyphens w:val="0"/>
      <w:spacing w:before="100" w:beforeAutospacing="1" w:after="100" w:afterAutospacing="1" w:line="240" w:lineRule="auto"/>
    </w:pPr>
    <w:rPr>
      <w:rFonts w:ascii="Calibri" w:hAnsi="Calibri" w:cs="Calibri"/>
      <w:sz w:val="16"/>
      <w:szCs w:val="16"/>
      <w:lang w:val="es-ES" w:eastAsia="es-ES"/>
    </w:rPr>
  </w:style>
  <w:style w:type="paragraph" w:customStyle="1" w:styleId="font18">
    <w:name w:val="font18"/>
    <w:basedOn w:val="Normal"/>
    <w:rsid w:val="00452149"/>
    <w:pPr>
      <w:suppressAutoHyphens w:val="0"/>
      <w:spacing w:before="100" w:beforeAutospacing="1" w:after="100" w:afterAutospacing="1" w:line="240" w:lineRule="auto"/>
    </w:pPr>
    <w:rPr>
      <w:rFonts w:ascii="Calibri" w:hAnsi="Calibri" w:cs="Calibri"/>
      <w:color w:val="000000"/>
      <w:sz w:val="16"/>
      <w:szCs w:val="16"/>
      <w:u w:val="single"/>
      <w:lang w:val="es-ES" w:eastAsia="es-ES"/>
    </w:rPr>
  </w:style>
  <w:style w:type="paragraph" w:customStyle="1" w:styleId="font19">
    <w:name w:val="font19"/>
    <w:basedOn w:val="Normal"/>
    <w:rsid w:val="00452149"/>
    <w:pPr>
      <w:suppressAutoHyphens w:val="0"/>
      <w:spacing w:before="100" w:beforeAutospacing="1" w:after="100" w:afterAutospacing="1" w:line="240" w:lineRule="auto"/>
    </w:pPr>
    <w:rPr>
      <w:rFonts w:ascii="Calibri" w:hAnsi="Calibri" w:cs="Calibri"/>
      <w:sz w:val="16"/>
      <w:szCs w:val="16"/>
      <w:u w:val="single"/>
      <w:lang w:val="es-ES" w:eastAsia="es-ES"/>
    </w:rPr>
  </w:style>
  <w:style w:type="paragraph" w:customStyle="1" w:styleId="font20">
    <w:name w:val="font20"/>
    <w:basedOn w:val="Normal"/>
    <w:rsid w:val="00452149"/>
    <w:pPr>
      <w:suppressAutoHyphens w:val="0"/>
      <w:spacing w:before="100" w:beforeAutospacing="1" w:after="100" w:afterAutospacing="1" w:line="240" w:lineRule="auto"/>
    </w:pPr>
    <w:rPr>
      <w:rFonts w:ascii="Calibri" w:hAnsi="Calibri" w:cs="Calibri"/>
      <w:color w:val="31869B"/>
      <w:sz w:val="16"/>
      <w:szCs w:val="16"/>
      <w:lang w:val="es-ES" w:eastAsia="es-ES"/>
    </w:rPr>
  </w:style>
  <w:style w:type="paragraph" w:customStyle="1" w:styleId="font21">
    <w:name w:val="font21"/>
    <w:basedOn w:val="Normal"/>
    <w:rsid w:val="00452149"/>
    <w:pPr>
      <w:suppressAutoHyphens w:val="0"/>
      <w:spacing w:before="100" w:beforeAutospacing="1" w:after="100" w:afterAutospacing="1" w:line="240" w:lineRule="auto"/>
    </w:pPr>
    <w:rPr>
      <w:rFonts w:ascii="Calibri" w:hAnsi="Calibri" w:cs="Calibri"/>
      <w:b/>
      <w:bCs/>
      <w:sz w:val="16"/>
      <w:szCs w:val="16"/>
      <w:lang w:val="es-ES" w:eastAsia="es-ES"/>
    </w:rPr>
  </w:style>
  <w:style w:type="paragraph" w:customStyle="1" w:styleId="xl63">
    <w:name w:val="xl63"/>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16"/>
      <w:szCs w:val="16"/>
      <w:lang w:val="es-ES" w:eastAsia="es-ES"/>
    </w:rPr>
  </w:style>
  <w:style w:type="paragraph" w:customStyle="1" w:styleId="xl64">
    <w:name w:val="xl64"/>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16"/>
      <w:szCs w:val="16"/>
      <w:lang w:val="es-ES" w:eastAsia="es-ES"/>
    </w:rPr>
  </w:style>
  <w:style w:type="paragraph" w:customStyle="1" w:styleId="xl65">
    <w:name w:val="xl65"/>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FF0000"/>
      <w:sz w:val="16"/>
      <w:szCs w:val="16"/>
      <w:lang w:val="es-ES" w:eastAsia="es-ES"/>
    </w:rPr>
  </w:style>
  <w:style w:type="paragraph" w:customStyle="1" w:styleId="xl66">
    <w:name w:val="xl66"/>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16"/>
      <w:szCs w:val="16"/>
      <w:lang w:val="es-ES" w:eastAsia="es-ES"/>
    </w:rPr>
  </w:style>
  <w:style w:type="paragraph" w:customStyle="1" w:styleId="xl67">
    <w:name w:val="xl67"/>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val="es-ES" w:eastAsia="es-ES"/>
    </w:rPr>
  </w:style>
  <w:style w:type="paragraph" w:customStyle="1" w:styleId="xl68">
    <w:name w:val="xl68"/>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s-ES" w:eastAsia="es-ES"/>
    </w:rPr>
  </w:style>
  <w:style w:type="paragraph" w:customStyle="1" w:styleId="xl69">
    <w:name w:val="xl69"/>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B050"/>
      <w:sz w:val="16"/>
      <w:szCs w:val="16"/>
      <w:lang w:val="es-ES" w:eastAsia="es-ES"/>
    </w:rPr>
  </w:style>
  <w:style w:type="paragraph" w:customStyle="1" w:styleId="xl70">
    <w:name w:val="xl70"/>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sz w:val="16"/>
      <w:szCs w:val="16"/>
      <w:lang w:val="es-ES" w:eastAsia="es-ES"/>
    </w:rPr>
  </w:style>
  <w:style w:type="paragraph" w:customStyle="1" w:styleId="xl71">
    <w:name w:val="xl71"/>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sz w:val="16"/>
      <w:szCs w:val="16"/>
      <w:lang w:val="es-ES" w:eastAsia="es-ES"/>
    </w:rPr>
  </w:style>
  <w:style w:type="paragraph" w:customStyle="1" w:styleId="xl72">
    <w:name w:val="xl72"/>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8080"/>
      <w:sz w:val="16"/>
      <w:szCs w:val="16"/>
      <w:u w:val="single"/>
      <w:lang w:val="es-ES" w:eastAsia="es-ES"/>
    </w:rPr>
  </w:style>
  <w:style w:type="paragraph" w:customStyle="1" w:styleId="xl73">
    <w:name w:val="xl73"/>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31869B"/>
      <w:sz w:val="16"/>
      <w:szCs w:val="16"/>
      <w:u w:val="single"/>
      <w:lang w:val="es-ES" w:eastAsia="es-ES"/>
    </w:rPr>
  </w:style>
  <w:style w:type="paragraph" w:customStyle="1" w:styleId="xl74">
    <w:name w:val="xl74"/>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0000"/>
      <w:sz w:val="16"/>
      <w:szCs w:val="16"/>
      <w:lang w:val="es-ES" w:eastAsia="es-ES"/>
    </w:rPr>
  </w:style>
  <w:style w:type="paragraph" w:customStyle="1" w:styleId="font22">
    <w:name w:val="font22"/>
    <w:basedOn w:val="Normal"/>
    <w:rsid w:val="00452149"/>
    <w:pPr>
      <w:suppressAutoHyphens w:val="0"/>
      <w:spacing w:before="100" w:beforeAutospacing="1" w:after="100" w:afterAutospacing="1" w:line="240" w:lineRule="auto"/>
    </w:pPr>
    <w:rPr>
      <w:rFonts w:ascii="Calibri" w:hAnsi="Calibri" w:cs="Calibri"/>
      <w:color w:val="FF0000"/>
      <w:lang w:val="es-ES" w:eastAsia="es-ES"/>
    </w:rPr>
  </w:style>
  <w:style w:type="paragraph" w:customStyle="1" w:styleId="font23">
    <w:name w:val="font23"/>
    <w:basedOn w:val="Normal"/>
    <w:rsid w:val="00452149"/>
    <w:pPr>
      <w:suppressAutoHyphens w:val="0"/>
      <w:spacing w:before="100" w:beforeAutospacing="1" w:after="100" w:afterAutospacing="1" w:line="240" w:lineRule="auto"/>
    </w:pPr>
    <w:rPr>
      <w:rFonts w:ascii="Calibri" w:hAnsi="Calibri" w:cs="Calibri"/>
      <w:color w:val="008080"/>
      <w:u w:val="single"/>
      <w:lang w:val="es-ES" w:eastAsia="es-ES"/>
    </w:rPr>
  </w:style>
  <w:style w:type="paragraph" w:customStyle="1" w:styleId="xl75">
    <w:name w:val="xl75"/>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538">
      <w:bodyDiv w:val="1"/>
      <w:marLeft w:val="0"/>
      <w:marRight w:val="0"/>
      <w:marTop w:val="0"/>
      <w:marBottom w:val="0"/>
      <w:divBdr>
        <w:top w:val="none" w:sz="0" w:space="0" w:color="auto"/>
        <w:left w:val="none" w:sz="0" w:space="0" w:color="auto"/>
        <w:bottom w:val="none" w:sz="0" w:space="0" w:color="auto"/>
        <w:right w:val="none" w:sz="0" w:space="0" w:color="auto"/>
      </w:divBdr>
    </w:div>
    <w:div w:id="20799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9906-702D-46E9-A339-974618F8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2018-11-29T07:04:00Z</cp:lastPrinted>
  <dcterms:created xsi:type="dcterms:W3CDTF">2018-11-29T07:03:00Z</dcterms:created>
  <dcterms:modified xsi:type="dcterms:W3CDTF">2018-11-29T07:05:00Z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