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9"/>
      </w:tblGrid>
      <w:tr w:rsidR="006A183A">
        <w:trPr>
          <w:cantSplit/>
          <w:trHeight w:hRule="exact" w:val="851"/>
        </w:trPr>
        <w:tc>
          <w:tcPr>
            <w:tcW w:w="9659" w:type="dxa"/>
            <w:tcBorders>
              <w:bottom w:val="single" w:sz="4" w:space="0" w:color="auto"/>
            </w:tcBorders>
            <w:vAlign w:val="bottom"/>
          </w:tcPr>
          <w:p w:rsidR="006A183A" w:rsidRDefault="005F3B1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UN/SCETDG/54/INF.36</w:t>
            </w:r>
          </w:p>
        </w:tc>
      </w:tr>
      <w:tr w:rsidR="006A183A">
        <w:trPr>
          <w:cantSplit/>
          <w:trHeight w:val="2906"/>
        </w:trPr>
        <w:tc>
          <w:tcPr>
            <w:tcW w:w="9659" w:type="dxa"/>
            <w:tcBorders>
              <w:top w:val="single" w:sz="4" w:space="0" w:color="auto"/>
            </w:tcBorders>
          </w:tcPr>
          <w:p w:rsidR="006A183A" w:rsidRDefault="005F3B1A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>
              <w:rPr>
                <w:b/>
                <w:sz w:val="24"/>
                <w:szCs w:val="24"/>
                <w:lang w:val="en-US"/>
              </w:rPr>
              <w:br/>
            </w:r>
            <w:r>
              <w:rPr>
                <w:b/>
                <w:sz w:val="24"/>
                <w:szCs w:val="24"/>
                <w:lang w:val="en-US"/>
              </w:rPr>
              <w:t xml:space="preserve">and Labelling of Chemicals </w:t>
            </w:r>
          </w:p>
          <w:p w:rsidR="006A183A" w:rsidRDefault="005F3B1A">
            <w:pPr>
              <w:tabs>
                <w:tab w:val="left" w:pos="7513"/>
              </w:tabs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Sub-Committee of Experts on the Transport of Dangerous Goods</w:t>
            </w:r>
            <w:r>
              <w:rPr>
                <w:b/>
                <w:lang w:val="en-US"/>
              </w:rPr>
              <w:tab/>
              <w:t>21 November 2018</w:t>
            </w:r>
            <w:r>
              <w:rPr>
                <w:b/>
                <w:lang w:val="en-US"/>
              </w:rPr>
              <w:tab/>
            </w:r>
          </w:p>
          <w:p w:rsidR="006A183A" w:rsidRDefault="005F3B1A">
            <w:pPr>
              <w:tabs>
                <w:tab w:val="left" w:pos="8000"/>
              </w:tabs>
              <w:spacing w:before="120"/>
              <w:rPr>
                <w:b/>
              </w:rPr>
            </w:pPr>
            <w:r>
              <w:rPr>
                <w:b/>
              </w:rPr>
              <w:t>Fifty-fourth session</w:t>
            </w:r>
          </w:p>
          <w:p w:rsidR="006A183A" w:rsidRDefault="005F3B1A">
            <w:pPr>
              <w:rPr>
                <w:b/>
              </w:rPr>
            </w:pPr>
            <w:r>
              <w:t>Geneva, 26 November-4 December 2018</w:t>
            </w:r>
          </w:p>
          <w:p w:rsidR="006A183A" w:rsidRDefault="005F3B1A">
            <w:r>
              <w:t>Item 2 (f) of the provisional agenda</w:t>
            </w:r>
          </w:p>
          <w:p w:rsidR="006A183A" w:rsidRDefault="005F3B1A">
            <w:pPr>
              <w:rPr>
                <w:b/>
              </w:rPr>
            </w:pPr>
            <w:r>
              <w:rPr>
                <w:b/>
              </w:rPr>
              <w:t xml:space="preserve">Recommendations made by the Sub-Committee on its fifty-first, </w:t>
            </w:r>
          </w:p>
          <w:p w:rsidR="006A183A" w:rsidRDefault="005F3B1A">
            <w:pPr>
              <w:rPr>
                <w:b/>
              </w:rPr>
            </w:pPr>
            <w:r>
              <w:rPr>
                <w:b/>
              </w:rPr>
              <w:t>fifty-second and fifty-third sessions and pending issues:</w:t>
            </w:r>
          </w:p>
          <w:p w:rsidR="006A183A" w:rsidRDefault="005F3B1A">
            <w:pPr>
              <w:rPr>
                <w:b/>
              </w:rPr>
            </w:pPr>
            <w:r>
              <w:rPr>
                <w:b/>
              </w:rPr>
              <w:t>miscellaneous pending issues</w:t>
            </w:r>
          </w:p>
          <w:p w:rsidR="006A183A" w:rsidRDefault="006A183A">
            <w:pPr>
              <w:pStyle w:val="Default"/>
              <w:rPr>
                <w:b/>
              </w:rPr>
            </w:pPr>
          </w:p>
        </w:tc>
      </w:tr>
    </w:tbl>
    <w:p w:rsidR="006A183A" w:rsidRDefault="005F3B1A">
      <w:pPr>
        <w:pStyle w:val="HChG"/>
      </w:pPr>
      <w:r>
        <w:tab/>
      </w:r>
      <w:r>
        <w:tab/>
        <w:t xml:space="preserve">Comment to ST/SG/AC.10/C.3/2018/71: proposal to include special provision 653 of the ADR in the Model </w:t>
      </w:r>
      <w:r>
        <w:t xml:space="preserve">Regulations </w:t>
      </w:r>
    </w:p>
    <w:p w:rsidR="006A183A" w:rsidRDefault="005F3B1A">
      <w:pPr>
        <w:pStyle w:val="H1G"/>
      </w:pPr>
      <w:r>
        <w:tab/>
      </w:r>
      <w:r>
        <w:tab/>
        <w:t>Transmitted by the expert from Switzerland</w:t>
      </w:r>
    </w:p>
    <w:p w:rsidR="006A183A" w:rsidRDefault="005F3B1A">
      <w:pPr>
        <w:pStyle w:val="SingleTxtG"/>
      </w:pPr>
      <w:r>
        <w:t>1.</w:t>
      </w:r>
      <w:r>
        <w:tab/>
        <w:t>In document ST/SG/AC.10/C.3/2018/71 EIGA proposes to include special provision 653 of the ADR in the Model Regulations. Compared to the text of the ADR, the proposed text has been supplemented t</w:t>
      </w:r>
      <w:r>
        <w:t>o take account of the concerns addressed at the fifty-third session of the UN Sub-Committee (par. 139 of the report ST/SG/AC.10/C.3/106). The second and third indents of the proposal include requirements relating to the packing and filling as follows:</w:t>
      </w:r>
    </w:p>
    <w:p w:rsidR="006A183A" w:rsidRDefault="005F3B1A" w:rsidP="005F3B1A">
      <w:pPr>
        <w:pStyle w:val="SingleTxtG"/>
        <w:ind w:left="1701"/>
      </w:pPr>
      <w:r>
        <w:t>“</w:t>
      </w:r>
      <w:r>
        <w:t>T</w:t>
      </w:r>
      <w:r>
        <w:t>he special packing provisions for goods of Class 2 in 4.1.6 are met;</w:t>
      </w:r>
    </w:p>
    <w:p w:rsidR="006A183A" w:rsidRDefault="005F3B1A" w:rsidP="005F3B1A">
      <w:pPr>
        <w:pStyle w:val="SingleTxtG"/>
        <w:ind w:left="1701"/>
      </w:pPr>
      <w:r>
        <w:t>The cylinders are inspected prior to filling and are leak tested after filling;”</w:t>
      </w:r>
      <w:r>
        <w:t>.</w:t>
      </w:r>
    </w:p>
    <w:p w:rsidR="006A183A" w:rsidRDefault="005F3B1A">
      <w:pPr>
        <w:pStyle w:val="SingleTxtG"/>
      </w:pPr>
      <w:r>
        <w:t>2.</w:t>
      </w:r>
      <w:r>
        <w:tab/>
        <w:t>Switzerland is of the opinion that the proposed additional requirements are not sufficient to ensur</w:t>
      </w:r>
      <w:r>
        <w:t xml:space="preserve">e a safe transport. In particular, we think that the provisions of packing instruction P200 relating to the filling by </w:t>
      </w:r>
      <w:r>
        <w:rPr>
          <w:color w:val="000000"/>
          <w:lang w:val="en-US"/>
        </w:rPr>
        <w:t>qualified staff using appropriate equipment and procedures</w:t>
      </w:r>
      <w:r>
        <w:t xml:space="preserve"> should be met. This is extremely important in the case of carbon dioxide, wher</w:t>
      </w:r>
      <w:r>
        <w:t>e non-qualified staff are more likely to overfill cylinders.</w:t>
      </w:r>
    </w:p>
    <w:p w:rsidR="006A183A" w:rsidRDefault="005F3B1A">
      <w:pPr>
        <w:pStyle w:val="SingleTxtG"/>
      </w:pPr>
      <w:r>
        <w:t>3.</w:t>
      </w:r>
      <w:r>
        <w:tab/>
        <w:t>To take account of these requirements, we propose to amend the first indent in the proposal by EIGA as follows:</w:t>
      </w:r>
    </w:p>
    <w:p w:rsidR="006A183A" w:rsidRDefault="005F3B1A">
      <w:pPr>
        <w:pStyle w:val="SingleTxtG"/>
      </w:pPr>
      <w:r>
        <w:tab/>
      </w:r>
      <w:r>
        <w:tab/>
        <w:t>“</w:t>
      </w:r>
      <w:r>
        <w:t>The provisions for construction</w:t>
      </w:r>
      <w:r>
        <w:rPr>
          <w:b/>
          <w:u w:val="single"/>
        </w:rPr>
        <w:t>,</w:t>
      </w:r>
      <w:r>
        <w:t xml:space="preserve"> </w:t>
      </w:r>
      <w:r>
        <w:rPr>
          <w:strike/>
        </w:rPr>
        <w:t>and</w:t>
      </w:r>
      <w:r>
        <w:t xml:space="preserve"> testing </w:t>
      </w:r>
      <w:r>
        <w:rPr>
          <w:b/>
          <w:u w:val="single"/>
        </w:rPr>
        <w:t>and filling</w:t>
      </w:r>
      <w:r>
        <w:t xml:space="preserve"> of cylinders are observed;”</w:t>
      </w:r>
      <w:bookmarkStart w:id="0" w:name="_GoBack"/>
      <w:bookmarkEnd w:id="0"/>
    </w:p>
    <w:p w:rsidR="006A183A" w:rsidRDefault="005F3B1A">
      <w:pPr>
        <w:pStyle w:val="SingleTxtG"/>
      </w:pPr>
      <w:r>
        <w:t>4.</w:t>
      </w:r>
      <w:r>
        <w:tab/>
        <w:t>Finally, we would like to point out that paragraph 4 of the proposal by EIGA does not include UN 1006 Argon, compressed, while special provision 653 of ADR applies to this entry.</w:t>
      </w:r>
    </w:p>
    <w:p w:rsidR="006A183A" w:rsidRDefault="005F3B1A">
      <w:pPr>
        <w:pStyle w:val="SingleTxtG"/>
        <w:spacing w:before="240" w:after="0"/>
        <w:jc w:val="center"/>
        <w:rPr>
          <w:lang w:val="en-US"/>
        </w:rPr>
      </w:pPr>
      <w:r>
        <w:rPr>
          <w:noProof/>
          <w:u w:val="single"/>
          <w:lang w:val="en-US"/>
        </w:rPr>
        <w:tab/>
      </w:r>
      <w:r>
        <w:rPr>
          <w:noProof/>
          <w:u w:val="single"/>
          <w:lang w:val="en-US"/>
        </w:rPr>
        <w:tab/>
      </w:r>
      <w:r>
        <w:rPr>
          <w:noProof/>
          <w:u w:val="single"/>
          <w:lang w:val="en-US"/>
        </w:rPr>
        <w:tab/>
      </w:r>
    </w:p>
    <w:sectPr w:rsidR="006A183A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83A" w:rsidRDefault="006A183A"/>
  </w:endnote>
  <w:endnote w:type="continuationSeparator" w:id="0">
    <w:p w:rsidR="006A183A" w:rsidRDefault="006A183A"/>
  </w:endnote>
  <w:endnote w:type="continuationNotice" w:id="1">
    <w:p w:rsidR="006A183A" w:rsidRDefault="006A18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83A" w:rsidRDefault="005F3B1A">
    <w:pPr>
      <w:pStyle w:val="Footer"/>
      <w:tabs>
        <w:tab w:val="right" w:pos="9638"/>
      </w:tabs>
      <w:rPr>
        <w:sz w:val="18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column">
                <wp:posOffset>8509000</wp:posOffset>
              </wp:positionH>
              <wp:positionV relativeFrom="paragraph">
                <wp:posOffset>-5629275</wp:posOffset>
              </wp:positionV>
              <wp:extent cx="381000" cy="1257300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83A" w:rsidRDefault="005F3B1A">
                          <w:pPr>
                            <w:pStyle w:val="Header"/>
                            <w:pBdr>
                              <w:bottom w:val="single" w:sz="4" w:space="31" w:color="auto"/>
                            </w:pBdr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UN/SCETDG/37/INF.7</w:t>
                          </w:r>
                        </w:p>
                        <w:p w:rsidR="006A183A" w:rsidRDefault="006A183A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70pt;margin-top:-443.25pt;width:30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" stroked="f">
              <v:textbox style="layout-flow:vertical">
                <w:txbxContent>
                  <w:p w:rsidR="006A183A" w:rsidRDefault="005F3B1A">
                    <w:pPr>
                      <w:pStyle w:val="Header"/>
                      <w:pBdr>
                        <w:bottom w:val="single" w:sz="4" w:space="31" w:color="auto"/>
                      </w:pBdr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UN/SCETDG/37/INF.7</w:t>
                    </w:r>
                  </w:p>
                  <w:p w:rsidR="006A183A" w:rsidRDefault="006A183A"/>
                </w:txbxContent>
              </v:textbox>
              <w10:anchorlock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83A" w:rsidRDefault="005F3B1A">
    <w:pPr>
      <w:pStyle w:val="Footer"/>
      <w:tabs>
        <w:tab w:val="right" w:pos="12600"/>
      </w:tabs>
      <w:jc w:val="right"/>
      <w:rPr>
        <w:b/>
        <w:sz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5680" behindDoc="0" locked="1" layoutInCell="1" allowOverlap="1">
              <wp:simplePos x="0" y="0"/>
              <wp:positionH relativeFrom="column">
                <wp:posOffset>8509000</wp:posOffset>
              </wp:positionH>
              <wp:positionV relativeFrom="paragraph">
                <wp:posOffset>-1171575</wp:posOffset>
              </wp:positionV>
              <wp:extent cx="381000" cy="1257300"/>
              <wp:effectExtent l="0" t="0" r="0" b="317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83A" w:rsidRDefault="005F3B1A">
                          <w:pPr>
                            <w:pStyle w:val="Header"/>
                            <w:pBdr>
                              <w:bottom w:val="single" w:sz="4" w:space="31" w:color="auto"/>
                            </w:pBdr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UN/SCETDG/37/INF.7</w:t>
                          </w:r>
                        </w:p>
                        <w:p w:rsidR="006A183A" w:rsidRDefault="006A183A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670pt;margin-top:-92.25pt;width:30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" stroked="f">
              <v:textbox style="layout-flow:vertical">
                <w:txbxContent>
                  <w:p w:rsidR="006A183A" w:rsidRDefault="005F3B1A">
                    <w:pPr>
                      <w:pStyle w:val="Header"/>
                      <w:pBdr>
                        <w:bottom w:val="single" w:sz="4" w:space="31" w:color="auto"/>
                      </w:pBdr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UN/SCETDG/37/INF.7</w:t>
                    </w:r>
                  </w:p>
                  <w:p w:rsidR="006A183A" w:rsidRDefault="006A183A"/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83A" w:rsidRDefault="005F3B1A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A183A" w:rsidRDefault="005F3B1A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A183A" w:rsidRDefault="006A18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83A" w:rsidRDefault="005F3B1A">
    <w:pPr>
      <w:pStyle w:val="Header"/>
      <w:rPr>
        <w:lang w:val="fr-CH"/>
      </w:rPr>
    </w:pPr>
    <w:r>
      <w:rPr>
        <w:lang w:val="fr-CH"/>
      </w:rPr>
      <w:t>UN/SCETDG/54/INF.xx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83A" w:rsidRDefault="005F3B1A">
    <w:pPr>
      <w:pStyle w:val="Header"/>
      <w:jc w:val="right"/>
      <w:rPr>
        <w:lang w:val="fr-CH"/>
      </w:rPr>
    </w:pPr>
    <w:r>
      <w:rPr>
        <w:lang w:val="fr-CH"/>
      </w:rPr>
      <w:t>UN/SCETDG/41/INF.XX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.55pt;height:19pt" o:bullet="t">
        <v:imagedata r:id="rId1" o:title=""/>
      </v:shape>
    </w:pict>
  </w:numPicBullet>
  <w:abstractNum w:abstractNumId="0" w15:restartNumberingAfterBreak="0">
    <w:nsid w:val="00211106"/>
    <w:multiLevelType w:val="multilevel"/>
    <w:tmpl w:val="72849632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3">
      <w:start w:val="9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014B4E9C"/>
    <w:multiLevelType w:val="hybridMultilevel"/>
    <w:tmpl w:val="FFCA7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95B97"/>
    <w:multiLevelType w:val="multilevel"/>
    <w:tmpl w:val="FB628A2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20AC192F"/>
    <w:multiLevelType w:val="hybridMultilevel"/>
    <w:tmpl w:val="741E22A6"/>
    <w:lvl w:ilvl="0" w:tplc="7946167C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F12816A8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8940118"/>
    <w:multiLevelType w:val="hybridMultilevel"/>
    <w:tmpl w:val="9A24E89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C556B86"/>
    <w:multiLevelType w:val="hybridMultilevel"/>
    <w:tmpl w:val="A7481782"/>
    <w:lvl w:ilvl="0" w:tplc="06D228D4">
      <w:start w:val="1"/>
      <w:numFmt w:val="lowerLetter"/>
      <w:lvlText w:val="(%1)"/>
      <w:lvlJc w:val="left"/>
      <w:pPr>
        <w:tabs>
          <w:tab w:val="num" w:pos="2271"/>
        </w:tabs>
        <w:ind w:left="2271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7" w15:restartNumberingAfterBreak="0">
    <w:nsid w:val="2ECA257B"/>
    <w:multiLevelType w:val="hybridMultilevel"/>
    <w:tmpl w:val="3E90A262"/>
    <w:lvl w:ilvl="0" w:tplc="AC84F1B4">
      <w:start w:val="110"/>
      <w:numFmt w:val="decimal"/>
      <w:lvlText w:val="%1"/>
      <w:lvlJc w:val="left"/>
      <w:pPr>
        <w:tabs>
          <w:tab w:val="num" w:pos="2985"/>
        </w:tabs>
        <w:ind w:left="2985" w:hanging="16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8" w15:restartNumberingAfterBreak="0">
    <w:nsid w:val="37A91095"/>
    <w:multiLevelType w:val="hybridMultilevel"/>
    <w:tmpl w:val="8356F9A0"/>
    <w:lvl w:ilvl="0" w:tplc="2B6ACB68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42724E2F"/>
    <w:multiLevelType w:val="hybridMultilevel"/>
    <w:tmpl w:val="0674D02C"/>
    <w:lvl w:ilvl="0" w:tplc="97E267DE">
      <w:start w:val="9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0" w15:restartNumberingAfterBreak="0">
    <w:nsid w:val="53AA7794"/>
    <w:multiLevelType w:val="hybridMultilevel"/>
    <w:tmpl w:val="91D4FB2A"/>
    <w:lvl w:ilvl="0" w:tplc="FFFFFFFF">
      <w:start w:val="3"/>
      <w:numFmt w:val="lowerRoman"/>
      <w:lvlText w:val="(%1)"/>
      <w:lvlJc w:val="left"/>
      <w:pPr>
        <w:tabs>
          <w:tab w:val="num" w:pos="1905"/>
        </w:tabs>
        <w:ind w:left="1905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  <w:rPr>
        <w:rFonts w:cs="Times New Roman"/>
      </w:rPr>
    </w:lvl>
  </w:abstractNum>
  <w:abstractNum w:abstractNumId="11" w15:restartNumberingAfterBreak="0">
    <w:nsid w:val="5CCE2091"/>
    <w:multiLevelType w:val="hybridMultilevel"/>
    <w:tmpl w:val="0142B066"/>
    <w:lvl w:ilvl="0" w:tplc="BCD02BAE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2" w15:restartNumberingAfterBreak="0">
    <w:nsid w:val="5F2E3E16"/>
    <w:multiLevelType w:val="hybridMultilevel"/>
    <w:tmpl w:val="2568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85B39"/>
    <w:multiLevelType w:val="multilevel"/>
    <w:tmpl w:val="BE16F274"/>
    <w:lvl w:ilvl="0">
      <w:start w:val="1"/>
      <w:numFmt w:val="decimal"/>
      <w:pStyle w:val="Points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FE1645C"/>
    <w:multiLevelType w:val="hybridMultilevel"/>
    <w:tmpl w:val="408825C2"/>
    <w:lvl w:ilvl="0" w:tplc="0A92C090">
      <w:start w:val="1"/>
      <w:numFmt w:val="decimal"/>
      <w:lvlText w:val="%1-"/>
      <w:lvlJc w:val="left"/>
      <w:pPr>
        <w:tabs>
          <w:tab w:val="num" w:pos="2839"/>
        </w:tabs>
        <w:ind w:left="283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59"/>
        </w:tabs>
        <w:ind w:left="35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79"/>
        </w:tabs>
        <w:ind w:left="42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999"/>
        </w:tabs>
        <w:ind w:left="49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19"/>
        </w:tabs>
        <w:ind w:left="57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39"/>
        </w:tabs>
        <w:ind w:left="64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159"/>
        </w:tabs>
        <w:ind w:left="71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79"/>
        </w:tabs>
        <w:ind w:left="78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599"/>
        </w:tabs>
        <w:ind w:left="8599" w:hanging="180"/>
      </w:pPr>
      <w:rPr>
        <w:rFonts w:cs="Times New Roman"/>
      </w:rPr>
    </w:lvl>
  </w:abstractNum>
  <w:abstractNum w:abstractNumId="16" w15:restartNumberingAfterBreak="0">
    <w:nsid w:val="71E81394"/>
    <w:multiLevelType w:val="hybridMultilevel"/>
    <w:tmpl w:val="8AE6215A"/>
    <w:lvl w:ilvl="0" w:tplc="F07EDA76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17" w15:restartNumberingAfterBreak="0">
    <w:nsid w:val="7377697B"/>
    <w:multiLevelType w:val="hybridMultilevel"/>
    <w:tmpl w:val="2EE681CA"/>
    <w:lvl w:ilvl="0" w:tplc="E26A9B1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 w15:restartNumberingAfterBreak="0">
    <w:nsid w:val="76695AD2"/>
    <w:multiLevelType w:val="hybridMultilevel"/>
    <w:tmpl w:val="EABE1DB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7C807CF9"/>
    <w:multiLevelType w:val="hybridMultilevel"/>
    <w:tmpl w:val="BC242B0E"/>
    <w:lvl w:ilvl="0" w:tplc="16C632CA">
      <w:start w:val="2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6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15"/>
  </w:num>
  <w:num w:numId="10">
    <w:abstractNumId w:val="7"/>
  </w:num>
  <w:num w:numId="11">
    <w:abstractNumId w:val="1"/>
  </w:num>
  <w:num w:numId="12">
    <w:abstractNumId w:val="6"/>
  </w:num>
  <w:num w:numId="13">
    <w:abstractNumId w:val="17"/>
  </w:num>
  <w:num w:numId="14">
    <w:abstractNumId w:val="11"/>
  </w:num>
  <w:num w:numId="15">
    <w:abstractNumId w:val="12"/>
  </w:num>
  <w:num w:numId="16">
    <w:abstractNumId w:val="5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8"/>
  </w:num>
  <w:num w:numId="21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83A"/>
    <w:rsid w:val="005F3B1A"/>
    <w:rsid w:val="006A183A"/>
    <w:rsid w:val="008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D77E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sz w:val="20"/>
      <w:szCs w:val="20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lang w:val="en-GB"/>
    </w:r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uiPriority w:val="99"/>
    <w:locked/>
    <w:rPr>
      <w:b/>
      <w:sz w:val="28"/>
      <w:lang w:val="en-GB" w:eastAsia="en-US"/>
    </w:rPr>
  </w:style>
  <w:style w:type="character" w:styleId="FootnoteReference">
    <w:name w:val="footnote reference"/>
    <w:aliases w:val="4_G"/>
    <w:basedOn w:val="DefaultParagraphFont"/>
    <w:uiPriority w:val="99"/>
    <w:rPr>
      <w:rFonts w:ascii="Times New Roman" w:hAnsi="Times New Roman" w:cs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uiPriority w:val="99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semiHidden/>
    <w:rPr>
      <w:sz w:val="20"/>
      <w:szCs w:val="20"/>
      <w:lang w:val="en-GB"/>
    </w:rPr>
  </w:style>
  <w:style w:type="table" w:styleId="TableGrid">
    <w:name w:val="Table Grid"/>
    <w:basedOn w:val="TableNormal"/>
    <w:uiPriority w:val="99"/>
    <w:semiHidden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rPr>
      <w:rFonts w:cs="Times New Roman"/>
      <w:color w:val="auto"/>
      <w:u w:val="none"/>
    </w:rPr>
  </w:style>
  <w:style w:type="character" w:styleId="FollowedHyperlink">
    <w:name w:val="FollowedHyperlink"/>
    <w:basedOn w:val="DefaultParagraphFont"/>
    <w:semiHidden/>
    <w:rPr>
      <w:rFonts w:cs="Times New Roman"/>
      <w:color w:val="auto"/>
      <w:u w:val="none"/>
    </w:r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semiHidden/>
    <w:locked/>
    <w:rPr>
      <w:sz w:val="18"/>
      <w:lang w:val="en-GB" w:eastAsia="en-US"/>
    </w:rPr>
  </w:style>
  <w:style w:type="paragraph" w:styleId="EndnoteText">
    <w:name w:val="endnote text"/>
    <w:aliases w:val="2_G"/>
    <w:basedOn w:val="FootnoteText"/>
    <w:link w:val="EndnoteTextChar"/>
    <w:uiPriority w:val="99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rPr>
      <w:sz w:val="20"/>
      <w:szCs w:val="20"/>
      <w:lang w:val="en-GB"/>
    </w:rPr>
  </w:style>
  <w:style w:type="character" w:styleId="PageNumber">
    <w:name w:val="page number"/>
    <w:aliases w:val="7_G"/>
    <w:basedOn w:val="DefaultParagraphFont"/>
    <w:uiPriority w:val="99"/>
    <w:rPr>
      <w:rFonts w:ascii="Times New Roman" w:hAnsi="Times New Roman" w:cs="Times New Roman"/>
      <w:b/>
      <w:sz w:val="18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semiHidden/>
    <w:rPr>
      <w:sz w:val="20"/>
      <w:szCs w:val="20"/>
      <w:lang w:val="en-GB"/>
    </w:rPr>
  </w:style>
  <w:style w:type="paragraph" w:customStyle="1" w:styleId="Bullet2G">
    <w:name w:val="_Bullet 2_G"/>
    <w:basedOn w:val="Normal"/>
    <w:uiPriority w:val="99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uiPriority w:val="99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uiPriority w:val="99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z w:val="22"/>
      <w:lang w:val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  <w:lang w:val="en-GB"/>
    </w:rPr>
  </w:style>
  <w:style w:type="paragraph" w:customStyle="1" w:styleId="Num-DocParagraph">
    <w:name w:val="Num-Doc Paragraph"/>
    <w:basedOn w:val="BodyText"/>
    <w:uiPriority w:val="99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uiPriority w:val="99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uiPriority w:val="99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uiPriority w:val="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uiPriority w:val="99"/>
    <w:rPr>
      <w:rFonts w:cs="Times New Roman"/>
    </w:rPr>
  </w:style>
  <w:style w:type="paragraph" w:customStyle="1" w:styleId="Points">
    <w:name w:val="Points"/>
    <w:basedOn w:val="BodyText"/>
    <w:uiPriority w:val="99"/>
    <w:pPr>
      <w:numPr>
        <w:numId w:val="17"/>
      </w:numPr>
      <w:tabs>
        <w:tab w:val="clear" w:pos="570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line="280" w:lineRule="atLeast"/>
      <w:ind w:left="0" w:firstLine="567"/>
    </w:pPr>
    <w:rPr>
      <w:sz w:val="24"/>
      <w:lang w:val="en-AU" w:eastAsia="en-AU"/>
    </w:rPr>
  </w:style>
  <w:style w:type="paragraph" w:customStyle="1" w:styleId="Dotpoints">
    <w:name w:val="Dot points"/>
    <w:basedOn w:val="Points"/>
    <w:uiPriority w:val="99"/>
    <w:pPr>
      <w:tabs>
        <w:tab w:val="num" w:pos="570"/>
      </w:tabs>
      <w:spacing w:before="60" w:after="60" w:line="280" w:lineRule="exact"/>
      <w:ind w:left="570" w:hanging="570"/>
    </w:pPr>
  </w:style>
  <w:style w:type="paragraph" w:customStyle="1" w:styleId="Figurecaption">
    <w:name w:val="Figure caption"/>
    <w:basedOn w:val="BodyText"/>
    <w:next w:val="Figurecaptiontext"/>
    <w:uiPriority w:val="99"/>
    <w:pPr>
      <w:shd w:val="solid" w:color="FFFFFF" w:fill="FFFFFF"/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line="280" w:lineRule="atLeast"/>
      <w:jc w:val="center"/>
    </w:pPr>
    <w:rPr>
      <w:b/>
      <w:bCs/>
      <w:i/>
      <w:sz w:val="24"/>
      <w:lang w:val="en-AU" w:eastAsia="en-AU"/>
    </w:rPr>
  </w:style>
  <w:style w:type="paragraph" w:customStyle="1" w:styleId="Figurecaptiontext">
    <w:name w:val="Figure caption text"/>
    <w:basedOn w:val="Figurecaption"/>
    <w:next w:val="Normal"/>
    <w:uiPriority w:val="99"/>
    <w:pPr>
      <w:spacing w:after="240"/>
    </w:pPr>
    <w:rPr>
      <w:b w:val="0"/>
      <w:bCs w:val="0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0"/>
      <w:szCs w:val="0"/>
      <w:lang w:val="en-GB"/>
    </w:rPr>
  </w:style>
  <w:style w:type="paragraph" w:styleId="Revision">
    <w:name w:val="Revision"/>
    <w:hidden/>
    <w:uiPriority w:val="99"/>
    <w:semiHidden/>
    <w:rPr>
      <w:sz w:val="20"/>
      <w:szCs w:val="20"/>
      <w:lang w:val="en-GB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basedOn w:val="DefaultParagraphFont"/>
  </w:style>
  <w:style w:type="character" w:styleId="Emphasis">
    <w:name w:val="Emphasis"/>
    <w:basedOn w:val="DefaultParagraphFont"/>
    <w:uiPriority w:val="20"/>
    <w:qFormat/>
    <w:locked/>
    <w:rPr>
      <w:i/>
      <w:iCs/>
    </w:rPr>
  </w:style>
  <w:style w:type="character" w:customStyle="1" w:styleId="SingleTxtGChar">
    <w:name w:val="_ Single Txt_G Char"/>
    <w:link w:val="SingleTxtG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BCCFF-5FE2-40BD-9089-1E5018F7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3</TotalTime>
  <Pages>1</Pages>
  <Words>314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3</cp:revision>
  <cp:lastPrinted>2018-11-14T14:47:00Z</cp:lastPrinted>
  <dcterms:created xsi:type="dcterms:W3CDTF">2018-11-21T13:38:00Z</dcterms:created>
  <dcterms:modified xsi:type="dcterms:W3CDTF">2018-11-21T13:40:00Z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