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BE" w:rsidRDefault="002A19FB">
      <w:pPr>
        <w:rPr>
          <w:vanish/>
          <w:lang w:val="fr-FR"/>
        </w:rPr>
      </w:pPr>
      <w:r>
        <w:rPr>
          <w:noProof/>
          <w:lang w:val="sv-SE" w:eastAsia="sv-SE"/>
        </w:rPr>
        <mc:AlternateContent>
          <mc:Choice Requires="wps">
            <w:drawing>
              <wp:anchor distT="0" distB="0" distL="90170" distR="90170" simplePos="0" relativeHeight="2" behindDoc="0" locked="0" layoutInCell="1" allowOverlap="1" wp14:anchorId="723BEEA7" wp14:editId="003F6127">
                <wp:simplePos x="0" y="0"/>
                <wp:positionH relativeFrom="page">
                  <wp:posOffset>717550</wp:posOffset>
                </wp:positionH>
                <wp:positionV relativeFrom="page">
                  <wp:posOffset>360680</wp:posOffset>
                </wp:positionV>
                <wp:extent cx="6120765" cy="1460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120765" cy="14605"/>
                        </a:xfrm>
                        <a:prstGeom prst="rect">
                          <a:avLst/>
                        </a:prstGeom>
                      </wps:spPr>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773FEB">
                                    <w:rPr>
                                      <w:b/>
                                      <w:sz w:val="40"/>
                                      <w:szCs w:val="40"/>
                                      <w:lang w:val="fr-FR"/>
                                    </w:rPr>
                                    <w:t>29</w:t>
                                  </w:r>
                                </w:p>
                                <w:p w:rsidR="007407BE" w:rsidRPr="002A19FB" w:rsidRDefault="002A19FB">
                                  <w:pPr>
                                    <w:jc w:val="right"/>
                                    <w:rPr>
                                      <w:lang w:val="fr-FR"/>
                                    </w:rPr>
                                  </w:pPr>
                                  <w:r>
                                    <w:rPr>
                                      <w:b/>
                                      <w:sz w:val="40"/>
                                      <w:szCs w:val="40"/>
                                      <w:lang w:val="fr-FR"/>
                                    </w:rPr>
                                    <w:t>UN/SCEGHS/36/INF.</w:t>
                                  </w:r>
                                  <w:r w:rsidR="00773FEB">
                                    <w:rPr>
                                      <w:b/>
                                      <w:sz w:val="40"/>
                                      <w:szCs w:val="40"/>
                                      <w:lang w:val="fr-FR"/>
                                    </w:rPr>
                                    <w:t>19</w:t>
                                  </w:r>
                                </w:p>
                                <w:p w:rsidR="007407BE" w:rsidRDefault="007407BE">
                                  <w:pPr>
                                    <w:jc w:val="right"/>
                                    <w:rPr>
                                      <w:highlight w:val="yellow"/>
                                      <w:lang w:val="fr-FR"/>
                                    </w:rPr>
                                  </w:pPr>
                                </w:p>
                              </w:tc>
                            </w:tr>
                          </w:tbl>
                          <w:p w:rsidR="00877559" w:rsidRPr="002A19FB" w:rsidRDefault="00877559" w:rsidP="00746921">
                            <w:pPr>
                              <w:rPr>
                                <w:lang w:val="fr-FR"/>
                              </w:rPr>
                            </w:pPr>
                          </w:p>
                        </w:txbxContent>
                      </wps:txbx>
                      <wps:bodyPr lIns="0" tIns="0" rIns="0" bIns="0" anchor="t">
                        <a:spAutoFit/>
                      </wps:bodyPr>
                    </wps:wsp>
                  </a:graphicData>
                </a:graphic>
              </wp:anchor>
            </w:drawing>
          </mc:Choice>
          <mc:Fallback>
            <w:pict>
              <v:shapetype w14:anchorId="723BEEA7" id="_x0000_t202" coordsize="21600,21600" o:spt="202" path="m,l,21600r21600,l21600,xe">
                <v:stroke joinstyle="miter"/>
                <v:path gradientshapeok="t" o:connecttype="rect"/>
              </v:shapetype>
              <v:shape id="Frame1" o:spid="_x0000_s1026" type="#_x0000_t202" style="position:absolute;margin-left:56.5pt;margin-top:28.4pt;width:481.95pt;height:1.15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773FEB">
                              <w:rPr>
                                <w:b/>
                                <w:sz w:val="40"/>
                                <w:szCs w:val="40"/>
                                <w:lang w:val="fr-FR"/>
                              </w:rPr>
                              <w:t>29</w:t>
                            </w:r>
                          </w:p>
                          <w:p w:rsidR="007407BE" w:rsidRPr="002A19FB" w:rsidRDefault="002A19FB">
                            <w:pPr>
                              <w:jc w:val="right"/>
                              <w:rPr>
                                <w:lang w:val="fr-FR"/>
                              </w:rPr>
                            </w:pPr>
                            <w:r>
                              <w:rPr>
                                <w:b/>
                                <w:sz w:val="40"/>
                                <w:szCs w:val="40"/>
                                <w:lang w:val="fr-FR"/>
                              </w:rPr>
                              <w:t>UN/SCEGHS/36/INF.</w:t>
                            </w:r>
                            <w:r w:rsidR="00773FEB">
                              <w:rPr>
                                <w:b/>
                                <w:sz w:val="40"/>
                                <w:szCs w:val="40"/>
                                <w:lang w:val="fr-FR"/>
                              </w:rPr>
                              <w:t>19</w:t>
                            </w:r>
                          </w:p>
                          <w:p w:rsidR="007407BE" w:rsidRDefault="007407BE">
                            <w:pPr>
                              <w:jc w:val="right"/>
                              <w:rPr>
                                <w:highlight w:val="yellow"/>
                                <w:lang w:val="fr-FR"/>
                              </w:rPr>
                            </w:pPr>
                          </w:p>
                        </w:tc>
                      </w:tr>
                    </w:tbl>
                    <w:p w:rsidR="00877559" w:rsidRPr="002A19FB" w:rsidRDefault="00877559" w:rsidP="00746921">
                      <w:pPr>
                        <w:rPr>
                          <w:lang w:val="fr-FR"/>
                        </w:rPr>
                      </w:pPr>
                    </w:p>
                  </w:txbxContent>
                </v:textbox>
                <w10:wrap type="square" anchorx="page" anchory="page"/>
              </v:shape>
            </w:pict>
          </mc:Fallback>
        </mc:AlternateContent>
      </w:r>
    </w:p>
    <w:tbl>
      <w:tblPr>
        <w:tblW w:w="9645" w:type="dxa"/>
        <w:tblInd w:w="109" w:type="dxa"/>
        <w:tblCellMar>
          <w:top w:w="142" w:type="dxa"/>
          <w:bottom w:w="142" w:type="dxa"/>
        </w:tblCellMar>
        <w:tblLook w:val="04A0" w:firstRow="1" w:lastRow="0" w:firstColumn="1" w:lastColumn="0" w:noHBand="0" w:noVBand="1"/>
      </w:tblPr>
      <w:tblGrid>
        <w:gridCol w:w="4617"/>
        <w:gridCol w:w="4930"/>
        <w:gridCol w:w="98"/>
      </w:tblGrid>
      <w:tr w:rsidR="007407BE">
        <w:trPr>
          <w:gridAfter w:val="1"/>
          <w:wAfter w:w="100" w:type="dxa"/>
        </w:trPr>
        <w:tc>
          <w:tcPr>
            <w:tcW w:w="9644" w:type="dxa"/>
            <w:gridSpan w:val="2"/>
            <w:shd w:val="clear" w:color="auto" w:fill="auto"/>
          </w:tcPr>
          <w:p w:rsidR="007407BE" w:rsidRDefault="002A19FB" w:rsidP="00257540">
            <w:pPr>
              <w:tabs>
                <w:tab w:val="right" w:pos="9214"/>
              </w:tabs>
            </w:pPr>
            <w:r>
              <w:rPr>
                <w:b/>
                <w:sz w:val="24"/>
                <w:szCs w:val="24"/>
              </w:rPr>
              <w:t>Committee of Experts on the Transport of Dangerous Goods and on the Globally Harmonized System of Classification</w:t>
            </w:r>
            <w:r>
              <w:rPr>
                <w:b/>
                <w:sz w:val="24"/>
                <w:szCs w:val="24"/>
              </w:rPr>
              <w:br/>
              <w:t>and Labelling of Chemicals</w:t>
            </w:r>
            <w:r w:rsidR="00746921">
              <w:rPr>
                <w:b/>
              </w:rPr>
              <w:tab/>
            </w:r>
            <w:r w:rsidR="00773FEB">
              <w:rPr>
                <w:b/>
              </w:rPr>
              <w:t>16</w:t>
            </w:r>
            <w:r>
              <w:rPr>
                <w:b/>
              </w:rPr>
              <w:t xml:space="preserve"> </w:t>
            </w:r>
            <w:r w:rsidR="00257540">
              <w:rPr>
                <w:b/>
              </w:rPr>
              <w:t>Novem</w:t>
            </w:r>
            <w:r>
              <w:rPr>
                <w:b/>
              </w:rPr>
              <w:t>ber</w:t>
            </w:r>
            <w:r w:rsidRPr="002A19FB">
              <w:rPr>
                <w:b/>
              </w:rPr>
              <w:t xml:space="preserve"> </w:t>
            </w:r>
            <w:r>
              <w:rPr>
                <w:b/>
                <w:sz w:val="18"/>
                <w:szCs w:val="24"/>
              </w:rPr>
              <w:t>2018</w:t>
            </w:r>
          </w:p>
        </w:tc>
      </w:tr>
      <w:tr w:rsidR="007407BE">
        <w:trPr>
          <w:gridAfter w:val="1"/>
          <w:wAfter w:w="100" w:type="dxa"/>
        </w:trPr>
        <w:tc>
          <w:tcPr>
            <w:tcW w:w="4651" w:type="dxa"/>
            <w:shd w:val="clear" w:color="auto" w:fill="auto"/>
            <w:tcMar>
              <w:top w:w="57" w:type="dxa"/>
              <w:bottom w:w="0" w:type="dxa"/>
            </w:tcMar>
            <w:vAlign w:val="center"/>
          </w:tcPr>
          <w:p w:rsidR="007407BE" w:rsidRDefault="002A19FB">
            <w:pPr>
              <w:spacing w:before="120"/>
              <w:rPr>
                <w:b/>
              </w:rPr>
            </w:pPr>
            <w:r>
              <w:rPr>
                <w:b/>
              </w:rPr>
              <w:t xml:space="preserve">Sub-Committee of Experts on the </w:t>
            </w:r>
            <w:r>
              <w:rPr>
                <w:b/>
              </w:rPr>
              <w:br/>
              <w:t xml:space="preserve">Transport of Dangerous Goods </w:t>
            </w:r>
          </w:p>
        </w:tc>
        <w:tc>
          <w:tcPr>
            <w:tcW w:w="4993" w:type="dxa"/>
            <w:shd w:val="clear" w:color="auto" w:fill="auto"/>
            <w:tcMar>
              <w:top w:w="57" w:type="dxa"/>
              <w:bottom w:w="0" w:type="dxa"/>
            </w:tcMar>
            <w:vAlign w:val="center"/>
          </w:tcPr>
          <w:p w:rsidR="007407BE" w:rsidRDefault="002A19FB">
            <w:pPr>
              <w:spacing w:before="120"/>
              <w:rPr>
                <w:b/>
              </w:rPr>
            </w:pPr>
            <w:r>
              <w:rPr>
                <w:b/>
              </w:rPr>
              <w:t>Sub-Committee of Experts on the Globally Harmonized System of Classification and Labelling of Chemicals</w:t>
            </w:r>
          </w:p>
        </w:tc>
      </w:tr>
      <w:tr w:rsidR="007407BE">
        <w:trPr>
          <w:gridAfter w:val="1"/>
          <w:wAfter w:w="100" w:type="dxa"/>
        </w:trPr>
        <w:tc>
          <w:tcPr>
            <w:tcW w:w="4651" w:type="dxa"/>
            <w:shd w:val="clear" w:color="auto" w:fill="auto"/>
            <w:tcMar>
              <w:top w:w="57" w:type="dxa"/>
              <w:bottom w:w="0" w:type="dxa"/>
            </w:tcMar>
          </w:tcPr>
          <w:p w:rsidR="007407BE" w:rsidRDefault="002A19FB">
            <w:pPr>
              <w:spacing w:before="120"/>
              <w:ind w:left="34" w:hanging="34"/>
              <w:rPr>
                <w:b/>
              </w:rPr>
            </w:pPr>
            <w:r>
              <w:rPr>
                <w:b/>
              </w:rPr>
              <w:t>Fifty-fourth session</w:t>
            </w:r>
          </w:p>
        </w:tc>
        <w:tc>
          <w:tcPr>
            <w:tcW w:w="4993" w:type="dxa"/>
            <w:shd w:val="clear" w:color="auto" w:fill="auto"/>
            <w:tcMar>
              <w:top w:w="57" w:type="dxa"/>
              <w:bottom w:w="0" w:type="dxa"/>
            </w:tcMar>
          </w:tcPr>
          <w:p w:rsidR="007407BE" w:rsidRDefault="002A19FB">
            <w:pPr>
              <w:spacing w:before="120"/>
              <w:ind w:left="34" w:hanging="34"/>
              <w:rPr>
                <w:b/>
              </w:rPr>
            </w:pPr>
            <w:r>
              <w:rPr>
                <w:b/>
              </w:rPr>
              <w:t xml:space="preserve">Thirty-sixth session </w:t>
            </w:r>
          </w:p>
        </w:tc>
      </w:tr>
      <w:tr w:rsidR="007407BE">
        <w:tc>
          <w:tcPr>
            <w:tcW w:w="4651" w:type="dxa"/>
            <w:shd w:val="clear" w:color="auto" w:fill="auto"/>
            <w:tcMar>
              <w:top w:w="28" w:type="dxa"/>
              <w:bottom w:w="0" w:type="dxa"/>
            </w:tcMar>
          </w:tcPr>
          <w:p w:rsidR="007407BE" w:rsidRDefault="002A19FB">
            <w:pPr>
              <w:tabs>
                <w:tab w:val="left" w:pos="6361"/>
                <w:tab w:val="left" w:pos="6939"/>
              </w:tabs>
              <w:spacing w:before="40"/>
              <w:outlineLvl w:val="0"/>
              <w:rPr>
                <w:bCs/>
              </w:rPr>
            </w:pPr>
            <w:r>
              <w:t>Geneva, 26 November-5 December 2018</w:t>
            </w:r>
          </w:p>
          <w:p w:rsidR="007407BE" w:rsidRDefault="00AE7BB8">
            <w:pPr>
              <w:spacing w:before="40"/>
              <w:ind w:left="34" w:hanging="34"/>
            </w:pPr>
            <w:r>
              <w:t>Item 2</w:t>
            </w:r>
            <w:r w:rsidR="002A19FB">
              <w:t xml:space="preserve"> (</w:t>
            </w:r>
            <w:r>
              <w:t>b</w:t>
            </w:r>
            <w:r w:rsidR="002A19FB">
              <w:t>) of the provisional agenda</w:t>
            </w:r>
          </w:p>
          <w:p w:rsidR="007407BE" w:rsidRDefault="00AE7BB8">
            <w:pPr>
              <w:spacing w:before="40"/>
              <w:rPr>
                <w:b/>
                <w:bCs/>
              </w:rPr>
            </w:pPr>
            <w:r w:rsidRPr="00AE7BB8">
              <w:rPr>
                <w:b/>
                <w:bCs/>
              </w:rPr>
              <w:t xml:space="preserve">Recommendations made by the Sub-Committee on its fifty-first, fifty-second and fifty-third </w:t>
            </w:r>
            <w:proofErr w:type="gramStart"/>
            <w:r w:rsidRPr="00AE7BB8">
              <w:rPr>
                <w:b/>
                <w:bCs/>
              </w:rPr>
              <w:t>sessions  and</w:t>
            </w:r>
            <w:proofErr w:type="gramEnd"/>
            <w:r w:rsidRPr="00AE7BB8">
              <w:rPr>
                <w:b/>
                <w:bCs/>
              </w:rPr>
              <w:t xml:space="preserve"> pending issues: explosives and related matters</w:t>
            </w:r>
          </w:p>
        </w:tc>
        <w:tc>
          <w:tcPr>
            <w:tcW w:w="4993" w:type="dxa"/>
            <w:gridSpan w:val="2"/>
            <w:shd w:val="clear" w:color="auto" w:fill="auto"/>
            <w:tcMar>
              <w:top w:w="28" w:type="dxa"/>
              <w:bottom w:w="0" w:type="dxa"/>
            </w:tcMar>
          </w:tcPr>
          <w:p w:rsidR="007407BE" w:rsidRDefault="002A19FB">
            <w:pPr>
              <w:spacing w:before="40"/>
            </w:pPr>
            <w:r>
              <w:t>Geneva, 5-7 December 2018</w:t>
            </w:r>
          </w:p>
          <w:p w:rsidR="007407BE" w:rsidRDefault="002A19FB">
            <w:pPr>
              <w:spacing w:before="40"/>
            </w:pPr>
            <w:r>
              <w:t>Item 3</w:t>
            </w:r>
            <w:r w:rsidR="00AE7BB8">
              <w:t xml:space="preserve"> (b</w:t>
            </w:r>
            <w:r>
              <w:t>) of the provisional agenda</w:t>
            </w:r>
          </w:p>
          <w:p w:rsidR="007407BE" w:rsidRDefault="00AE7BB8">
            <w:pPr>
              <w:spacing w:before="40"/>
              <w:rPr>
                <w:b/>
                <w:bCs/>
              </w:rPr>
            </w:pPr>
            <w:r w:rsidRPr="00AE7BB8">
              <w:rPr>
                <w:b/>
                <w:bCs/>
              </w:rPr>
              <w:t>Classification criteria and related hazard communication: review of Chapter 2.1</w:t>
            </w:r>
          </w:p>
        </w:tc>
      </w:tr>
    </w:tbl>
    <w:p w:rsidR="007407BE" w:rsidRDefault="002A19FB">
      <w:pPr>
        <w:pStyle w:val="HChG"/>
        <w:rPr>
          <w:lang w:val="en-GB"/>
        </w:rPr>
      </w:pPr>
      <w:r>
        <w:rPr>
          <w:rFonts w:eastAsia="MS Mincho"/>
          <w:lang w:val="en-GB" w:eastAsia="ja-JP"/>
        </w:rPr>
        <w:tab/>
      </w:r>
      <w:r>
        <w:rPr>
          <w:rFonts w:eastAsia="MS Mincho"/>
          <w:lang w:val="en-GB" w:eastAsia="ja-JP"/>
        </w:rPr>
        <w:tab/>
      </w:r>
      <w:r w:rsidR="003732EA">
        <w:rPr>
          <w:lang w:val="en-GB"/>
        </w:rPr>
        <w:t>Status report on the review of Chapter 2.1 of the GHS</w:t>
      </w:r>
    </w:p>
    <w:p w:rsidR="007407BE" w:rsidRDefault="002A19FB" w:rsidP="003732EA">
      <w:pPr>
        <w:pStyle w:val="H1G"/>
      </w:pPr>
      <w:r>
        <w:tab/>
      </w:r>
      <w:r>
        <w:tab/>
        <w:t xml:space="preserve">Transmitted by the expert from </w:t>
      </w:r>
      <w:r w:rsidR="003732EA">
        <w:t>Sweden</w:t>
      </w:r>
    </w:p>
    <w:p w:rsidR="00B202B9" w:rsidRDefault="00460F33" w:rsidP="003732EA">
      <w:pPr>
        <w:pStyle w:val="SingleTxtG"/>
        <w:ind w:right="992"/>
        <w:rPr>
          <w:lang w:val="en-GB"/>
        </w:rPr>
      </w:pPr>
      <w:r>
        <w:rPr>
          <w:lang w:val="en-GB"/>
        </w:rPr>
        <w:tab/>
        <w:t>1</w:t>
      </w:r>
      <w:r w:rsidR="00B202B9">
        <w:rPr>
          <w:lang w:val="en-GB"/>
        </w:rPr>
        <w:t>.</w:t>
      </w:r>
      <w:r>
        <w:rPr>
          <w:lang w:val="en-GB"/>
        </w:rPr>
        <w:tab/>
      </w:r>
      <w:r w:rsidR="003732EA" w:rsidRPr="003732EA">
        <w:rPr>
          <w:lang w:val="en-GB"/>
        </w:rPr>
        <w:t xml:space="preserve">The work on the review of Chapter 2.1 of the GHS has been on-going </w:t>
      </w:r>
      <w:r w:rsidR="00305F0C">
        <w:rPr>
          <w:lang w:val="en-GB"/>
        </w:rPr>
        <w:t>for some years and is now in a</w:t>
      </w:r>
      <w:r w:rsidR="003732EA" w:rsidRPr="003732EA">
        <w:rPr>
          <w:lang w:val="en-GB"/>
        </w:rPr>
        <w:t xml:space="preserve"> phase where a potential new classification system has found general acceptance in the SCEGHS</w:t>
      </w:r>
      <w:r w:rsidR="002A56DF">
        <w:rPr>
          <w:lang w:val="en-GB"/>
        </w:rPr>
        <w:t xml:space="preserve">. </w:t>
      </w:r>
      <w:r w:rsidR="00360911">
        <w:rPr>
          <w:lang w:val="en-GB"/>
        </w:rPr>
        <w:t xml:space="preserve">Lately the </w:t>
      </w:r>
      <w:proofErr w:type="gramStart"/>
      <w:r w:rsidR="00360911">
        <w:rPr>
          <w:lang w:val="en-GB"/>
        </w:rPr>
        <w:t>main focus</w:t>
      </w:r>
      <w:proofErr w:type="gramEnd"/>
      <w:r w:rsidR="00360911">
        <w:rPr>
          <w:lang w:val="en-GB"/>
        </w:rPr>
        <w:t xml:space="preserve"> has been on fine-tun</w:t>
      </w:r>
      <w:r w:rsidR="007F52E8">
        <w:rPr>
          <w:lang w:val="en-GB"/>
        </w:rPr>
        <w:t xml:space="preserve">ing the criteria for the system, </w:t>
      </w:r>
      <w:r w:rsidR="00360911">
        <w:rPr>
          <w:lang w:val="en-GB"/>
        </w:rPr>
        <w:t>a</w:t>
      </w:r>
      <w:r w:rsidR="007F52E8">
        <w:rPr>
          <w:lang w:val="en-GB"/>
        </w:rPr>
        <w:t>s</w:t>
      </w:r>
      <w:r w:rsidR="00360911">
        <w:rPr>
          <w:lang w:val="en-GB"/>
        </w:rPr>
        <w:t xml:space="preserve"> i</w:t>
      </w:r>
      <w:r w:rsidR="002A56DF">
        <w:rPr>
          <w:lang w:val="en-GB"/>
        </w:rPr>
        <w:t xml:space="preserve">t </w:t>
      </w:r>
      <w:r w:rsidR="002A56DF" w:rsidRPr="003732EA">
        <w:rPr>
          <w:lang w:val="en-GB"/>
        </w:rPr>
        <w:t>was requested by the SCEGHS</w:t>
      </w:r>
      <w:r w:rsidR="002A56DF">
        <w:rPr>
          <w:lang w:val="en-GB"/>
        </w:rPr>
        <w:t xml:space="preserve"> at its 35:th session </w:t>
      </w:r>
      <w:r w:rsidR="002A56DF" w:rsidRPr="003732EA">
        <w:rPr>
          <w:lang w:val="en-GB"/>
        </w:rPr>
        <w:t>that the</w:t>
      </w:r>
      <w:r w:rsidR="00360911">
        <w:rPr>
          <w:lang w:val="en-GB"/>
        </w:rPr>
        <w:t>se</w:t>
      </w:r>
      <w:r w:rsidR="002A56DF" w:rsidRPr="003732EA">
        <w:rPr>
          <w:lang w:val="en-GB"/>
        </w:rPr>
        <w:t xml:space="preserve"> be settled within the current biennium</w:t>
      </w:r>
      <w:r w:rsidR="00360911">
        <w:rPr>
          <w:rStyle w:val="FootnoteReference"/>
          <w:lang w:val="en-GB"/>
        </w:rPr>
        <w:footnoteReference w:id="1"/>
      </w:r>
      <w:r w:rsidR="002A56DF">
        <w:rPr>
          <w:lang w:val="en-GB"/>
        </w:rPr>
        <w:t xml:space="preserve">. </w:t>
      </w:r>
      <w:r w:rsidR="003732EA" w:rsidRPr="003732EA">
        <w:rPr>
          <w:lang w:val="en-GB"/>
        </w:rPr>
        <w:t xml:space="preserve">In the next biennium the </w:t>
      </w:r>
      <w:r w:rsidR="00360911">
        <w:rPr>
          <w:lang w:val="en-GB"/>
        </w:rPr>
        <w:t xml:space="preserve">attention </w:t>
      </w:r>
      <w:r w:rsidR="003732EA" w:rsidRPr="003732EA">
        <w:rPr>
          <w:lang w:val="en-GB"/>
        </w:rPr>
        <w:t>would then shift to developing a new Chapter 2.1</w:t>
      </w:r>
      <w:r w:rsidR="00360911">
        <w:rPr>
          <w:lang w:val="en-GB"/>
        </w:rPr>
        <w:t>,</w:t>
      </w:r>
      <w:r w:rsidR="003732EA" w:rsidRPr="003732EA">
        <w:rPr>
          <w:lang w:val="en-GB"/>
        </w:rPr>
        <w:t xml:space="preserve"> with the aim of implementing it into the </w:t>
      </w:r>
      <w:r w:rsidR="00305F0C">
        <w:rPr>
          <w:lang w:val="en-GB"/>
        </w:rPr>
        <w:t>9:th</w:t>
      </w:r>
      <w:r w:rsidR="003732EA" w:rsidRPr="003732EA">
        <w:rPr>
          <w:lang w:val="en-GB"/>
        </w:rPr>
        <w:t xml:space="preserve"> revised edition of the Purple Book. </w:t>
      </w:r>
    </w:p>
    <w:p w:rsidR="003732EA" w:rsidRDefault="00B202B9" w:rsidP="003732EA">
      <w:pPr>
        <w:pStyle w:val="SingleTxtG"/>
        <w:ind w:right="992"/>
        <w:rPr>
          <w:lang w:val="en-GB"/>
        </w:rPr>
      </w:pPr>
      <w:r>
        <w:rPr>
          <w:lang w:val="en-GB"/>
        </w:rPr>
        <w:t>2.</w:t>
      </w:r>
      <w:r>
        <w:rPr>
          <w:lang w:val="en-GB"/>
        </w:rPr>
        <w:tab/>
      </w:r>
      <w:r w:rsidR="003732EA" w:rsidRPr="003732EA">
        <w:rPr>
          <w:lang w:val="en-GB"/>
        </w:rPr>
        <w:t>The work is done within an Informal Correspondence Group (ICG) led by the expert from Sweden, that cooperates with the Working Group on Explosives</w:t>
      </w:r>
      <w:r>
        <w:rPr>
          <w:lang w:val="en-GB"/>
        </w:rPr>
        <w:t xml:space="preserve"> (EWG)</w:t>
      </w:r>
      <w:r w:rsidR="003732EA" w:rsidRPr="003732EA">
        <w:rPr>
          <w:lang w:val="en-GB"/>
        </w:rPr>
        <w:t xml:space="preserve"> on </w:t>
      </w:r>
      <w:r>
        <w:rPr>
          <w:lang w:val="en-GB"/>
        </w:rPr>
        <w:t xml:space="preserve">developing </w:t>
      </w:r>
      <w:r w:rsidR="003732EA" w:rsidRPr="003732EA">
        <w:rPr>
          <w:lang w:val="en-GB"/>
        </w:rPr>
        <w:t xml:space="preserve">the </w:t>
      </w:r>
      <w:r w:rsidR="00305F0C">
        <w:rPr>
          <w:lang w:val="en-GB"/>
        </w:rPr>
        <w:t xml:space="preserve">technical </w:t>
      </w:r>
      <w:r w:rsidR="003732EA" w:rsidRPr="003732EA">
        <w:rPr>
          <w:lang w:val="en-GB"/>
        </w:rPr>
        <w:t xml:space="preserve">criteria. Status reports on the work have been submitted to both Subcommittees </w:t>
      </w:r>
      <w:r w:rsidR="0015668E">
        <w:rPr>
          <w:lang w:val="en-GB"/>
        </w:rPr>
        <w:t xml:space="preserve">continuously over </w:t>
      </w:r>
      <w:r w:rsidR="003732EA" w:rsidRPr="003732EA">
        <w:rPr>
          <w:lang w:val="en-GB"/>
        </w:rPr>
        <w:t>this bienniu</w:t>
      </w:r>
      <w:r w:rsidR="0015668E">
        <w:rPr>
          <w:lang w:val="en-GB"/>
        </w:rPr>
        <w:t>m.</w:t>
      </w:r>
      <w:r w:rsidR="00305F0C">
        <w:rPr>
          <w:rStyle w:val="FootnoteReference"/>
          <w:lang w:val="en-GB"/>
        </w:rPr>
        <w:footnoteReference w:id="2"/>
      </w:r>
      <w:r>
        <w:rPr>
          <w:lang w:val="en-GB"/>
        </w:rPr>
        <w:t xml:space="preserve"> These reports reveal that a lot of effort has been devoted to the developm</w:t>
      </w:r>
      <w:r w:rsidR="007F52E8">
        <w:rPr>
          <w:lang w:val="en-GB"/>
        </w:rPr>
        <w:t>ent of the potential new system</w:t>
      </w:r>
      <w:r>
        <w:rPr>
          <w:lang w:val="en-GB"/>
        </w:rPr>
        <w:t xml:space="preserve"> and the expert from Sweden is thankful for the persistent dedication of many experts within the ICG and the EWG</w:t>
      </w:r>
      <w:r w:rsidR="007F52E8">
        <w:rPr>
          <w:lang w:val="en-GB"/>
        </w:rPr>
        <w:t>.</w:t>
      </w:r>
    </w:p>
    <w:p w:rsidR="003732EA" w:rsidRDefault="004D7CE8" w:rsidP="003732EA">
      <w:pPr>
        <w:pStyle w:val="SingleTxtG"/>
        <w:ind w:right="992"/>
        <w:rPr>
          <w:lang w:val="en-GB"/>
        </w:rPr>
      </w:pPr>
      <w:r>
        <w:rPr>
          <w:lang w:val="en-GB"/>
        </w:rPr>
        <w:t>3</w:t>
      </w:r>
      <w:r w:rsidR="00460F33">
        <w:rPr>
          <w:lang w:val="en-GB"/>
        </w:rPr>
        <w:t>.</w:t>
      </w:r>
      <w:r w:rsidR="00460F33">
        <w:rPr>
          <w:lang w:val="en-GB"/>
        </w:rPr>
        <w:tab/>
      </w:r>
      <w:r w:rsidR="003732EA">
        <w:rPr>
          <w:lang w:val="en-GB"/>
        </w:rPr>
        <w:t>In working docu</w:t>
      </w:r>
      <w:r w:rsidR="00F45B3C">
        <w:rPr>
          <w:lang w:val="en-GB"/>
        </w:rPr>
        <w:t>ment 20</w:t>
      </w:r>
      <w:r w:rsidR="002A56DF">
        <w:rPr>
          <w:lang w:val="en-GB"/>
        </w:rPr>
        <w:t xml:space="preserve"> </w:t>
      </w:r>
      <w:r w:rsidR="003732EA">
        <w:rPr>
          <w:lang w:val="en-GB"/>
        </w:rPr>
        <w:t xml:space="preserve">to the </w:t>
      </w:r>
      <w:r w:rsidR="002A56DF">
        <w:rPr>
          <w:lang w:val="en-GB"/>
        </w:rPr>
        <w:t xml:space="preserve">36:th </w:t>
      </w:r>
      <w:r w:rsidR="003732EA">
        <w:rPr>
          <w:lang w:val="en-GB"/>
        </w:rPr>
        <w:t>SCEGHS</w:t>
      </w:r>
      <w:r w:rsidR="00F45B3C">
        <w:rPr>
          <w:lang w:val="en-GB"/>
        </w:rPr>
        <w:t xml:space="preserve"> (WD20)</w:t>
      </w:r>
      <w:r w:rsidR="003732EA">
        <w:rPr>
          <w:rStyle w:val="FootnoteReference"/>
          <w:lang w:val="en-GB"/>
        </w:rPr>
        <w:footnoteReference w:id="3"/>
      </w:r>
      <w:r w:rsidR="003732EA">
        <w:rPr>
          <w:lang w:val="en-GB"/>
        </w:rPr>
        <w:t>, c</w:t>
      </w:r>
      <w:r w:rsidR="003732EA" w:rsidRPr="007D5561">
        <w:rPr>
          <w:lang w:val="en-GB"/>
        </w:rPr>
        <w:t>riteria for the new system</w:t>
      </w:r>
      <w:r w:rsidR="003732EA">
        <w:rPr>
          <w:lang w:val="en-GB"/>
        </w:rPr>
        <w:t xml:space="preserve"> are proposed in the form of flowcharts</w:t>
      </w:r>
      <w:r w:rsidR="000F4C8E">
        <w:rPr>
          <w:lang w:val="en-GB"/>
        </w:rPr>
        <w:t xml:space="preserve"> contained in </w:t>
      </w:r>
      <w:r w:rsidR="002A56DF">
        <w:rPr>
          <w:lang w:val="en-GB"/>
        </w:rPr>
        <w:t>three Annexes</w:t>
      </w:r>
      <w:r w:rsidR="003732EA">
        <w:rPr>
          <w:lang w:val="en-GB"/>
        </w:rPr>
        <w:t>. T</w:t>
      </w:r>
      <w:r w:rsidR="002A56DF">
        <w:rPr>
          <w:lang w:val="en-GB"/>
        </w:rPr>
        <w:t>he flowchart in Annex 1</w:t>
      </w:r>
      <w:r w:rsidR="003732EA">
        <w:rPr>
          <w:lang w:val="en-GB"/>
        </w:rPr>
        <w:t xml:space="preserve"> contains the criteria for deciding </w:t>
      </w:r>
      <w:r w:rsidR="000F4C8E">
        <w:rPr>
          <w:lang w:val="en-GB"/>
        </w:rPr>
        <w:t xml:space="preserve">on </w:t>
      </w:r>
      <w:r w:rsidR="003732EA">
        <w:rPr>
          <w:lang w:val="en-GB"/>
        </w:rPr>
        <w:t xml:space="preserve">whether a substance, mixture or article </w:t>
      </w:r>
      <w:r w:rsidR="002A56DF">
        <w:rPr>
          <w:lang w:val="en-GB"/>
        </w:rPr>
        <w:t xml:space="preserve">is an Explosive. Annex 2 </w:t>
      </w:r>
      <w:r w:rsidR="003732EA">
        <w:rPr>
          <w:lang w:val="en-GB"/>
        </w:rPr>
        <w:t xml:space="preserve">presents the criteria for Sub-categories 2A-C, which have been further refined </w:t>
      </w:r>
      <w:r w:rsidR="00DB6254">
        <w:rPr>
          <w:lang w:val="en-GB"/>
        </w:rPr>
        <w:t xml:space="preserve">by experts from the United States </w:t>
      </w:r>
      <w:r w:rsidR="003732EA">
        <w:rPr>
          <w:lang w:val="en-GB"/>
        </w:rPr>
        <w:t>in</w:t>
      </w:r>
      <w:r w:rsidR="002A56DF">
        <w:rPr>
          <w:lang w:val="en-GB"/>
        </w:rPr>
        <w:t xml:space="preserve"> informal document 10 </w:t>
      </w:r>
      <w:r w:rsidR="003732EA">
        <w:rPr>
          <w:lang w:val="en-GB"/>
        </w:rPr>
        <w:t xml:space="preserve">to the </w:t>
      </w:r>
      <w:r w:rsidR="00F45B3C">
        <w:rPr>
          <w:lang w:val="en-GB"/>
        </w:rPr>
        <w:t>36:th SCEGHS (INF.10)</w:t>
      </w:r>
      <w:r w:rsidR="003732EA">
        <w:rPr>
          <w:rStyle w:val="FootnoteReference"/>
          <w:lang w:val="en-GB"/>
        </w:rPr>
        <w:footnoteReference w:id="4"/>
      </w:r>
      <w:r w:rsidR="002A56DF">
        <w:rPr>
          <w:lang w:val="en-GB"/>
        </w:rPr>
        <w:t xml:space="preserve">. </w:t>
      </w:r>
      <w:r w:rsidR="00B77377" w:rsidRPr="002D24FC">
        <w:rPr>
          <w:lang w:val="en-GB"/>
        </w:rPr>
        <w:t>These experts have also developed</w:t>
      </w:r>
      <w:r w:rsidR="002D24FC" w:rsidRPr="002D24FC">
        <w:rPr>
          <w:lang w:val="en-GB"/>
        </w:rPr>
        <w:t xml:space="preserve"> </w:t>
      </w:r>
      <w:r w:rsidR="000F4C8E">
        <w:rPr>
          <w:lang w:val="en-GB"/>
        </w:rPr>
        <w:t>several</w:t>
      </w:r>
      <w:r w:rsidR="002D24FC" w:rsidRPr="002D24FC">
        <w:rPr>
          <w:lang w:val="en-GB"/>
        </w:rPr>
        <w:t xml:space="preserve"> </w:t>
      </w:r>
      <w:r w:rsidR="000F4C8E">
        <w:rPr>
          <w:lang w:val="en-GB"/>
        </w:rPr>
        <w:t xml:space="preserve">illustrative </w:t>
      </w:r>
      <w:r w:rsidR="00B77377" w:rsidRPr="002D24FC">
        <w:rPr>
          <w:lang w:val="en-GB"/>
        </w:rPr>
        <w:t>examples of how the</w:t>
      </w:r>
      <w:r w:rsidR="002D24FC" w:rsidRPr="002D24FC">
        <w:rPr>
          <w:lang w:val="en-GB"/>
        </w:rPr>
        <w:t>ir proposed</w:t>
      </w:r>
      <w:r w:rsidR="00B77377" w:rsidRPr="002D24FC">
        <w:rPr>
          <w:lang w:val="en-GB"/>
        </w:rPr>
        <w:t xml:space="preserve"> </w:t>
      </w:r>
      <w:r w:rsidR="002D24FC" w:rsidRPr="002D24FC">
        <w:rPr>
          <w:lang w:val="en-GB"/>
        </w:rPr>
        <w:t xml:space="preserve">criteria </w:t>
      </w:r>
      <w:r w:rsidR="000F4C8E">
        <w:rPr>
          <w:lang w:val="en-GB"/>
        </w:rPr>
        <w:t>are to be used</w:t>
      </w:r>
      <w:r w:rsidR="00943072" w:rsidRPr="002D24FC">
        <w:rPr>
          <w:lang w:val="en-GB"/>
        </w:rPr>
        <w:t xml:space="preserve"> </w:t>
      </w:r>
      <w:r w:rsidR="000F4C8E">
        <w:rPr>
          <w:lang w:val="en-GB"/>
        </w:rPr>
        <w:t>in practice</w:t>
      </w:r>
      <w:r w:rsidR="00B77377" w:rsidRPr="002D24FC">
        <w:rPr>
          <w:lang w:val="en-GB"/>
        </w:rPr>
        <w:t xml:space="preserve"> in </w:t>
      </w:r>
      <w:r w:rsidR="000F4C8E">
        <w:rPr>
          <w:lang w:val="en-GB"/>
        </w:rPr>
        <w:t xml:space="preserve">informal document </w:t>
      </w:r>
      <w:r w:rsidR="002D24FC" w:rsidRPr="002D24FC">
        <w:rPr>
          <w:lang w:val="en-GB"/>
        </w:rPr>
        <w:t>18</w:t>
      </w:r>
      <w:r w:rsidR="00B77377" w:rsidRPr="002D24FC">
        <w:rPr>
          <w:lang w:val="en-GB"/>
        </w:rPr>
        <w:t xml:space="preserve"> to the SCEGHS</w:t>
      </w:r>
      <w:r w:rsidR="000F4C8E">
        <w:rPr>
          <w:lang w:val="en-GB"/>
        </w:rPr>
        <w:t xml:space="preserve"> (INF.18)</w:t>
      </w:r>
      <w:r w:rsidR="008F5564" w:rsidRPr="002D24FC">
        <w:rPr>
          <w:rStyle w:val="FootnoteReference"/>
          <w:lang w:val="en-GB"/>
        </w:rPr>
        <w:footnoteReference w:id="5"/>
      </w:r>
      <w:r w:rsidR="00B77377" w:rsidRPr="002D24FC">
        <w:rPr>
          <w:lang w:val="en-GB"/>
        </w:rPr>
        <w:t>.</w:t>
      </w:r>
      <w:r w:rsidR="00B77377">
        <w:rPr>
          <w:lang w:val="en-GB"/>
        </w:rPr>
        <w:t xml:space="preserve"> </w:t>
      </w:r>
      <w:r w:rsidR="002A56DF">
        <w:rPr>
          <w:lang w:val="en-GB"/>
        </w:rPr>
        <w:t xml:space="preserve">Annex 3 </w:t>
      </w:r>
      <w:r w:rsidR="00AF4434">
        <w:rPr>
          <w:lang w:val="en-GB"/>
        </w:rPr>
        <w:t>of WD20</w:t>
      </w:r>
      <w:r w:rsidR="008F5564">
        <w:rPr>
          <w:lang w:val="en-GB"/>
        </w:rPr>
        <w:t xml:space="preserve"> </w:t>
      </w:r>
      <w:r w:rsidR="003732EA">
        <w:rPr>
          <w:lang w:val="en-GB"/>
        </w:rPr>
        <w:t>presents the additional possibilit</w:t>
      </w:r>
      <w:r w:rsidR="001F2252">
        <w:rPr>
          <w:lang w:val="en-GB"/>
        </w:rPr>
        <w:t xml:space="preserve">y of splitting Category 1 into </w:t>
      </w:r>
      <w:r w:rsidR="000F4C8E">
        <w:rPr>
          <w:lang w:val="en-GB"/>
        </w:rPr>
        <w:t xml:space="preserve">two </w:t>
      </w:r>
      <w:r w:rsidR="001F2252">
        <w:rPr>
          <w:lang w:val="en-GB"/>
        </w:rPr>
        <w:t>s</w:t>
      </w:r>
      <w:r w:rsidR="003732EA">
        <w:rPr>
          <w:lang w:val="en-GB"/>
        </w:rPr>
        <w:t>ub-categories</w:t>
      </w:r>
      <w:r w:rsidR="001F2252">
        <w:rPr>
          <w:lang w:val="en-GB"/>
        </w:rPr>
        <w:t xml:space="preserve"> </w:t>
      </w:r>
      <w:r w:rsidR="00AF4434">
        <w:rPr>
          <w:lang w:val="en-GB"/>
        </w:rPr>
        <w:t>– an issue that is further discussed below</w:t>
      </w:r>
      <w:r w:rsidR="003732EA">
        <w:rPr>
          <w:lang w:val="en-GB"/>
        </w:rPr>
        <w:t>.</w:t>
      </w:r>
    </w:p>
    <w:p w:rsidR="003732EA" w:rsidRPr="003732EA" w:rsidRDefault="004D7CE8" w:rsidP="003732EA">
      <w:pPr>
        <w:pStyle w:val="SingleTxtG"/>
        <w:ind w:right="992"/>
        <w:rPr>
          <w:lang w:val="en-GB"/>
        </w:rPr>
      </w:pPr>
      <w:r>
        <w:rPr>
          <w:lang w:val="en-GB"/>
        </w:rPr>
        <w:lastRenderedPageBreak/>
        <w:t>4</w:t>
      </w:r>
      <w:r w:rsidR="003732EA" w:rsidRPr="003732EA">
        <w:rPr>
          <w:lang w:val="en-GB"/>
        </w:rPr>
        <w:t>.</w:t>
      </w:r>
      <w:r w:rsidR="003732EA" w:rsidRPr="003732EA">
        <w:rPr>
          <w:lang w:val="en-GB"/>
        </w:rPr>
        <w:tab/>
        <w:t xml:space="preserve">At this stage there are </w:t>
      </w:r>
      <w:proofErr w:type="gramStart"/>
      <w:r w:rsidR="003732EA" w:rsidRPr="003732EA">
        <w:rPr>
          <w:lang w:val="en-GB"/>
        </w:rPr>
        <w:t>a two main open issues</w:t>
      </w:r>
      <w:proofErr w:type="gramEnd"/>
      <w:r w:rsidR="003732EA" w:rsidRPr="003732EA">
        <w:rPr>
          <w:lang w:val="en-GB"/>
        </w:rPr>
        <w:t xml:space="preserve"> that still need to be resolved in order to be able to settle on the criteria. They have been discussed within the ICG since </w:t>
      </w:r>
      <w:r w:rsidR="000F4C8E">
        <w:rPr>
          <w:lang w:val="en-GB"/>
        </w:rPr>
        <w:t>WD20</w:t>
      </w:r>
      <w:r w:rsidR="003732EA" w:rsidRPr="003732EA">
        <w:rPr>
          <w:lang w:val="en-GB"/>
        </w:rPr>
        <w:t xml:space="preserve"> was submitted, albeit to various degrees. However, further discussion is needed </w:t>
      </w:r>
      <w:proofErr w:type="gramStart"/>
      <w:r w:rsidR="003732EA" w:rsidRPr="003732EA">
        <w:rPr>
          <w:lang w:val="en-GB"/>
        </w:rPr>
        <w:t>in order to</w:t>
      </w:r>
      <w:proofErr w:type="gramEnd"/>
      <w:r w:rsidR="003732EA" w:rsidRPr="003732EA">
        <w:rPr>
          <w:lang w:val="en-GB"/>
        </w:rPr>
        <w:t xml:space="preserve"> reach agreement within the group</w:t>
      </w:r>
      <w:r w:rsidR="000F4C8E">
        <w:rPr>
          <w:lang w:val="en-GB"/>
        </w:rPr>
        <w:t>. T</w:t>
      </w:r>
      <w:r w:rsidR="003732EA" w:rsidRPr="003732EA">
        <w:rPr>
          <w:lang w:val="en-GB"/>
        </w:rPr>
        <w:t>o facilitate the par</w:t>
      </w:r>
      <w:r w:rsidR="000F4C8E">
        <w:rPr>
          <w:lang w:val="en-GB"/>
        </w:rPr>
        <w:t>ticipation of all concerned, these open issues</w:t>
      </w:r>
      <w:r w:rsidR="003732EA" w:rsidRPr="003732EA">
        <w:rPr>
          <w:lang w:val="en-GB"/>
        </w:rPr>
        <w:t xml:space="preserve"> are explained in some detail below.</w:t>
      </w:r>
    </w:p>
    <w:p w:rsidR="003732EA" w:rsidRPr="003732EA" w:rsidRDefault="003732EA" w:rsidP="003732EA">
      <w:pPr>
        <w:pStyle w:val="SingleTxtG"/>
        <w:ind w:right="992"/>
        <w:rPr>
          <w:b/>
          <w:lang w:val="en-GB"/>
        </w:rPr>
      </w:pPr>
      <w:r w:rsidRPr="003732EA">
        <w:rPr>
          <w:b/>
          <w:lang w:val="en-GB"/>
        </w:rPr>
        <w:t>Open issue 1 - the fate of energetic samples</w:t>
      </w:r>
    </w:p>
    <w:p w:rsidR="003732EA" w:rsidRPr="003732EA" w:rsidRDefault="004D7CE8" w:rsidP="003732EA">
      <w:pPr>
        <w:pStyle w:val="SingleTxtG"/>
        <w:ind w:right="992"/>
        <w:rPr>
          <w:lang w:val="en-GB"/>
        </w:rPr>
      </w:pPr>
      <w:r>
        <w:rPr>
          <w:lang w:val="en-GB"/>
        </w:rPr>
        <w:t>5</w:t>
      </w:r>
      <w:r w:rsidR="003732EA" w:rsidRPr="003732EA">
        <w:rPr>
          <w:lang w:val="en-GB"/>
        </w:rPr>
        <w:t>.</w:t>
      </w:r>
      <w:r w:rsidR="003732EA" w:rsidRPr="003732EA">
        <w:rPr>
          <w:lang w:val="en-GB"/>
        </w:rPr>
        <w:tab/>
        <w:t>When Chapter 2.1 of the GHS was discussed at the meeting of the EWG during the 53:rd SCETDG, it</w:t>
      </w:r>
      <w:r w:rsidR="00B82653">
        <w:rPr>
          <w:lang w:val="en-GB"/>
        </w:rPr>
        <w:t xml:space="preserve"> was noted in the minutes that “</w:t>
      </w:r>
      <w:r w:rsidR="003732EA" w:rsidRPr="00B82653">
        <w:rPr>
          <w:i/>
          <w:lang w:val="en-GB"/>
        </w:rPr>
        <w:t>Some consideration may also be required to categorize very small amounts of materials that have not yet been characterized.</w:t>
      </w:r>
      <w:r w:rsidR="003732EA" w:rsidRPr="003732EA">
        <w:rPr>
          <w:lang w:val="en-GB"/>
        </w:rPr>
        <w:t>”</w:t>
      </w:r>
      <w:r w:rsidR="00C05197">
        <w:rPr>
          <w:rStyle w:val="FootnoteReference"/>
          <w:lang w:val="en-GB"/>
        </w:rPr>
        <w:footnoteReference w:id="6"/>
      </w:r>
      <w:r w:rsidR="003732EA" w:rsidRPr="003732EA">
        <w:rPr>
          <w:lang w:val="en-GB"/>
        </w:rPr>
        <w:t xml:space="preserve"> What was pointed out in this context is that for samples in the research and development phase there may not be enough material present to perform all the prescribed tests for Explosives. Frequently only a few grams exist in total at this stage e.g. for candidate molecules for pharmaceutical or crop protection purposes.</w:t>
      </w:r>
    </w:p>
    <w:p w:rsidR="003732EA" w:rsidRPr="003732EA" w:rsidRDefault="004D7CE8" w:rsidP="003732EA">
      <w:pPr>
        <w:pStyle w:val="SingleTxtG"/>
        <w:ind w:right="992"/>
        <w:rPr>
          <w:lang w:val="en-GB"/>
        </w:rPr>
      </w:pPr>
      <w:r>
        <w:rPr>
          <w:lang w:val="en-GB"/>
        </w:rPr>
        <w:t>6</w:t>
      </w:r>
      <w:r w:rsidR="003732EA" w:rsidRPr="003732EA">
        <w:rPr>
          <w:lang w:val="en-GB"/>
        </w:rPr>
        <w:t>.</w:t>
      </w:r>
      <w:r w:rsidR="003732EA" w:rsidRPr="003732EA">
        <w:rPr>
          <w:lang w:val="en-GB"/>
        </w:rPr>
        <w:tab/>
        <w:t>For substances that are not manufactured with the view of producing an explosive or pyrotechnic effect, but where screening procedures</w:t>
      </w:r>
      <w:r w:rsidR="000F4C8E">
        <w:rPr>
          <w:rStyle w:val="FootnoteReference"/>
          <w:lang w:val="en-GB"/>
        </w:rPr>
        <w:footnoteReference w:id="7"/>
      </w:r>
      <w:r w:rsidR="003732EA" w:rsidRPr="003732EA">
        <w:rPr>
          <w:lang w:val="en-GB"/>
        </w:rPr>
        <w:t xml:space="preserve"> cannot rule out that they may have explosive properties, performing Test Series 2 is required</w:t>
      </w:r>
      <w:r w:rsidR="00B82653">
        <w:rPr>
          <w:rStyle w:val="FootnoteReference"/>
          <w:lang w:val="en-GB"/>
        </w:rPr>
        <w:footnoteReference w:id="8"/>
      </w:r>
      <w:r w:rsidR="003732EA" w:rsidRPr="003732EA">
        <w:rPr>
          <w:lang w:val="en-GB"/>
        </w:rPr>
        <w:t xml:space="preserve">. In particular Test 2(a), the UN Gap Test, poses </w:t>
      </w:r>
      <w:proofErr w:type="gramStart"/>
      <w:r w:rsidR="003732EA" w:rsidRPr="003732EA">
        <w:rPr>
          <w:lang w:val="en-GB"/>
        </w:rPr>
        <w:t>a challenges</w:t>
      </w:r>
      <w:proofErr w:type="gramEnd"/>
      <w:r w:rsidR="003732EA" w:rsidRPr="003732EA">
        <w:rPr>
          <w:lang w:val="en-GB"/>
        </w:rPr>
        <w:t xml:space="preserve"> as it typically requires</w:t>
      </w:r>
      <w:r w:rsidR="00026BF6">
        <w:rPr>
          <w:lang w:val="en-GB"/>
        </w:rPr>
        <w:t xml:space="preserve"> more than a</w:t>
      </w:r>
      <w:r w:rsidR="003732EA" w:rsidRPr="003732EA">
        <w:rPr>
          <w:lang w:val="en-GB"/>
        </w:rPr>
        <w:t xml:space="preserve"> k</w:t>
      </w:r>
      <w:r w:rsidR="00026BF6">
        <w:rPr>
          <w:lang w:val="en-GB"/>
        </w:rPr>
        <w:t>ilogram</w:t>
      </w:r>
      <w:r w:rsidR="003732EA" w:rsidRPr="003732EA">
        <w:rPr>
          <w:lang w:val="en-GB"/>
        </w:rPr>
        <w:t xml:space="preserve"> of sample. Furthermore, if the result is negative</w:t>
      </w:r>
      <w:r w:rsidR="000F4C8E">
        <w:rPr>
          <w:lang w:val="en-GB"/>
        </w:rPr>
        <w:t>,</w:t>
      </w:r>
      <w:r w:rsidR="003732EA" w:rsidRPr="003732EA">
        <w:rPr>
          <w:lang w:val="en-GB"/>
        </w:rPr>
        <w:t xml:space="preserve"> the material is scattered around the test facility, which poses a hazard to the personnel cleaning up afterwards if the substance is biologically active (e.g. a pharmaceutical or crop protection type of molecule).</w:t>
      </w:r>
    </w:p>
    <w:p w:rsidR="003732EA" w:rsidRPr="003732EA" w:rsidRDefault="004D7CE8" w:rsidP="003732EA">
      <w:pPr>
        <w:pStyle w:val="SingleTxtG"/>
        <w:ind w:right="992"/>
        <w:rPr>
          <w:lang w:val="en-GB"/>
        </w:rPr>
      </w:pPr>
      <w:r>
        <w:rPr>
          <w:lang w:val="en-GB"/>
        </w:rPr>
        <w:t>7</w:t>
      </w:r>
      <w:r w:rsidR="003732EA" w:rsidRPr="003732EA">
        <w:rPr>
          <w:lang w:val="en-GB"/>
        </w:rPr>
        <w:t>.</w:t>
      </w:r>
      <w:r w:rsidR="003732EA" w:rsidRPr="003732EA">
        <w:rPr>
          <w:lang w:val="en-GB"/>
        </w:rPr>
        <w:tab/>
        <w:t>Recognising the problem</w:t>
      </w:r>
      <w:r w:rsidR="00474838">
        <w:rPr>
          <w:rStyle w:val="FootnoteReference"/>
          <w:lang w:val="en-GB"/>
        </w:rPr>
        <w:footnoteReference w:id="9"/>
      </w:r>
      <w:r w:rsidR="003732EA" w:rsidRPr="003732EA">
        <w:rPr>
          <w:lang w:val="en-GB"/>
        </w:rPr>
        <w:t>, a small group of experts</w:t>
      </w:r>
      <w:r w:rsidR="000F4C8E">
        <w:rPr>
          <w:rStyle w:val="FootnoteReference"/>
          <w:lang w:val="en-GB"/>
        </w:rPr>
        <w:footnoteReference w:id="10"/>
      </w:r>
      <w:r w:rsidR="003732EA" w:rsidRPr="003732EA">
        <w:rPr>
          <w:lang w:val="en-GB"/>
        </w:rPr>
        <w:t xml:space="preserve"> met and discussed under what conditions performing the full Test Series 2, </w:t>
      </w:r>
      <w:proofErr w:type="gramStart"/>
      <w:r w:rsidR="003732EA" w:rsidRPr="003732EA">
        <w:rPr>
          <w:lang w:val="en-GB"/>
        </w:rPr>
        <w:t>in particular Test</w:t>
      </w:r>
      <w:proofErr w:type="gramEnd"/>
      <w:r w:rsidR="003732EA" w:rsidRPr="003732EA">
        <w:rPr>
          <w:lang w:val="en-GB"/>
        </w:rPr>
        <w:t xml:space="preserve"> 2(a), could be avoided. The group came to the suggestion to add a note to Box 5 of the flowchart in Annex 1 of WD20 reading:</w:t>
      </w:r>
    </w:p>
    <w:p w:rsidR="003732EA" w:rsidRPr="007D38CC" w:rsidRDefault="003732EA" w:rsidP="00474838">
      <w:pPr>
        <w:pStyle w:val="SingleTxtG"/>
        <w:ind w:left="1418" w:right="1133"/>
        <w:rPr>
          <w:i/>
          <w:lang w:val="en-GB"/>
        </w:rPr>
      </w:pPr>
      <w:r w:rsidRPr="007D38CC">
        <w:rPr>
          <w:i/>
          <w:lang w:val="en-GB"/>
        </w:rPr>
        <w:t xml:space="preserve">Substances in the </w:t>
      </w:r>
      <w:r w:rsidR="007D38CC">
        <w:rPr>
          <w:i/>
          <w:lang w:val="en-GB"/>
        </w:rPr>
        <w:t>research and development</w:t>
      </w:r>
      <w:r w:rsidRPr="007D38CC">
        <w:rPr>
          <w:i/>
          <w:lang w:val="en-GB"/>
        </w:rPr>
        <w:t xml:space="preserve"> phase for which not enough material exists to perform Test Series 2 may be regarded as Self-reactive substances </w:t>
      </w:r>
      <w:r w:rsidR="00294E84">
        <w:rPr>
          <w:i/>
          <w:lang w:val="en-GB"/>
        </w:rPr>
        <w:t>and</w:t>
      </w:r>
      <w:r w:rsidRPr="007D38CC">
        <w:rPr>
          <w:i/>
          <w:lang w:val="en-GB"/>
        </w:rPr>
        <w:t xml:space="preserve"> mixtures </w:t>
      </w:r>
      <w:r w:rsidR="00474838">
        <w:rPr>
          <w:i/>
          <w:lang w:val="en-GB"/>
        </w:rPr>
        <w:br/>
      </w:r>
      <w:r w:rsidRPr="007D38CC">
        <w:rPr>
          <w:i/>
          <w:lang w:val="en-GB"/>
        </w:rPr>
        <w:t>Type C, provided that:</w:t>
      </w:r>
    </w:p>
    <w:p w:rsidR="003732EA" w:rsidRPr="007D38CC" w:rsidRDefault="003732EA" w:rsidP="00474838">
      <w:pPr>
        <w:pStyle w:val="SingleTxtG"/>
        <w:ind w:left="1418" w:right="1133"/>
        <w:rPr>
          <w:i/>
          <w:lang w:val="en-GB"/>
        </w:rPr>
      </w:pPr>
      <w:r w:rsidRPr="007D38CC">
        <w:rPr>
          <w:i/>
          <w:lang w:val="en-GB"/>
        </w:rPr>
        <w:t>- The decomposition energy of the substance is less than 2000 J/g; and</w:t>
      </w:r>
    </w:p>
    <w:p w:rsidR="003732EA" w:rsidRPr="007D38CC" w:rsidRDefault="003732EA" w:rsidP="00474838">
      <w:pPr>
        <w:pStyle w:val="SingleTxtG"/>
        <w:ind w:left="1418" w:right="1133"/>
        <w:rPr>
          <w:i/>
          <w:lang w:val="en-GB"/>
        </w:rPr>
      </w:pPr>
      <w:r w:rsidRPr="007D38CC">
        <w:rPr>
          <w:i/>
          <w:lang w:val="en-GB"/>
        </w:rPr>
        <w:t>- The result in Test 3(a) and Test 3(b) is negative; and</w:t>
      </w:r>
    </w:p>
    <w:p w:rsidR="003732EA" w:rsidRPr="007D38CC" w:rsidRDefault="003732EA" w:rsidP="00474838">
      <w:pPr>
        <w:pStyle w:val="SingleTxtG"/>
        <w:ind w:left="1418" w:right="1133"/>
        <w:rPr>
          <w:i/>
          <w:lang w:val="en-GB"/>
        </w:rPr>
      </w:pPr>
      <w:r w:rsidRPr="007D38CC">
        <w:rPr>
          <w:i/>
          <w:lang w:val="en-GB"/>
        </w:rPr>
        <w:t>- The result in Test 2(b) is “no explosion” at an orifice diameter of 6 mm; and</w:t>
      </w:r>
    </w:p>
    <w:p w:rsidR="003732EA" w:rsidRPr="007D38CC" w:rsidRDefault="003732EA" w:rsidP="00474838">
      <w:pPr>
        <w:pStyle w:val="SingleTxtG"/>
        <w:ind w:left="1418" w:right="1133"/>
        <w:rPr>
          <w:i/>
          <w:lang w:val="en-GB"/>
        </w:rPr>
      </w:pPr>
      <w:r w:rsidRPr="007D38CC">
        <w:rPr>
          <w:i/>
          <w:lang w:val="en-GB"/>
        </w:rPr>
        <w:t>- The expansion of the lead block in Test F.3</w:t>
      </w:r>
      <w:r w:rsidR="00474838" w:rsidRPr="00474838">
        <w:rPr>
          <w:i/>
          <w:lang w:val="en-GB"/>
        </w:rPr>
        <w:t xml:space="preserve"> </w:t>
      </w:r>
      <w:r w:rsidR="00474838" w:rsidRPr="007D38CC">
        <w:rPr>
          <w:i/>
          <w:lang w:val="en-GB"/>
        </w:rPr>
        <w:t xml:space="preserve">is less than 100 ml per </w:t>
      </w:r>
      <w:proofErr w:type="gramStart"/>
      <w:r w:rsidR="00474838" w:rsidRPr="007D38CC">
        <w:rPr>
          <w:i/>
          <w:lang w:val="en-GB"/>
        </w:rPr>
        <w:t>10 gra</w:t>
      </w:r>
      <w:r w:rsidR="00474838">
        <w:rPr>
          <w:i/>
          <w:lang w:val="en-GB"/>
        </w:rPr>
        <w:t>m</w:t>
      </w:r>
      <w:proofErr w:type="gramEnd"/>
      <w:r w:rsidR="00474838">
        <w:rPr>
          <w:i/>
          <w:lang w:val="en-GB"/>
        </w:rPr>
        <w:t xml:space="preserve"> </w:t>
      </w:r>
      <w:r w:rsidR="00474838" w:rsidRPr="007D38CC">
        <w:rPr>
          <w:i/>
          <w:lang w:val="en-GB"/>
        </w:rPr>
        <w:t>substance</w:t>
      </w:r>
      <w:r w:rsidR="00474838">
        <w:rPr>
          <w:i/>
          <w:lang w:val="en-GB"/>
        </w:rPr>
        <w:t>.</w:t>
      </w:r>
      <w:r w:rsidR="002D24FC">
        <w:rPr>
          <w:rStyle w:val="FootnoteReference"/>
          <w:i/>
          <w:lang w:val="en-GB"/>
        </w:rPr>
        <w:footnoteReference w:id="11"/>
      </w:r>
    </w:p>
    <w:p w:rsidR="003732EA" w:rsidRPr="003732EA" w:rsidRDefault="003732EA" w:rsidP="007D38CC">
      <w:pPr>
        <w:pStyle w:val="SingleTxtG"/>
        <w:ind w:right="992"/>
        <w:rPr>
          <w:lang w:val="en-GB"/>
        </w:rPr>
      </w:pPr>
      <w:r w:rsidRPr="003732EA">
        <w:rPr>
          <w:lang w:val="en-GB"/>
        </w:rPr>
        <w:t xml:space="preserve">Under these circumstances the answer to Box 5 would thus </w:t>
      </w:r>
      <w:proofErr w:type="gramStart"/>
      <w:r w:rsidRPr="003732EA">
        <w:rPr>
          <w:lang w:val="en-GB"/>
        </w:rPr>
        <w:t>be considered to be</w:t>
      </w:r>
      <w:proofErr w:type="gramEnd"/>
      <w:r w:rsidRPr="003732EA">
        <w:rPr>
          <w:lang w:val="en-GB"/>
        </w:rPr>
        <w:t xml:space="preserve"> “Yes”, directing to the classification result “Not an Explosive”. </w:t>
      </w:r>
      <w:proofErr w:type="gramStart"/>
      <w:r w:rsidRPr="003732EA">
        <w:rPr>
          <w:lang w:val="en-GB"/>
        </w:rPr>
        <w:t>Consequently</w:t>
      </w:r>
      <w:proofErr w:type="gramEnd"/>
      <w:r w:rsidRPr="003732EA">
        <w:rPr>
          <w:lang w:val="en-GB"/>
        </w:rPr>
        <w:t xml:space="preserve"> the substance would instead be classified in the GHS as a Self-reactive</w:t>
      </w:r>
      <w:r w:rsidR="007D38CC">
        <w:rPr>
          <w:lang w:val="en-GB"/>
        </w:rPr>
        <w:t xml:space="preserve"> substance or mixture Type C.</w:t>
      </w:r>
    </w:p>
    <w:p w:rsidR="003732EA" w:rsidRPr="003732EA" w:rsidRDefault="004D7CE8" w:rsidP="003732EA">
      <w:pPr>
        <w:pStyle w:val="SingleTxtG"/>
        <w:ind w:right="992"/>
        <w:rPr>
          <w:lang w:val="en-GB"/>
        </w:rPr>
      </w:pPr>
      <w:r>
        <w:rPr>
          <w:lang w:val="en-GB"/>
        </w:rPr>
        <w:t>8</w:t>
      </w:r>
      <w:r w:rsidR="003732EA" w:rsidRPr="003732EA">
        <w:rPr>
          <w:lang w:val="en-GB"/>
        </w:rPr>
        <w:t>.</w:t>
      </w:r>
      <w:r w:rsidR="003732EA" w:rsidRPr="003732EA">
        <w:rPr>
          <w:lang w:val="en-GB"/>
        </w:rPr>
        <w:tab/>
        <w:t xml:space="preserve">The criterion on decomposition energy above (i.e. the 2000 J/g limit) has been derived from analysing a large </w:t>
      </w:r>
      <w:proofErr w:type="gramStart"/>
      <w:r w:rsidR="003732EA" w:rsidRPr="003732EA">
        <w:rPr>
          <w:lang w:val="en-GB"/>
        </w:rPr>
        <w:t>amount</w:t>
      </w:r>
      <w:proofErr w:type="gramEnd"/>
      <w:r w:rsidR="003732EA" w:rsidRPr="003732EA">
        <w:rPr>
          <w:lang w:val="en-GB"/>
        </w:rPr>
        <w:t xml:space="preserve"> of energetic samples and comparing them with typical explosives. The result</w:t>
      </w:r>
      <w:r w:rsidR="00C05197">
        <w:rPr>
          <w:lang w:val="en-GB"/>
        </w:rPr>
        <w:t xml:space="preserve"> is displayed in Figure 3 of WD</w:t>
      </w:r>
      <w:r w:rsidR="003732EA" w:rsidRPr="003732EA">
        <w:rPr>
          <w:lang w:val="en-GB"/>
        </w:rPr>
        <w:t xml:space="preserve">78 </w:t>
      </w:r>
      <w:r w:rsidR="00265CEC">
        <w:rPr>
          <w:lang w:val="en-GB"/>
        </w:rPr>
        <w:t xml:space="preserve">from CEFIC </w:t>
      </w:r>
      <w:r w:rsidR="003732EA" w:rsidRPr="003732EA">
        <w:rPr>
          <w:lang w:val="en-GB"/>
        </w:rPr>
        <w:t>to t</w:t>
      </w:r>
      <w:r w:rsidR="00C05197">
        <w:rPr>
          <w:lang w:val="en-GB"/>
        </w:rPr>
        <w:t xml:space="preserve">he </w:t>
      </w:r>
      <w:r w:rsidR="00265CEC">
        <w:rPr>
          <w:lang w:val="en-GB"/>
        </w:rPr>
        <w:t>54:th SCETDG</w:t>
      </w:r>
      <w:r w:rsidR="003732EA" w:rsidRPr="003732EA">
        <w:rPr>
          <w:lang w:val="en-GB"/>
        </w:rPr>
        <w:t xml:space="preserve">, </w:t>
      </w:r>
      <w:r w:rsidR="00C05197">
        <w:rPr>
          <w:lang w:val="en-GB"/>
        </w:rPr>
        <w:t>that</w:t>
      </w:r>
      <w:r w:rsidR="003732EA" w:rsidRPr="003732EA">
        <w:rPr>
          <w:lang w:val="en-GB"/>
        </w:rPr>
        <w:t xml:space="preserve"> addresses </w:t>
      </w:r>
      <w:r w:rsidR="00265CEC">
        <w:rPr>
          <w:lang w:val="en-GB"/>
        </w:rPr>
        <w:t xml:space="preserve">the </w:t>
      </w:r>
      <w:r w:rsidR="00B82653">
        <w:rPr>
          <w:lang w:val="en-GB"/>
        </w:rPr>
        <w:t xml:space="preserve">related </w:t>
      </w:r>
      <w:r w:rsidR="003732EA" w:rsidRPr="003732EA">
        <w:rPr>
          <w:lang w:val="en-GB"/>
        </w:rPr>
        <w:t>problem of classifying energetic samples for transport. Any solution</w:t>
      </w:r>
      <w:r w:rsidR="00265CEC">
        <w:rPr>
          <w:lang w:val="en-GB"/>
        </w:rPr>
        <w:t xml:space="preserve"> in the GHS-context</w:t>
      </w:r>
      <w:r w:rsidR="003732EA" w:rsidRPr="003732EA">
        <w:rPr>
          <w:lang w:val="en-GB"/>
        </w:rPr>
        <w:t xml:space="preserve"> should be harmonised </w:t>
      </w:r>
      <w:r w:rsidR="00B82653">
        <w:rPr>
          <w:lang w:val="en-GB"/>
        </w:rPr>
        <w:t xml:space="preserve">with </w:t>
      </w:r>
      <w:r w:rsidR="003732EA" w:rsidRPr="003732EA">
        <w:rPr>
          <w:lang w:val="en-GB"/>
        </w:rPr>
        <w:t>transport to the extent possible.</w:t>
      </w:r>
    </w:p>
    <w:p w:rsidR="003732EA" w:rsidRPr="003732EA" w:rsidRDefault="003732EA" w:rsidP="003732EA">
      <w:pPr>
        <w:pStyle w:val="SingleTxtG"/>
        <w:ind w:right="992"/>
        <w:rPr>
          <w:b/>
          <w:lang w:val="en-GB"/>
        </w:rPr>
      </w:pPr>
      <w:r w:rsidRPr="003732EA">
        <w:rPr>
          <w:b/>
          <w:lang w:val="en-GB"/>
        </w:rPr>
        <w:lastRenderedPageBreak/>
        <w:t>Open issue 2 - the splitting or not of Category 1</w:t>
      </w:r>
    </w:p>
    <w:p w:rsidR="003732EA" w:rsidRPr="003732EA" w:rsidRDefault="004D7CE8" w:rsidP="00765BC9">
      <w:pPr>
        <w:pStyle w:val="SingleTxtG"/>
        <w:ind w:right="992"/>
        <w:rPr>
          <w:lang w:val="en-GB"/>
        </w:rPr>
      </w:pPr>
      <w:r>
        <w:rPr>
          <w:lang w:val="en-GB"/>
        </w:rPr>
        <w:t>9</w:t>
      </w:r>
      <w:r w:rsidR="00166466">
        <w:rPr>
          <w:lang w:val="en-GB"/>
        </w:rPr>
        <w:t>.</w:t>
      </w:r>
      <w:r w:rsidR="00166466">
        <w:rPr>
          <w:lang w:val="en-GB"/>
        </w:rPr>
        <w:tab/>
        <w:t>As</w:t>
      </w:r>
      <w:r w:rsidR="00B82653">
        <w:rPr>
          <w:lang w:val="en-GB"/>
        </w:rPr>
        <w:t xml:space="preserve"> also</w:t>
      </w:r>
      <w:r w:rsidR="00166466">
        <w:rPr>
          <w:lang w:val="en-GB"/>
        </w:rPr>
        <w:t xml:space="preserve"> </w:t>
      </w:r>
      <w:r w:rsidR="00265CEC">
        <w:rPr>
          <w:lang w:val="en-GB"/>
        </w:rPr>
        <w:t>presented</w:t>
      </w:r>
      <w:r w:rsidR="00166466">
        <w:rPr>
          <w:lang w:val="en-GB"/>
        </w:rPr>
        <w:t xml:space="preserve"> in WD</w:t>
      </w:r>
      <w:r w:rsidR="003732EA" w:rsidRPr="003732EA">
        <w:rPr>
          <w:lang w:val="en-GB"/>
        </w:rPr>
        <w:t xml:space="preserve">20, the issue on whether the proposed Category 1 should be split into two sub-categories (1A and 1B) poses a challenge as views go apart within the ICG. Despite intersessional discussions no consensus has been found </w:t>
      </w:r>
      <w:proofErr w:type="gramStart"/>
      <w:r w:rsidR="003732EA" w:rsidRPr="003732EA">
        <w:rPr>
          <w:lang w:val="en-GB"/>
        </w:rPr>
        <w:t>as of yet</w:t>
      </w:r>
      <w:proofErr w:type="gramEnd"/>
      <w:r w:rsidR="003732EA" w:rsidRPr="003732EA">
        <w:rPr>
          <w:lang w:val="en-GB"/>
        </w:rPr>
        <w:t xml:space="preserve"> and further thought n</w:t>
      </w:r>
      <w:r w:rsidR="00765BC9">
        <w:rPr>
          <w:lang w:val="en-GB"/>
        </w:rPr>
        <w:t>eeds to be given to the matter.</w:t>
      </w:r>
      <w:r w:rsidR="00265CEC">
        <w:rPr>
          <w:lang w:val="en-GB"/>
        </w:rPr>
        <w:t xml:space="preserve"> These discussions have, however, led to a better und</w:t>
      </w:r>
      <w:r w:rsidR="002404C3">
        <w:rPr>
          <w:lang w:val="en-GB"/>
        </w:rPr>
        <w:t>erstanding of the core of the</w:t>
      </w:r>
      <w:r w:rsidR="00265CEC">
        <w:rPr>
          <w:lang w:val="en-GB"/>
        </w:rPr>
        <w:t xml:space="preserve"> divergence, which </w:t>
      </w:r>
      <w:r w:rsidR="006442FE">
        <w:rPr>
          <w:lang w:val="en-GB"/>
        </w:rPr>
        <w:t xml:space="preserve">should </w:t>
      </w:r>
      <w:r w:rsidR="00265CEC">
        <w:rPr>
          <w:lang w:val="en-GB"/>
        </w:rPr>
        <w:t xml:space="preserve">provide a basis for </w:t>
      </w:r>
      <w:proofErr w:type="gramStart"/>
      <w:r w:rsidR="00265CEC">
        <w:rPr>
          <w:lang w:val="en-GB"/>
        </w:rPr>
        <w:t>an</w:t>
      </w:r>
      <w:proofErr w:type="gramEnd"/>
      <w:r w:rsidR="00265CEC">
        <w:rPr>
          <w:lang w:val="en-GB"/>
        </w:rPr>
        <w:t xml:space="preserve"> sound resolution eventually.</w:t>
      </w:r>
    </w:p>
    <w:p w:rsidR="003732EA" w:rsidRPr="003732EA" w:rsidRDefault="004D7CE8" w:rsidP="003732EA">
      <w:pPr>
        <w:pStyle w:val="SingleTxtG"/>
        <w:ind w:right="992"/>
        <w:rPr>
          <w:lang w:val="en-GB"/>
        </w:rPr>
      </w:pPr>
      <w:r>
        <w:rPr>
          <w:lang w:val="en-GB"/>
        </w:rPr>
        <w:t>10</w:t>
      </w:r>
      <w:r w:rsidR="003732EA" w:rsidRPr="003732EA">
        <w:rPr>
          <w:lang w:val="en-GB"/>
        </w:rPr>
        <w:t>.</w:t>
      </w:r>
      <w:r w:rsidR="003732EA" w:rsidRPr="003732EA">
        <w:rPr>
          <w:lang w:val="en-GB"/>
        </w:rPr>
        <w:tab/>
        <w:t>To begin with, views go apart regarding the criteria for the already existing GHS-classification “Unstable explosives”. Some experts argue that the criteria for this classification</w:t>
      </w:r>
      <w:r w:rsidR="00477086">
        <w:rPr>
          <w:lang w:val="en-GB"/>
        </w:rPr>
        <w:t xml:space="preserve"> for substances and mixtures</w:t>
      </w:r>
      <w:r w:rsidR="003732EA" w:rsidRPr="003732EA">
        <w:rPr>
          <w:lang w:val="en-GB"/>
        </w:rPr>
        <w:t xml:space="preserve"> is a positive result in at least one of the tests within Test Series 3 (or in the case of ANE-candidates Test 8(a)) or possibly in any other suitable test(s). Other experts, on the contrary, are of the view that “Unstable explosives” are simply all Explosives that have not been assigned a Division (for transport) and that Test Series 3 is intended for transport purposes only.</w:t>
      </w:r>
      <w:r w:rsidR="00477086">
        <w:rPr>
          <w:lang w:val="en-GB"/>
        </w:rPr>
        <w:t xml:space="preserve"> </w:t>
      </w:r>
      <w:r w:rsidR="003732EA" w:rsidRPr="003732EA">
        <w:rPr>
          <w:lang w:val="en-GB"/>
        </w:rPr>
        <w:t>Considering these differences around the existing classification criteria it is no surprise that the views on the splitting of Category 1 go apart.</w:t>
      </w:r>
    </w:p>
    <w:p w:rsidR="003732EA" w:rsidRPr="003732EA" w:rsidRDefault="004D7CE8" w:rsidP="003732EA">
      <w:pPr>
        <w:pStyle w:val="SingleTxtG"/>
        <w:ind w:right="992"/>
        <w:rPr>
          <w:lang w:val="en-GB"/>
        </w:rPr>
      </w:pPr>
      <w:r>
        <w:rPr>
          <w:lang w:val="en-GB"/>
        </w:rPr>
        <w:t>11</w:t>
      </w:r>
      <w:r w:rsidR="003732EA" w:rsidRPr="003732EA">
        <w:rPr>
          <w:lang w:val="en-GB"/>
        </w:rPr>
        <w:t>.</w:t>
      </w:r>
      <w:r w:rsidR="003732EA" w:rsidRPr="003732EA">
        <w:rPr>
          <w:lang w:val="en-GB"/>
        </w:rPr>
        <w:tab/>
        <w:t>If the issue of the existing criteria for “Unstable explosives” is set aside, focus can be directed towards the principal usefulness of separating “highly sensitive” explosives into a separate Sub-category 1A, leaving other Explosives in Sub-category 1B (unless the</w:t>
      </w:r>
      <w:r w:rsidR="005C19F5">
        <w:rPr>
          <w:lang w:val="en-GB"/>
        </w:rPr>
        <w:t>y</w:t>
      </w:r>
      <w:r w:rsidR="003732EA" w:rsidRPr="003732EA">
        <w:rPr>
          <w:lang w:val="en-GB"/>
        </w:rPr>
        <w:t xml:space="preserve"> can be assigned to Category 2 of course). To this point it has been argued by some that such a separation would make it possible to assign separate hazard communication elements to Sub-category 1A which would flag up the sensitivity to users of these Explosives. Others, however, have argued that the distinction of what is “</w:t>
      </w:r>
      <w:r w:rsidR="00477086">
        <w:rPr>
          <w:lang w:val="en-GB"/>
        </w:rPr>
        <w:t xml:space="preserve">highly </w:t>
      </w:r>
      <w:r w:rsidR="003732EA" w:rsidRPr="003732EA">
        <w:rPr>
          <w:lang w:val="en-GB"/>
        </w:rPr>
        <w:t xml:space="preserve">sensitive” (as determined by Tests Series 3 or in any other way) is </w:t>
      </w:r>
      <w:r w:rsidR="00477086">
        <w:rPr>
          <w:lang w:val="en-GB"/>
        </w:rPr>
        <w:t xml:space="preserve">somewhat </w:t>
      </w:r>
      <w:r w:rsidR="003732EA" w:rsidRPr="003732EA">
        <w:rPr>
          <w:lang w:val="en-GB"/>
        </w:rPr>
        <w:t>arbitrary and the separation could give the misleading perception that Explosives in Sub-category 1B are somehow “safe”. In this spirit it has also been argued that those handling explosives in manufacturing, processing and similar situations must always have knowledge about their inherent hazardous properties as part of their risk-assessments anyhow and that no simple (set of) criteria can substitute for this.</w:t>
      </w:r>
    </w:p>
    <w:p w:rsidR="003732EA" w:rsidRPr="003732EA" w:rsidRDefault="004D7CE8" w:rsidP="003732EA">
      <w:pPr>
        <w:pStyle w:val="SingleTxtG"/>
        <w:ind w:right="992"/>
        <w:rPr>
          <w:lang w:val="en-GB"/>
        </w:rPr>
      </w:pPr>
      <w:r>
        <w:rPr>
          <w:lang w:val="en-GB"/>
        </w:rPr>
        <w:t>12</w:t>
      </w:r>
      <w:r w:rsidR="003732EA" w:rsidRPr="003732EA">
        <w:rPr>
          <w:lang w:val="en-GB"/>
        </w:rPr>
        <w:t>.</w:t>
      </w:r>
      <w:r w:rsidR="003732EA" w:rsidRPr="003732EA">
        <w:rPr>
          <w:lang w:val="en-GB"/>
        </w:rPr>
        <w:tab/>
        <w:t xml:space="preserve">While some attempts have been made to find intermediate solutions to overcome these diverging views, for instance to provide information on sensitivity in safety data sheets in case tests (such as Test Series 3) have been performed on a voluntary basis, it is difficult at this point to see how this issue can be resolved within the current biennium. The expert from Sweden thus predicts that the discussions around Category 1 will have to continue into the next biennium, although an attempt to resolve the matter will of course be made </w:t>
      </w:r>
      <w:r w:rsidR="005C19F5">
        <w:rPr>
          <w:lang w:val="en-GB"/>
        </w:rPr>
        <w:t>during</w:t>
      </w:r>
      <w:r w:rsidR="003732EA" w:rsidRPr="003732EA">
        <w:rPr>
          <w:lang w:val="en-GB"/>
        </w:rPr>
        <w:t xml:space="preserve"> the November/December 2018 Sub-committee meetings.</w:t>
      </w:r>
    </w:p>
    <w:p w:rsidR="003732EA" w:rsidRPr="003732EA" w:rsidRDefault="003732EA" w:rsidP="003732EA">
      <w:pPr>
        <w:pStyle w:val="SingleTxtG"/>
        <w:ind w:right="992"/>
        <w:rPr>
          <w:b/>
          <w:lang w:val="en-GB"/>
        </w:rPr>
      </w:pPr>
      <w:r w:rsidRPr="003732EA">
        <w:rPr>
          <w:b/>
          <w:lang w:val="en-GB"/>
        </w:rPr>
        <w:t>Upcoming meetings</w:t>
      </w:r>
    </w:p>
    <w:p w:rsidR="00F52523" w:rsidRDefault="004D7CE8" w:rsidP="003732EA">
      <w:pPr>
        <w:pStyle w:val="SingleTxtG"/>
        <w:ind w:right="992"/>
        <w:rPr>
          <w:lang w:val="en-GB"/>
        </w:rPr>
      </w:pPr>
      <w:r>
        <w:rPr>
          <w:lang w:val="en-GB"/>
        </w:rPr>
        <w:t>13</w:t>
      </w:r>
      <w:r w:rsidR="003732EA" w:rsidRPr="003732EA">
        <w:rPr>
          <w:lang w:val="en-GB"/>
        </w:rPr>
        <w:t>.</w:t>
      </w:r>
      <w:r w:rsidR="003732EA" w:rsidRPr="003732EA">
        <w:rPr>
          <w:lang w:val="en-GB"/>
        </w:rPr>
        <w:tab/>
        <w:t>As has been the case throughout the biennium</w:t>
      </w:r>
      <w:r w:rsidR="00131784">
        <w:rPr>
          <w:lang w:val="en-GB"/>
        </w:rPr>
        <w:t>,</w:t>
      </w:r>
      <w:r w:rsidR="003732EA" w:rsidRPr="003732EA">
        <w:rPr>
          <w:lang w:val="en-GB"/>
        </w:rPr>
        <w:t xml:space="preserve"> two dedicated meetings of the ICG on Chapter 2.1 </w:t>
      </w:r>
      <w:r w:rsidR="00131784">
        <w:rPr>
          <w:lang w:val="en-GB"/>
        </w:rPr>
        <w:t xml:space="preserve">are foreseen </w:t>
      </w:r>
      <w:r w:rsidR="003732EA" w:rsidRPr="003732EA">
        <w:rPr>
          <w:lang w:val="en-GB"/>
        </w:rPr>
        <w:t xml:space="preserve">in November/December 2018. </w:t>
      </w:r>
      <w:r w:rsidR="009B1BEC">
        <w:rPr>
          <w:lang w:val="en-GB"/>
        </w:rPr>
        <w:t>T</w:t>
      </w:r>
      <w:r w:rsidR="00074DAE" w:rsidRPr="003732EA">
        <w:rPr>
          <w:lang w:val="en-GB"/>
        </w:rPr>
        <w:t xml:space="preserve">he </w:t>
      </w:r>
      <w:r w:rsidR="003732EA" w:rsidRPr="003732EA">
        <w:rPr>
          <w:lang w:val="en-GB"/>
        </w:rPr>
        <w:t>first meeting will</w:t>
      </w:r>
      <w:r w:rsidR="00074DAE">
        <w:rPr>
          <w:lang w:val="en-GB"/>
        </w:rPr>
        <w:t xml:space="preserve"> presumably</w:t>
      </w:r>
      <w:r w:rsidR="003732EA" w:rsidRPr="003732EA">
        <w:rPr>
          <w:lang w:val="en-GB"/>
        </w:rPr>
        <w:t xml:space="preserve"> be held jointly with the EWG on Thursday the 29:th of November in meeting room S4.</w:t>
      </w:r>
      <w:r w:rsidR="00A94C46">
        <w:rPr>
          <w:rStyle w:val="FootnoteReference"/>
          <w:lang w:val="en-GB"/>
        </w:rPr>
        <w:footnoteReference w:id="12"/>
      </w:r>
      <w:r w:rsidR="003732EA" w:rsidRPr="003732EA">
        <w:rPr>
          <w:lang w:val="en-GB"/>
        </w:rPr>
        <w:t xml:space="preserve"> This meeting will focus on finding agreement on the </w:t>
      </w:r>
      <w:r w:rsidR="00F52523">
        <w:rPr>
          <w:lang w:val="en-GB"/>
        </w:rPr>
        <w:t xml:space="preserve">technical </w:t>
      </w:r>
      <w:r w:rsidR="003732EA" w:rsidRPr="003732EA">
        <w:rPr>
          <w:lang w:val="en-GB"/>
        </w:rPr>
        <w:t>criteria for the new classification system</w:t>
      </w:r>
      <w:r w:rsidR="00207620">
        <w:rPr>
          <w:lang w:val="en-GB"/>
        </w:rPr>
        <w:t xml:space="preserve"> </w:t>
      </w:r>
      <w:r w:rsidR="009B1BEC">
        <w:rPr>
          <w:lang w:val="en-GB"/>
        </w:rPr>
        <w:t xml:space="preserve">and </w:t>
      </w:r>
      <w:r w:rsidR="002A1B26">
        <w:rPr>
          <w:lang w:val="en-GB"/>
        </w:rPr>
        <w:t xml:space="preserve">on </w:t>
      </w:r>
      <w:r w:rsidR="009B1BEC">
        <w:rPr>
          <w:lang w:val="en-GB"/>
        </w:rPr>
        <w:t>the</w:t>
      </w:r>
      <w:r w:rsidR="00207620">
        <w:rPr>
          <w:lang w:val="en-GB"/>
        </w:rPr>
        <w:t xml:space="preserve"> path forward </w:t>
      </w:r>
      <w:r w:rsidR="002A1B26">
        <w:rPr>
          <w:lang w:val="en-GB"/>
        </w:rPr>
        <w:t>for any remaining issues (e.g. that of Category 1)</w:t>
      </w:r>
      <w:r w:rsidR="00207620">
        <w:rPr>
          <w:lang w:val="en-GB"/>
        </w:rPr>
        <w:t>.</w:t>
      </w:r>
    </w:p>
    <w:p w:rsidR="003732EA" w:rsidRDefault="00D32B1B" w:rsidP="004517B0">
      <w:pPr>
        <w:pStyle w:val="SingleTxtG"/>
        <w:ind w:right="992"/>
        <w:rPr>
          <w:lang w:val="en-GB"/>
        </w:rPr>
      </w:pPr>
      <w:r>
        <w:rPr>
          <w:lang w:val="en-GB"/>
        </w:rPr>
        <w:t>14.</w:t>
      </w:r>
      <w:r>
        <w:rPr>
          <w:lang w:val="en-GB"/>
        </w:rPr>
        <w:tab/>
      </w:r>
      <w:r w:rsidR="003732EA" w:rsidRPr="003732EA">
        <w:rPr>
          <w:lang w:val="en-GB"/>
        </w:rPr>
        <w:t xml:space="preserve">The second meeting </w:t>
      </w:r>
      <w:r w:rsidR="00AC2C7D">
        <w:rPr>
          <w:lang w:val="en-GB"/>
        </w:rPr>
        <w:t>is scheduled to</w:t>
      </w:r>
      <w:r w:rsidR="00AC2C7D" w:rsidRPr="003732EA">
        <w:rPr>
          <w:lang w:val="en-GB"/>
        </w:rPr>
        <w:t xml:space="preserve"> </w:t>
      </w:r>
      <w:r w:rsidR="003732EA" w:rsidRPr="003732EA">
        <w:rPr>
          <w:lang w:val="en-GB"/>
        </w:rPr>
        <w:t>take place in the evening of Wednesday the 5:th of Decembe</w:t>
      </w:r>
      <w:r w:rsidR="00A94C46">
        <w:rPr>
          <w:lang w:val="en-GB"/>
        </w:rPr>
        <w:t xml:space="preserve">r, </w:t>
      </w:r>
      <w:r>
        <w:rPr>
          <w:lang w:val="en-GB"/>
        </w:rPr>
        <w:t xml:space="preserve">starting 17:30, </w:t>
      </w:r>
      <w:r w:rsidR="00A94C46">
        <w:rPr>
          <w:lang w:val="en-GB"/>
        </w:rPr>
        <w:t>also that in meeting room S4</w:t>
      </w:r>
      <w:r w:rsidR="003732EA" w:rsidRPr="003732EA">
        <w:rPr>
          <w:lang w:val="en-GB"/>
        </w:rPr>
        <w:t>.</w:t>
      </w:r>
      <w:r w:rsidR="00A94C46">
        <w:rPr>
          <w:rStyle w:val="FootnoteReference"/>
          <w:lang w:val="en-GB"/>
        </w:rPr>
        <w:footnoteReference w:id="13"/>
      </w:r>
      <w:r w:rsidR="003732EA" w:rsidRPr="003732EA">
        <w:rPr>
          <w:lang w:val="en-GB"/>
        </w:rPr>
        <w:t xml:space="preserve"> This meeting will seek to </w:t>
      </w:r>
      <w:r w:rsidR="004517B0">
        <w:rPr>
          <w:lang w:val="en-GB"/>
        </w:rPr>
        <w:t>consolidate</w:t>
      </w:r>
      <w:r w:rsidR="003732EA" w:rsidRPr="003732EA">
        <w:rPr>
          <w:lang w:val="en-GB"/>
        </w:rPr>
        <w:t xml:space="preserve"> the criteria of the system that hopefully emerge from the first meeting</w:t>
      </w:r>
      <w:r w:rsidR="00F52523">
        <w:rPr>
          <w:lang w:val="en-GB"/>
        </w:rPr>
        <w:t xml:space="preserve">. It will also discuss </w:t>
      </w:r>
      <w:r w:rsidR="004517B0">
        <w:rPr>
          <w:lang w:val="en-GB"/>
        </w:rPr>
        <w:t>t</w:t>
      </w:r>
      <w:r w:rsidR="00207620">
        <w:rPr>
          <w:lang w:val="en-GB"/>
        </w:rPr>
        <w:t>he path forward</w:t>
      </w:r>
      <w:r w:rsidR="005A4F6C">
        <w:rPr>
          <w:lang w:val="en-GB"/>
        </w:rPr>
        <w:t>,</w:t>
      </w:r>
      <w:r w:rsidR="00207620">
        <w:rPr>
          <w:lang w:val="en-GB"/>
        </w:rPr>
        <w:t xml:space="preserve"> including any u</w:t>
      </w:r>
      <w:r w:rsidR="005349E8">
        <w:rPr>
          <w:lang w:val="en-GB"/>
        </w:rPr>
        <w:t>pdat</w:t>
      </w:r>
      <w:r w:rsidR="00207620">
        <w:rPr>
          <w:lang w:val="en-GB"/>
        </w:rPr>
        <w:t>e</w:t>
      </w:r>
      <w:r w:rsidR="009547A7">
        <w:rPr>
          <w:lang w:val="en-GB"/>
        </w:rPr>
        <w:t>s</w:t>
      </w:r>
      <w:r w:rsidR="00207620">
        <w:rPr>
          <w:lang w:val="en-GB"/>
        </w:rPr>
        <w:t xml:space="preserve"> of </w:t>
      </w:r>
      <w:r>
        <w:rPr>
          <w:lang w:val="en-GB"/>
        </w:rPr>
        <w:t xml:space="preserve">the </w:t>
      </w:r>
      <w:r w:rsidR="002D24FC">
        <w:rPr>
          <w:lang w:val="en-GB"/>
        </w:rPr>
        <w:t xml:space="preserve">Terms of Reference and/or the </w:t>
      </w:r>
      <w:r>
        <w:rPr>
          <w:lang w:val="en-GB"/>
        </w:rPr>
        <w:t>Programme of Work for the next biennium</w:t>
      </w:r>
      <w:r w:rsidR="004517B0">
        <w:rPr>
          <w:lang w:val="en-GB"/>
        </w:rPr>
        <w:t>. If time permits,</w:t>
      </w:r>
      <w:r w:rsidR="004517B0" w:rsidRPr="003732EA">
        <w:rPr>
          <w:lang w:val="en-GB"/>
        </w:rPr>
        <w:t xml:space="preserve"> also other aspects of a new Chapter 2.1 such as hazard communication</w:t>
      </w:r>
      <w:r w:rsidR="004517B0">
        <w:rPr>
          <w:lang w:val="en-GB"/>
        </w:rPr>
        <w:t xml:space="preserve"> may be</w:t>
      </w:r>
      <w:r w:rsidR="00F52523">
        <w:rPr>
          <w:lang w:val="en-GB"/>
        </w:rPr>
        <w:t xml:space="preserve"> brought up</w:t>
      </w:r>
      <w:r w:rsidR="00513C1D">
        <w:rPr>
          <w:lang w:val="en-GB"/>
        </w:rPr>
        <w:t>.</w:t>
      </w:r>
    </w:p>
    <w:p w:rsidR="007407BE" w:rsidRDefault="002A19FB" w:rsidP="0077587D">
      <w:pPr>
        <w:pStyle w:val="SingleTxtG"/>
        <w:spacing w:before="120" w:after="0"/>
        <w:jc w:val="center"/>
      </w:pPr>
      <w:r>
        <w:rPr>
          <w:u w:val="single"/>
          <w:lang w:val="en-GB"/>
        </w:rPr>
        <w:tab/>
      </w:r>
      <w:r>
        <w:rPr>
          <w:u w:val="single"/>
          <w:lang w:val="en-GB"/>
        </w:rPr>
        <w:tab/>
      </w:r>
      <w:r>
        <w:rPr>
          <w:u w:val="single"/>
          <w:lang w:val="en-GB"/>
        </w:rPr>
        <w:tab/>
      </w:r>
    </w:p>
    <w:sectPr w:rsidR="007407BE" w:rsidSect="00CB6E3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2268" w:left="1134" w:header="964" w:footer="1701"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F8" w:rsidRDefault="005925F8">
      <w:pPr>
        <w:spacing w:line="240" w:lineRule="auto"/>
      </w:pPr>
      <w:r>
        <w:separator/>
      </w:r>
    </w:p>
  </w:endnote>
  <w:endnote w:type="continuationSeparator" w:id="0">
    <w:p w:rsidR="005925F8" w:rsidRDefault="00592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G Times">
    <w:charset w:val="01"/>
    <w:family w:val="roman"/>
    <w:pitch w:val="variable"/>
  </w:font>
  <w:font w:name="Times Roman">
    <w:altName w:val="Times New Roman"/>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Footer"/>
      <w:tabs>
        <w:tab w:val="right" w:pos="9638"/>
      </w:tabs>
    </w:pPr>
    <w:r>
      <w:rPr>
        <w:b/>
        <w:sz w:val="18"/>
      </w:rPr>
      <w:fldChar w:fldCharType="begin"/>
    </w:r>
    <w:r>
      <w:instrText>PAGE</w:instrText>
    </w:r>
    <w:r>
      <w:fldChar w:fldCharType="separate"/>
    </w:r>
    <w:r w:rsidR="005722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2117"/>
      <w:docPartObj>
        <w:docPartGallery w:val="Page Numbers (Bottom of Page)"/>
        <w:docPartUnique/>
      </w:docPartObj>
    </w:sdtPr>
    <w:sdtEndPr/>
    <w:sdtContent>
      <w:p w:rsidR="00CB6E33" w:rsidRDefault="00CB6E33">
        <w:pPr>
          <w:pStyle w:val="Footer"/>
        </w:pPr>
        <w:r>
          <w:fldChar w:fldCharType="begin"/>
        </w:r>
        <w:r>
          <w:instrText>PAGE   \* MERGEFORMAT</w:instrText>
        </w:r>
        <w:r>
          <w:fldChar w:fldCharType="separate"/>
        </w:r>
        <w:r w:rsidR="00784314" w:rsidRPr="00784314">
          <w:rPr>
            <w:noProof/>
            <w:lang w:val="sv-SE"/>
          </w:rPr>
          <w:t>3</w:t>
        </w:r>
        <w:r>
          <w:fldChar w:fldCharType="end"/>
        </w:r>
      </w:p>
    </w:sdtContent>
  </w:sdt>
  <w:p w:rsidR="00CB6E33" w:rsidRDefault="00CB6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FEB" w:rsidRDefault="0077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F8" w:rsidRDefault="005925F8">
      <w:pPr>
        <w:spacing w:line="240" w:lineRule="auto"/>
      </w:pPr>
      <w:r>
        <w:separator/>
      </w:r>
    </w:p>
  </w:footnote>
  <w:footnote w:type="continuationSeparator" w:id="0">
    <w:p w:rsidR="005925F8" w:rsidRDefault="005925F8">
      <w:pPr>
        <w:spacing w:line="240" w:lineRule="auto"/>
      </w:pPr>
      <w:r>
        <w:continuationSeparator/>
      </w:r>
    </w:p>
  </w:footnote>
  <w:footnote w:id="1">
    <w:p w:rsidR="00360911" w:rsidRPr="00360911" w:rsidRDefault="00360911">
      <w:pPr>
        <w:pStyle w:val="FootnoteText"/>
      </w:pPr>
      <w:r>
        <w:rPr>
          <w:rStyle w:val="FootnoteReference"/>
        </w:rPr>
        <w:footnoteRef/>
      </w:r>
      <w:r>
        <w:t xml:space="preserve"> </w:t>
      </w:r>
      <w:r w:rsidRPr="00360911">
        <w:rPr>
          <w:lang w:val="en-GB"/>
        </w:rPr>
        <w:t xml:space="preserve">Report </w:t>
      </w:r>
      <w:r w:rsidRPr="00360911">
        <w:t xml:space="preserve">from the </w:t>
      </w:r>
      <w:r w:rsidRPr="00360911">
        <w:rPr>
          <w:lang w:val="en-GB"/>
        </w:rPr>
        <w:t xml:space="preserve">35:th session of the </w:t>
      </w:r>
      <w:r w:rsidRPr="00360911">
        <w:t>SCEGHS</w:t>
      </w:r>
      <w:r w:rsidR="009F2D8C" w:rsidRPr="0077587D">
        <w:rPr>
          <w:lang w:val="en-GB"/>
        </w:rPr>
        <w:t xml:space="preserve">, </w:t>
      </w:r>
      <w:hyperlink r:id="rId1" w:history="1">
        <w:r w:rsidRPr="009F2D8C">
          <w:rPr>
            <w:rStyle w:val="Hyperlink"/>
          </w:rPr>
          <w:t>ST/SG/AC.10/C.4/70</w:t>
        </w:r>
      </w:hyperlink>
      <w:r w:rsidRPr="00360911">
        <w:t>, paragraphs 24-27</w:t>
      </w:r>
    </w:p>
  </w:footnote>
  <w:footnote w:id="2">
    <w:p w:rsidR="00305F0C" w:rsidRPr="00305F0C" w:rsidRDefault="00305F0C" w:rsidP="00305F0C">
      <w:pPr>
        <w:pStyle w:val="FootnoteText"/>
        <w:tabs>
          <w:tab w:val="clear" w:pos="1021"/>
          <w:tab w:val="right" w:pos="851"/>
        </w:tabs>
        <w:ind w:left="284" w:hanging="284"/>
        <w:rPr>
          <w:lang w:val="sv-SE"/>
        </w:rPr>
      </w:pPr>
      <w:r>
        <w:rPr>
          <w:rStyle w:val="FootnoteReference"/>
        </w:rPr>
        <w:footnoteRef/>
      </w:r>
      <w:r>
        <w:t xml:space="preserve"> </w:t>
      </w:r>
      <w:r w:rsidR="00D07105">
        <w:rPr>
          <w:lang w:val="sv-SE"/>
        </w:rPr>
        <w:t xml:space="preserve">See </w:t>
      </w:r>
      <w:r w:rsidR="00773FEB">
        <w:fldChar w:fldCharType="begin"/>
      </w:r>
      <w:r w:rsidR="00773FEB">
        <w:instrText xml:space="preserve"> HYPERLINK "http://www.unece.org/fileadmin/DAM/trans/doc/2018/dgac10c4/UN-SCEGHS-35-INF16e-UN-SCETDG-53-INF46e.pdf" </w:instrText>
      </w:r>
      <w:r w:rsidR="00773FEB">
        <w:fldChar w:fldCharType="separate"/>
      </w:r>
      <w:r w:rsidRPr="00305F0C">
        <w:rPr>
          <w:rStyle w:val="Hyperlink"/>
        </w:rPr>
        <w:t>UN/SCEGHS/35/INF.16 - UN/SCETDG/53/INF.46</w:t>
      </w:r>
      <w:r w:rsidR="00773FEB">
        <w:rPr>
          <w:rStyle w:val="Hyperlink"/>
        </w:rPr>
        <w:fldChar w:fldCharType="end"/>
      </w:r>
      <w:r w:rsidR="00D07105">
        <w:rPr>
          <w:lang w:val="sv-SE"/>
        </w:rPr>
        <w:t>,</w:t>
      </w:r>
      <w:r>
        <w:rPr>
          <w:lang w:val="sv-SE"/>
        </w:rPr>
        <w:t xml:space="preserve"> </w:t>
      </w:r>
      <w:hyperlink r:id="rId2" w:history="1">
        <w:r w:rsidRPr="00305F0C">
          <w:rPr>
            <w:rStyle w:val="Hyperlink"/>
            <w:lang w:val="sv-SE"/>
          </w:rPr>
          <w:t>UN/SCEGHS/34/INF.10 - UN/SCETDG/52/INF.20</w:t>
        </w:r>
      </w:hyperlink>
      <w:r w:rsidR="00D07105">
        <w:rPr>
          <w:lang w:val="sv-SE"/>
        </w:rPr>
        <w:t xml:space="preserve"> and</w:t>
      </w:r>
      <w:r>
        <w:rPr>
          <w:lang w:val="sv-SE"/>
        </w:rPr>
        <w:t xml:space="preserve"> </w:t>
      </w:r>
      <w:hyperlink r:id="rId3" w:history="1">
        <w:r w:rsidRPr="00305F0C">
          <w:rPr>
            <w:rStyle w:val="Hyperlink"/>
            <w:lang w:val="sv-SE"/>
          </w:rPr>
          <w:t>UN/SCEGHS/33/INF.07 - UN/SCETDG/51/INF.15</w:t>
        </w:r>
      </w:hyperlink>
      <w:r w:rsidR="00D07105">
        <w:rPr>
          <w:lang w:val="sv-SE"/>
        </w:rPr>
        <w:t>.</w:t>
      </w:r>
    </w:p>
  </w:footnote>
  <w:footnote w:id="3">
    <w:p w:rsidR="003732EA" w:rsidRPr="00333C9A" w:rsidRDefault="003732EA" w:rsidP="003732EA">
      <w:pPr>
        <w:pStyle w:val="FootnoteText"/>
        <w:rPr>
          <w:lang w:val="en-GB"/>
        </w:rPr>
      </w:pPr>
      <w:r>
        <w:rPr>
          <w:rStyle w:val="FootnoteReference"/>
        </w:rPr>
        <w:footnoteRef/>
      </w:r>
      <w:r w:rsidRPr="00333C9A">
        <w:rPr>
          <w:lang w:val="en-GB"/>
        </w:rPr>
        <w:t xml:space="preserve"> </w:t>
      </w:r>
      <w:r w:rsidR="00F45B3C">
        <w:rPr>
          <w:lang w:val="en-GB"/>
        </w:rPr>
        <w:t xml:space="preserve">WD85 to the 54:th SCETDG, </w:t>
      </w:r>
      <w:hyperlink r:id="rId4" w:history="1">
        <w:r w:rsidRPr="00333C9A">
          <w:rPr>
            <w:rStyle w:val="Hyperlink"/>
            <w:lang w:val="en-GB"/>
          </w:rPr>
          <w:t>ST/SG/AC.10/C.4/2018/20</w:t>
        </w:r>
        <w:r w:rsidR="00D07105">
          <w:rPr>
            <w:rStyle w:val="Hyperlink"/>
            <w:lang w:val="en-GB"/>
          </w:rPr>
          <w:t xml:space="preserve"> </w:t>
        </w:r>
        <w:r w:rsidRPr="00333C9A">
          <w:rPr>
            <w:rStyle w:val="Hyperlink"/>
            <w:lang w:val="en-GB"/>
          </w:rPr>
          <w:t>- ST/SG/AC.10/C.3/2018/85</w:t>
        </w:r>
      </w:hyperlink>
    </w:p>
  </w:footnote>
  <w:footnote w:id="4">
    <w:p w:rsidR="003732EA" w:rsidRPr="00665BBA" w:rsidRDefault="003732EA" w:rsidP="003732EA">
      <w:pPr>
        <w:pStyle w:val="FootnoteText"/>
        <w:rPr>
          <w:lang w:val="en-GB"/>
        </w:rPr>
      </w:pPr>
      <w:r>
        <w:rPr>
          <w:rStyle w:val="FootnoteReference"/>
        </w:rPr>
        <w:footnoteRef/>
      </w:r>
      <w:r w:rsidRPr="00665BBA">
        <w:rPr>
          <w:lang w:val="en-GB"/>
        </w:rPr>
        <w:t xml:space="preserve"> </w:t>
      </w:r>
      <w:r w:rsidR="00F45B3C" w:rsidRPr="00F45B3C">
        <w:rPr>
          <w:lang w:val="en-GB"/>
        </w:rPr>
        <w:t>INF.13 to the</w:t>
      </w:r>
      <w:r w:rsidR="00F45B3C">
        <w:rPr>
          <w:lang w:val="en-GB"/>
        </w:rPr>
        <w:t xml:space="preserve"> 54:th</w:t>
      </w:r>
      <w:r w:rsidR="00F45B3C" w:rsidRPr="00F45B3C">
        <w:rPr>
          <w:lang w:val="en-GB"/>
        </w:rPr>
        <w:t xml:space="preserve"> SCETDG</w:t>
      </w:r>
      <w:r w:rsidR="00F45B3C">
        <w:rPr>
          <w:rStyle w:val="Hyperlink"/>
          <w:color w:val="auto"/>
          <w:u w:val="none"/>
          <w:lang w:val="en-GB"/>
        </w:rPr>
        <w:t xml:space="preserve">, </w:t>
      </w:r>
      <w:hyperlink r:id="rId5" w:history="1">
        <w:r w:rsidRPr="00665BBA">
          <w:rPr>
            <w:rStyle w:val="Hyperlink"/>
            <w:lang w:val="en-GB"/>
          </w:rPr>
          <w:t>UN/SCEGHS/36/INF.10 - UN/SCETDG/54/INF.13</w:t>
        </w:r>
      </w:hyperlink>
    </w:p>
  </w:footnote>
  <w:footnote w:id="5">
    <w:p w:rsidR="008F5564" w:rsidRPr="002D24FC" w:rsidRDefault="008F5564" w:rsidP="002D24FC">
      <w:pPr>
        <w:pStyle w:val="FootnoteText"/>
        <w:rPr>
          <w:lang w:val="en-GB"/>
        </w:rPr>
      </w:pPr>
      <w:r>
        <w:rPr>
          <w:rStyle w:val="FootnoteReference"/>
        </w:rPr>
        <w:footnoteRef/>
      </w:r>
      <w:r>
        <w:t xml:space="preserve"> </w:t>
      </w:r>
      <w:r w:rsidRPr="00F45B3C">
        <w:rPr>
          <w:lang w:val="en-GB"/>
        </w:rPr>
        <w:t>INF.</w:t>
      </w:r>
      <w:r w:rsidR="002D24FC">
        <w:rPr>
          <w:lang w:val="en-GB"/>
        </w:rPr>
        <w:t>24</w:t>
      </w:r>
      <w:r w:rsidRPr="00F45B3C">
        <w:rPr>
          <w:lang w:val="en-GB"/>
        </w:rPr>
        <w:t xml:space="preserve"> to the</w:t>
      </w:r>
      <w:r>
        <w:rPr>
          <w:lang w:val="en-GB"/>
        </w:rPr>
        <w:t xml:space="preserve"> 54:th</w:t>
      </w:r>
      <w:r w:rsidRPr="00F45B3C">
        <w:rPr>
          <w:lang w:val="en-GB"/>
        </w:rPr>
        <w:t xml:space="preserve"> SCETDG</w:t>
      </w:r>
      <w:r w:rsidR="002D24FC">
        <w:rPr>
          <w:lang w:val="en-GB"/>
        </w:rPr>
        <w:t xml:space="preserve">, </w:t>
      </w:r>
      <w:hyperlink r:id="rId6" w:history="1">
        <w:r w:rsidR="002D24FC" w:rsidRPr="002D24FC">
          <w:rPr>
            <w:rStyle w:val="Hyperlink"/>
            <w:lang w:val="en-GB"/>
          </w:rPr>
          <w:t>UN/SCEGHS/36/INF.18 - UN/SCETDG/54/INF.24</w:t>
        </w:r>
      </w:hyperlink>
    </w:p>
  </w:footnote>
  <w:footnote w:id="6">
    <w:p w:rsidR="00C05197" w:rsidRPr="00C05197" w:rsidRDefault="00C05197" w:rsidP="00C05197">
      <w:pPr>
        <w:pStyle w:val="FootnoteText"/>
      </w:pPr>
      <w:r>
        <w:rPr>
          <w:rStyle w:val="FootnoteReference"/>
        </w:rPr>
        <w:footnoteRef/>
      </w:r>
      <w:r>
        <w:t xml:space="preserve"> </w:t>
      </w:r>
      <w:r>
        <w:rPr>
          <w:lang w:val="en-GB"/>
        </w:rPr>
        <w:t>Paragraph 18 in the r</w:t>
      </w:r>
      <w:r w:rsidRPr="00C05197">
        <w:rPr>
          <w:lang w:val="en-GB"/>
        </w:rPr>
        <w:t>eport of the EWG</w:t>
      </w:r>
      <w:r>
        <w:rPr>
          <w:lang w:val="en-GB"/>
        </w:rPr>
        <w:t>,</w:t>
      </w:r>
      <w:r w:rsidR="00294E84">
        <w:rPr>
          <w:lang w:val="en-GB"/>
        </w:rPr>
        <w:t xml:space="preserve"> INF.67 to the 53:rd SCETDG,</w:t>
      </w:r>
      <w:r w:rsidRPr="00C05197">
        <w:t xml:space="preserve"> </w:t>
      </w:r>
      <w:hyperlink r:id="rId7" w:history="1">
        <w:r w:rsidRPr="00C05197">
          <w:rPr>
            <w:rStyle w:val="Hyperlink"/>
          </w:rPr>
          <w:t>UN/SCETDG/53/INF.67</w:t>
        </w:r>
      </w:hyperlink>
      <w:r w:rsidRPr="00C05197">
        <w:t>.</w:t>
      </w:r>
    </w:p>
  </w:footnote>
  <w:footnote w:id="7">
    <w:p w:rsidR="000F4C8E" w:rsidRPr="000F4C8E" w:rsidRDefault="000F4C8E">
      <w:pPr>
        <w:pStyle w:val="FootnoteText"/>
        <w:rPr>
          <w:lang w:val="en-GB"/>
        </w:rPr>
      </w:pPr>
      <w:r>
        <w:rPr>
          <w:rStyle w:val="FootnoteReference"/>
        </w:rPr>
        <w:footnoteRef/>
      </w:r>
      <w:r>
        <w:t xml:space="preserve"> </w:t>
      </w:r>
      <w:r w:rsidRPr="000F4C8E">
        <w:rPr>
          <w:lang w:val="en-GB"/>
        </w:rPr>
        <w:t xml:space="preserve">See section 2.1.4.2 of Chapter 2.1 </w:t>
      </w:r>
      <w:r>
        <w:rPr>
          <w:lang w:val="en-GB"/>
        </w:rPr>
        <w:t>of the GHS (7:th revised edi</w:t>
      </w:r>
      <w:r w:rsidRPr="000F4C8E">
        <w:rPr>
          <w:lang w:val="en-GB"/>
        </w:rPr>
        <w:t>tion)</w:t>
      </w:r>
      <w:r>
        <w:rPr>
          <w:lang w:val="en-GB"/>
        </w:rPr>
        <w:t>.</w:t>
      </w:r>
    </w:p>
  </w:footnote>
  <w:footnote w:id="8">
    <w:p w:rsidR="00B82653" w:rsidRPr="00B82653" w:rsidRDefault="00B82653">
      <w:pPr>
        <w:pStyle w:val="FootnoteText"/>
        <w:rPr>
          <w:lang w:val="en-GB"/>
        </w:rPr>
      </w:pPr>
      <w:r>
        <w:rPr>
          <w:rStyle w:val="FootnoteReference"/>
        </w:rPr>
        <w:footnoteRef/>
      </w:r>
      <w:r>
        <w:t xml:space="preserve"> </w:t>
      </w:r>
      <w:r>
        <w:t>S</w:t>
      </w:r>
      <w:r w:rsidRPr="00B82653">
        <w:t>ee the flowchart in Annex 1 of WD20</w:t>
      </w:r>
      <w:r w:rsidRPr="00B82653">
        <w:rPr>
          <w:lang w:val="en-GB"/>
        </w:rPr>
        <w:t>.</w:t>
      </w:r>
    </w:p>
  </w:footnote>
  <w:footnote w:id="9">
    <w:p w:rsidR="00474838" w:rsidRPr="0077587D" w:rsidRDefault="00474838">
      <w:pPr>
        <w:pStyle w:val="FootnoteText"/>
      </w:pPr>
      <w:r>
        <w:rPr>
          <w:rStyle w:val="FootnoteReference"/>
        </w:rPr>
        <w:footnoteRef/>
      </w:r>
      <w:r>
        <w:t xml:space="preserve"> </w:t>
      </w:r>
      <w:r>
        <w:t xml:space="preserve">It should be noted </w:t>
      </w:r>
      <w:r w:rsidRPr="00474838">
        <w:t>that this is not a problem introduced by the new classification system under discussion.</w:t>
      </w:r>
    </w:p>
  </w:footnote>
  <w:footnote w:id="10">
    <w:p w:rsidR="000F4C8E" w:rsidRPr="000F4C8E" w:rsidRDefault="000F4C8E">
      <w:pPr>
        <w:pStyle w:val="FootnoteText"/>
        <w:rPr>
          <w:lang w:val="en-GB"/>
        </w:rPr>
      </w:pPr>
      <w:r>
        <w:rPr>
          <w:rStyle w:val="FootnoteReference"/>
        </w:rPr>
        <w:footnoteRef/>
      </w:r>
      <w:r>
        <w:t xml:space="preserve"> </w:t>
      </w:r>
      <w:r>
        <w:t>I</w:t>
      </w:r>
      <w:r w:rsidRPr="000F4C8E">
        <w:t>ncluding the expert from Sweden and the Chairman of the EWG</w:t>
      </w:r>
      <w:r w:rsidRPr="000F4C8E">
        <w:rPr>
          <w:lang w:val="en-GB"/>
        </w:rPr>
        <w:t>.</w:t>
      </w:r>
    </w:p>
  </w:footnote>
  <w:footnote w:id="11">
    <w:p w:rsidR="002D24FC" w:rsidRPr="002D24FC" w:rsidRDefault="002D24FC" w:rsidP="00477086">
      <w:pPr>
        <w:pStyle w:val="FootnoteText"/>
        <w:tabs>
          <w:tab w:val="clear" w:pos="1021"/>
          <w:tab w:val="right" w:pos="142"/>
        </w:tabs>
        <w:ind w:left="284" w:hanging="284"/>
        <w:rPr>
          <w:lang w:val="en-GB"/>
        </w:rPr>
      </w:pPr>
      <w:r>
        <w:rPr>
          <w:rStyle w:val="FootnoteReference"/>
        </w:rPr>
        <w:footnoteRef/>
      </w:r>
      <w:r>
        <w:t xml:space="preserve"> </w:t>
      </w:r>
      <w:r w:rsidRPr="002D24FC">
        <w:rPr>
          <w:lang w:val="en-GB"/>
        </w:rPr>
        <w:t xml:space="preserve">Test F.3 is the </w:t>
      </w:r>
      <w:proofErr w:type="gramStart"/>
      <w:r w:rsidRPr="002D24FC">
        <w:rPr>
          <w:lang w:val="en-GB"/>
        </w:rPr>
        <w:t>so called</w:t>
      </w:r>
      <w:proofErr w:type="gramEnd"/>
      <w:r w:rsidRPr="002D24FC">
        <w:rPr>
          <w:lang w:val="en-GB"/>
        </w:rPr>
        <w:t xml:space="preserve"> </w:t>
      </w:r>
      <w:r>
        <w:rPr>
          <w:lang w:val="en-GB"/>
        </w:rPr>
        <w:t xml:space="preserve">BAM </w:t>
      </w:r>
      <w:proofErr w:type="spellStart"/>
      <w:r w:rsidRPr="002D24FC">
        <w:rPr>
          <w:lang w:val="en-GB"/>
        </w:rPr>
        <w:t>Trauzl</w:t>
      </w:r>
      <w:proofErr w:type="spellEnd"/>
      <w:r w:rsidRPr="002D24FC">
        <w:rPr>
          <w:lang w:val="en-GB"/>
        </w:rPr>
        <w:t xml:space="preserve"> test</w:t>
      </w:r>
      <w:r>
        <w:rPr>
          <w:lang w:val="en-GB"/>
        </w:rPr>
        <w:t xml:space="preserve"> that is used to measure the explosive power of organic peroxides and self-reactive substances as part of their classification procedures according to the GHS.</w:t>
      </w:r>
    </w:p>
  </w:footnote>
  <w:footnote w:id="12">
    <w:p w:rsidR="00A94C46" w:rsidRPr="0077587D" w:rsidRDefault="00A94C46" w:rsidP="0077587D">
      <w:pPr>
        <w:pStyle w:val="FootnoteText"/>
        <w:tabs>
          <w:tab w:val="clear" w:pos="1021"/>
          <w:tab w:val="right" w:pos="851"/>
        </w:tabs>
        <w:ind w:left="567" w:hanging="567"/>
        <w:rPr>
          <w:lang w:val="en-GB"/>
        </w:rPr>
      </w:pPr>
      <w:r>
        <w:rPr>
          <w:rStyle w:val="FootnoteReference"/>
        </w:rPr>
        <w:footnoteRef/>
      </w:r>
      <w:r>
        <w:t xml:space="preserve"> </w:t>
      </w:r>
      <w:r w:rsidR="009B1BEC" w:rsidRPr="0077587D">
        <w:rPr>
          <w:lang w:val="en-GB"/>
        </w:rPr>
        <w:t>Pending the decision of the SCETDG</w:t>
      </w:r>
      <w:r w:rsidR="009B1BEC">
        <w:rPr>
          <w:lang w:val="en-GB"/>
        </w:rPr>
        <w:t xml:space="preserve">. </w:t>
      </w:r>
      <w:r w:rsidR="00294E84" w:rsidRPr="0077587D">
        <w:rPr>
          <w:lang w:val="en-GB"/>
        </w:rPr>
        <w:t>See INF.17</w:t>
      </w:r>
      <w:r w:rsidR="00294E84">
        <w:rPr>
          <w:lang w:val="en-GB"/>
        </w:rPr>
        <w:t xml:space="preserve"> to the 54:th SCETDG, </w:t>
      </w:r>
      <w:hyperlink r:id="rId8" w:history="1">
        <w:r w:rsidRPr="00A94C46">
          <w:rPr>
            <w:rStyle w:val="Hyperlink"/>
          </w:rPr>
          <w:t>UN/SCETDG/54/INF.17</w:t>
        </w:r>
      </w:hyperlink>
    </w:p>
  </w:footnote>
  <w:footnote w:id="13">
    <w:p w:rsidR="00A94C46" w:rsidRPr="0077587D" w:rsidRDefault="00A94C46">
      <w:pPr>
        <w:pStyle w:val="FootnoteText"/>
        <w:rPr>
          <w:lang w:val="en-GB"/>
        </w:rPr>
      </w:pPr>
      <w:r>
        <w:rPr>
          <w:rStyle w:val="FootnoteReference"/>
        </w:rPr>
        <w:footnoteRef/>
      </w:r>
      <w:r>
        <w:t xml:space="preserve"> </w:t>
      </w:r>
      <w:r w:rsidR="00294E84" w:rsidRPr="0077587D">
        <w:rPr>
          <w:lang w:val="en-GB"/>
        </w:rPr>
        <w:t xml:space="preserve">See INF.13 to the 36:th SCEGHS, </w:t>
      </w:r>
      <w:hyperlink r:id="rId9" w:history="1">
        <w:r w:rsidRPr="00A94C46">
          <w:rPr>
            <w:rStyle w:val="Hyperlink"/>
          </w:rPr>
          <w:t>UN/SCEGHS/36/INF.13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Header"/>
      <w:rPr>
        <w:lang w:val="fr-FR"/>
      </w:rPr>
    </w:pPr>
    <w:r>
      <w:rPr>
        <w:lang w:val="fr-FR"/>
      </w:rPr>
      <w:t>UN/SCETDG/54/INF.</w:t>
    </w:r>
    <w:r w:rsidR="00773FEB">
      <w:rPr>
        <w:lang w:val="fr-FR"/>
      </w:rPr>
      <w:t>29</w:t>
    </w:r>
  </w:p>
  <w:p w:rsidR="007407BE" w:rsidRDefault="002A19FB">
    <w:pPr>
      <w:pStyle w:val="Header"/>
      <w:rPr>
        <w:lang w:val="fr-FR"/>
      </w:rPr>
    </w:pPr>
    <w:r>
      <w:rPr>
        <w:lang w:val="fr-FR"/>
      </w:rPr>
      <w:t>UN/SCEGHS/36/INF.</w:t>
    </w:r>
    <w:r w:rsidR="00773FEB">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33" w:rsidRDefault="00773FEB" w:rsidP="00CB6E33">
    <w:pPr>
      <w:pStyle w:val="Header"/>
      <w:jc w:val="right"/>
      <w:rPr>
        <w:lang w:val="fr-FR"/>
      </w:rPr>
    </w:pPr>
    <w:r>
      <w:rPr>
        <w:lang w:val="fr-FR"/>
      </w:rPr>
      <w:t>UN/SCETDG/54/INF.29</w:t>
    </w:r>
  </w:p>
  <w:p w:rsidR="00CB6E33" w:rsidRPr="00CB6E33" w:rsidRDefault="00773FEB" w:rsidP="00CB6E33">
    <w:pPr>
      <w:pStyle w:val="Header"/>
      <w:jc w:val="right"/>
      <w:rPr>
        <w:lang w:val="fr-FR"/>
      </w:rPr>
    </w:pPr>
    <w:r>
      <w:rPr>
        <w:lang w:val="fr-FR"/>
      </w:rPr>
      <w:t>UN/SCEGHS/36/INF.</w:t>
    </w:r>
    <w:bookmarkStart w:id="0" w:name="_GoBack"/>
    <w:bookmarkEnd w:id="0"/>
    <w:r>
      <w:rPr>
        <w:lang w:val="fr-FR"/>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FEB" w:rsidRDefault="0077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DC9"/>
    <w:multiLevelType w:val="multilevel"/>
    <w:tmpl w:val="FD764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E90A85"/>
    <w:multiLevelType w:val="multilevel"/>
    <w:tmpl w:val="6E74EFB2"/>
    <w:lvl w:ilvl="0">
      <w:start w:val="1"/>
      <w:numFmt w:val="decimal"/>
      <w:lvlText w:val="%1."/>
      <w:lvlJc w:val="left"/>
      <w:pPr>
        <w:ind w:left="1705" w:hanging="570"/>
      </w:pPr>
      <w:rPr>
        <w:rFonts w:eastAsia="Times New Roman"/>
        <w:b/>
        <w:i w:val="0"/>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BE"/>
    <w:rsid w:val="0000431C"/>
    <w:rsid w:val="00015489"/>
    <w:rsid w:val="0002245F"/>
    <w:rsid w:val="00026BF6"/>
    <w:rsid w:val="00074DAE"/>
    <w:rsid w:val="000B2F7B"/>
    <w:rsid w:val="000F4C8E"/>
    <w:rsid w:val="00131784"/>
    <w:rsid w:val="0015668E"/>
    <w:rsid w:val="00166466"/>
    <w:rsid w:val="001B2D21"/>
    <w:rsid w:val="001F2252"/>
    <w:rsid w:val="00204815"/>
    <w:rsid w:val="00204E24"/>
    <w:rsid w:val="00207620"/>
    <w:rsid w:val="002404C3"/>
    <w:rsid w:val="00257540"/>
    <w:rsid w:val="00265CEC"/>
    <w:rsid w:val="00267ECD"/>
    <w:rsid w:val="00284516"/>
    <w:rsid w:val="00294E84"/>
    <w:rsid w:val="002A19FB"/>
    <w:rsid w:val="002A1B26"/>
    <w:rsid w:val="002A56DF"/>
    <w:rsid w:val="002D1133"/>
    <w:rsid w:val="002D24FC"/>
    <w:rsid w:val="00305F0C"/>
    <w:rsid w:val="00360911"/>
    <w:rsid w:val="003732EA"/>
    <w:rsid w:val="00426CC3"/>
    <w:rsid w:val="004517B0"/>
    <w:rsid w:val="00460F33"/>
    <w:rsid w:val="00474838"/>
    <w:rsid w:val="00477086"/>
    <w:rsid w:val="004D7CE8"/>
    <w:rsid w:val="00513C1D"/>
    <w:rsid w:val="005349E8"/>
    <w:rsid w:val="00572235"/>
    <w:rsid w:val="005925F8"/>
    <w:rsid w:val="005A4F6C"/>
    <w:rsid w:val="005C19F5"/>
    <w:rsid w:val="00634C39"/>
    <w:rsid w:val="00641ACA"/>
    <w:rsid w:val="006442FE"/>
    <w:rsid w:val="006F0491"/>
    <w:rsid w:val="006F6BC6"/>
    <w:rsid w:val="007407BE"/>
    <w:rsid w:val="00746921"/>
    <w:rsid w:val="00765BC9"/>
    <w:rsid w:val="00773FEB"/>
    <w:rsid w:val="0077587D"/>
    <w:rsid w:val="00784314"/>
    <w:rsid w:val="007A2940"/>
    <w:rsid w:val="007D38CC"/>
    <w:rsid w:val="007F52E8"/>
    <w:rsid w:val="00877559"/>
    <w:rsid w:val="008B68E7"/>
    <w:rsid w:val="008F5564"/>
    <w:rsid w:val="00943072"/>
    <w:rsid w:val="009547A7"/>
    <w:rsid w:val="009B1BEC"/>
    <w:rsid w:val="009F2D8C"/>
    <w:rsid w:val="00A013D1"/>
    <w:rsid w:val="00A521AF"/>
    <w:rsid w:val="00A94C46"/>
    <w:rsid w:val="00AC2C7D"/>
    <w:rsid w:val="00AE7BB8"/>
    <w:rsid w:val="00AF4434"/>
    <w:rsid w:val="00B202B9"/>
    <w:rsid w:val="00B77377"/>
    <w:rsid w:val="00B82653"/>
    <w:rsid w:val="00BC56F0"/>
    <w:rsid w:val="00C05197"/>
    <w:rsid w:val="00C06C74"/>
    <w:rsid w:val="00CB6E33"/>
    <w:rsid w:val="00D07105"/>
    <w:rsid w:val="00D32B1B"/>
    <w:rsid w:val="00D37D07"/>
    <w:rsid w:val="00DB6254"/>
    <w:rsid w:val="00DC5B22"/>
    <w:rsid w:val="00EA20EC"/>
    <w:rsid w:val="00F45B3C"/>
    <w:rsid w:val="00F4714F"/>
    <w:rsid w:val="00F525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6E49B"/>
  <w15:docId w15:val="{DD634C85-F87A-4EAA-8091-3CE6A035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qFormat/>
    <w:rsid w:val="00A8523D"/>
    <w:pPr>
      <w:widowControl w:val="0"/>
      <w:outlineLvl w:val="0"/>
    </w:pPr>
  </w:style>
  <w:style w:type="paragraph" w:styleId="Heading2">
    <w:name w:val="heading 2"/>
    <w:basedOn w:val="Normal"/>
    <w:qFormat/>
    <w:rsid w:val="00A8523D"/>
    <w:pPr>
      <w:spacing w:line="240" w:lineRule="auto"/>
      <w:outlineLvl w:val="1"/>
    </w:pPr>
  </w:style>
  <w:style w:type="paragraph" w:styleId="Heading3">
    <w:name w:val="heading 3"/>
    <w:basedOn w:val="Normal"/>
    <w:qFormat/>
    <w:rsid w:val="00A8523D"/>
    <w:pPr>
      <w:spacing w:line="240" w:lineRule="auto"/>
      <w:outlineLvl w:val="2"/>
    </w:pPr>
  </w:style>
  <w:style w:type="paragraph" w:styleId="Heading4">
    <w:name w:val="heading 4"/>
    <w:basedOn w:val="Normal"/>
    <w:qFormat/>
    <w:rsid w:val="00A8523D"/>
    <w:pPr>
      <w:spacing w:line="240" w:lineRule="auto"/>
      <w:outlineLvl w:val="3"/>
    </w:pPr>
  </w:style>
  <w:style w:type="paragraph" w:styleId="Heading5">
    <w:name w:val="heading 5"/>
    <w:basedOn w:val="Normal"/>
    <w:qFormat/>
    <w:rsid w:val="00A8523D"/>
    <w:pPr>
      <w:spacing w:line="240" w:lineRule="auto"/>
      <w:outlineLvl w:val="4"/>
    </w:pPr>
  </w:style>
  <w:style w:type="paragraph" w:styleId="Heading6">
    <w:name w:val="heading 6"/>
    <w:basedOn w:val="Normal"/>
    <w:qFormat/>
    <w:rsid w:val="00A8523D"/>
    <w:pPr>
      <w:spacing w:line="240" w:lineRule="auto"/>
      <w:outlineLvl w:val="5"/>
    </w:pPr>
  </w:style>
  <w:style w:type="paragraph" w:styleId="Heading7">
    <w:name w:val="heading 7"/>
    <w:basedOn w:val="Normal"/>
    <w:qFormat/>
    <w:rsid w:val="00A8523D"/>
    <w:pPr>
      <w:spacing w:line="240" w:lineRule="auto"/>
      <w:outlineLvl w:val="6"/>
    </w:pPr>
  </w:style>
  <w:style w:type="paragraph" w:styleId="Heading8">
    <w:name w:val="heading 8"/>
    <w:basedOn w:val="Normal"/>
    <w:qFormat/>
    <w:rsid w:val="00A8523D"/>
    <w:pPr>
      <w:spacing w:line="240" w:lineRule="auto"/>
      <w:outlineLvl w:val="7"/>
    </w:pPr>
  </w:style>
  <w:style w:type="paragraph" w:styleId="Heading9">
    <w:name w:val="heading 9"/>
    <w:basedOn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A8523D"/>
    <w:rPr>
      <w:rFonts w:ascii="Times New Roman" w:hAnsi="Times New Roman"/>
      <w:b/>
      <w:sz w:val="18"/>
    </w:rPr>
  </w:style>
  <w:style w:type="character" w:styleId="EndnoteReference">
    <w:name w:val="endnote reference"/>
    <w:qFormat/>
    <w:rsid w:val="00A8523D"/>
    <w:rPr>
      <w:rFonts w:ascii="Times New Roman" w:hAnsi="Times New Roman"/>
      <w:sz w:val="18"/>
      <w:vertAlign w:val="superscript"/>
    </w:rPr>
  </w:style>
  <w:style w:type="character" w:styleId="FootnoteReference">
    <w:name w:val="footnote reference"/>
    <w:uiPriority w:val="99"/>
    <w:qFormat/>
    <w:rsid w:val="00A8523D"/>
    <w:rPr>
      <w:rFonts w:ascii="Times New Roman" w:hAnsi="Times New Roman"/>
      <w:sz w:val="18"/>
      <w:vertAlign w:val="superscript"/>
    </w:rPr>
  </w:style>
  <w:style w:type="character" w:styleId="CommentReference">
    <w:name w:val="annotation reference"/>
    <w:qFormat/>
    <w:rPr>
      <w:sz w:val="6"/>
    </w:rPr>
  </w:style>
  <w:style w:type="character" w:styleId="LineNumber">
    <w:name w:val="line number"/>
    <w:semiHidden/>
    <w:qFormat/>
    <w:rPr>
      <w:sz w:val="14"/>
    </w:rPr>
  </w:style>
  <w:style w:type="character" w:styleId="Emphasis">
    <w:name w:val="Emphasis"/>
    <w:qFormat/>
    <w:rsid w:val="008A6C4F"/>
    <w:rPr>
      <w:i/>
      <w:iCs/>
    </w:rPr>
  </w:style>
  <w:style w:type="character" w:styleId="FollowedHyperlink">
    <w:name w:val="FollowedHyperlink"/>
    <w:qFormat/>
    <w:rsid w:val="00A8523D"/>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InternetLink">
    <w:name w:val="Internet Link"/>
    <w:semiHidden/>
    <w:rsid w:val="00A8523D"/>
    <w:rPr>
      <w:color w:val="00000A"/>
      <w:u w:val="none"/>
    </w:rPr>
  </w:style>
  <w:style w:type="character" w:styleId="Strong">
    <w:name w:val="Strong"/>
    <w:qFormat/>
    <w:rsid w:val="008A6C4F"/>
    <w:rPr>
      <w:b/>
      <w:bCs/>
    </w:rPr>
  </w:style>
  <w:style w:type="character" w:customStyle="1" w:styleId="BalloonTextChar">
    <w:name w:val="Balloon Text Char"/>
    <w:link w:val="BalloonText"/>
    <w:qForma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link w:val="FootnoteText"/>
    <w:uiPriority w:val="99"/>
    <w:qFormat/>
    <w:rsid w:val="00E34E58"/>
    <w:rPr>
      <w:sz w:val="18"/>
      <w:lang w:eastAsia="en-US"/>
    </w:rPr>
  </w:style>
  <w:style w:type="character" w:customStyle="1" w:styleId="CommentTextChar">
    <w:name w:val="Comment Text Char"/>
    <w:link w:val="CommentText"/>
    <w:qFormat/>
    <w:rsid w:val="00115303"/>
    <w:rPr>
      <w:lang w:val="en-GB"/>
    </w:rPr>
  </w:style>
  <w:style w:type="character" w:customStyle="1" w:styleId="CommentSubjectChar">
    <w:name w:val="Comment Subject Char"/>
    <w:link w:val="CommentSubject"/>
    <w:qFormat/>
    <w:rsid w:val="00115303"/>
    <w:rPr>
      <w:b/>
      <w:bCs/>
      <w:lang w:val="en-GB"/>
    </w:rPr>
  </w:style>
  <w:style w:type="character" w:customStyle="1" w:styleId="berschrift3Zchn">
    <w:name w:val="Überschrift 3 Zchn"/>
    <w:qFormat/>
    <w:rsid w:val="009D634E"/>
    <w:rPr>
      <w:lang w:eastAsia="en-US"/>
    </w:rPr>
  </w:style>
  <w:style w:type="character" w:customStyle="1" w:styleId="H1GChar">
    <w:name w:val="_ H_1_G Char"/>
    <w:link w:val="H1G"/>
    <w:qFormat/>
    <w:rsid w:val="00A83451"/>
    <w:rPr>
      <w:b/>
      <w:sz w:val="24"/>
      <w:lang w:eastAsia="en-US"/>
    </w:rPr>
  </w:style>
  <w:style w:type="character" w:customStyle="1" w:styleId="HTMLPreformattedChar">
    <w:name w:val="HTML Preformatted Char"/>
    <w:link w:val="HTMLPreformatted"/>
    <w:uiPriority w:val="99"/>
    <w:qFormat/>
    <w:rsid w:val="00CE7626"/>
    <w:rPr>
      <w:rFonts w:ascii="Courier New" w:hAnsi="Courier New" w:cs="Courier New"/>
      <w:lang w:eastAsia="en-US"/>
    </w:rPr>
  </w:style>
  <w:style w:type="character" w:customStyle="1" w:styleId="FooterChar">
    <w:name w:val="Footer Char"/>
    <w:link w:val="Footer"/>
    <w:uiPriority w:val="99"/>
    <w:qFormat/>
    <w:rsid w:val="00CE7626"/>
    <w:rPr>
      <w:sz w:val="16"/>
      <w:lang w:eastAsia="en-US"/>
    </w:rPr>
  </w:style>
  <w:style w:type="character" w:customStyle="1" w:styleId="Textkrper-ZeileneinzugZchn">
    <w:name w:val="Textkörper-Zeileneinzug Zchn"/>
    <w:semiHidden/>
    <w:qFormat/>
    <w:rsid w:val="00CE7626"/>
    <w:rPr>
      <w:lang w:eastAsia="en-US"/>
    </w:rPr>
  </w:style>
  <w:style w:type="character" w:customStyle="1" w:styleId="Textkrper-Einzug2Zchn">
    <w:name w:val="Textkörper-Einzug 2 Zchn"/>
    <w:semiHidden/>
    <w:qFormat/>
    <w:rsid w:val="00CE7626"/>
    <w:rPr>
      <w:lang w:eastAsia="en-US"/>
    </w:rPr>
  </w:style>
  <w:style w:type="character" w:customStyle="1" w:styleId="BodyTextChar">
    <w:name w:val="Body Text Char"/>
    <w:link w:val="BodyText"/>
    <w:semiHidden/>
    <w:qFormat/>
    <w:rsid w:val="00CE7626"/>
    <w:rPr>
      <w:lang w:eastAsia="en-US"/>
    </w:rPr>
  </w:style>
  <w:style w:type="character" w:customStyle="1" w:styleId="HeaderChar">
    <w:name w:val="Header Char"/>
    <w:link w:val="Header"/>
    <w:uiPriority w:val="99"/>
    <w:qFormat/>
    <w:rsid w:val="00CE7626"/>
    <w:rPr>
      <w:b/>
      <w:sz w:val="18"/>
      <w:lang w:eastAsia="en-US"/>
    </w:rPr>
  </w:style>
  <w:style w:type="character" w:customStyle="1" w:styleId="Textkrper-Einzug3Zchn">
    <w:name w:val="Textkörper-Einzug 3 Zchn"/>
    <w:semiHidden/>
    <w:qFormat/>
    <w:rsid w:val="00CE7626"/>
    <w:rPr>
      <w:sz w:val="16"/>
      <w:szCs w:val="16"/>
      <w:lang w:eastAsia="en-US"/>
    </w:rPr>
  </w:style>
  <w:style w:type="character" w:customStyle="1" w:styleId="TitleChar">
    <w:name w:val="Title Char"/>
    <w:link w:val="Title"/>
    <w:qFormat/>
    <w:rsid w:val="00CE7626"/>
    <w:rPr>
      <w:rFonts w:ascii="Arial" w:hAnsi="Arial" w:cs="Arial"/>
      <w:b/>
      <w:bCs/>
      <w:sz w:val="32"/>
      <w:szCs w:val="32"/>
      <w:lang w:eastAsia="en-US"/>
    </w:rPr>
  </w:style>
  <w:style w:type="character" w:customStyle="1" w:styleId="berschrift5Zchn">
    <w:name w:val="Überschrift 5 Zchn"/>
    <w:qFormat/>
    <w:rsid w:val="00CE7626"/>
    <w:rPr>
      <w:lang w:eastAsia="en-US"/>
    </w:rPr>
  </w:style>
  <w:style w:type="character" w:customStyle="1" w:styleId="EndnoteTextChar">
    <w:name w:val="Endnote Text Char"/>
    <w:link w:val="EndnoteText"/>
    <w:qFormat/>
    <w:rsid w:val="00CE7626"/>
    <w:rPr>
      <w:sz w:val="18"/>
      <w:lang w:val="x-none" w:eastAsia="en-US"/>
    </w:rPr>
  </w:style>
  <w:style w:type="character" w:customStyle="1" w:styleId="BodyText2Char">
    <w:name w:val="Body Text 2 Char"/>
    <w:link w:val="BodyText2"/>
    <w:semiHidden/>
    <w:qFormat/>
    <w:rsid w:val="00CE7626"/>
    <w:rPr>
      <w:lang w:eastAsia="en-US"/>
    </w:rPr>
  </w:style>
  <w:style w:type="character" w:customStyle="1" w:styleId="ManualBodyTextChar">
    <w:name w:val="Manual Body Text Char"/>
    <w:link w:val="ManualBodyText"/>
    <w:qFormat/>
    <w:rsid w:val="00CE7626"/>
    <w:rPr>
      <w:sz w:val="22"/>
      <w:szCs w:val="22"/>
      <w:lang w:eastAsia="fr-FR"/>
    </w:rPr>
  </w:style>
  <w:style w:type="character" w:styleId="PlaceholderText">
    <w:name w:val="Placeholder Text"/>
    <w:uiPriority w:val="99"/>
    <w:semiHidden/>
    <w:qFormat/>
    <w:rsid w:val="00CE7626"/>
    <w:rPr>
      <w:color w:val="808080"/>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rFonts w:eastAsia="Times New Roman"/>
      <w:b/>
      <w:i w:val="0"/>
      <w:sz w:val="20"/>
      <w:szCs w:val="20"/>
    </w:rPr>
  </w:style>
  <w:style w:type="character" w:customStyle="1" w:styleId="ListLabel30">
    <w:name w:val="ListLabel 30"/>
    <w:qFormat/>
    <w:rPr>
      <w:rFonts w:eastAsia="Times New Roman"/>
      <w:b w:val="0"/>
      <w:i w:val="0"/>
      <w:sz w:val="20"/>
      <w:szCs w:val="20"/>
      <w:lang w:val="de-D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semiHidden/>
  </w:style>
  <w:style w:type="paragraph" w:styleId="List">
    <w:name w:val="List"/>
    <w:basedOn w:val="Normal"/>
    <w:semiHidden/>
    <w:rsid w:val="008A6C4F"/>
    <w:pPr>
      <w:ind w:left="283" w:hanging="283"/>
    </w:p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MG">
    <w:name w:val="_ H __M_G"/>
    <w:basedOn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paragraph" w:styleId="PlainText">
    <w:name w:val="Plain Text"/>
    <w:basedOn w:val="Normal"/>
    <w:semiHidden/>
    <w:qFormat/>
    <w:rPr>
      <w:rFonts w:cs="Courier New"/>
    </w:rPr>
  </w:style>
  <w:style w:type="paragraph" w:styleId="BodyTextIndent">
    <w:name w:val="Body Text Indent"/>
    <w:basedOn w:val="BodyText"/>
    <w:semiHidden/>
    <w:qFormat/>
    <w:rsid w:val="008A6C4F"/>
    <w:pPr>
      <w:spacing w:after="120"/>
      <w:ind w:firstLine="210"/>
    </w:pPr>
  </w:style>
  <w:style w:type="paragraph" w:styleId="BlockText">
    <w:name w:val="Block Text"/>
    <w:basedOn w:val="Normal"/>
    <w:semiHidden/>
    <w:qFormat/>
    <w:pPr>
      <w:ind w:left="1440" w:right="1440"/>
    </w:pPr>
  </w:style>
  <w:style w:type="paragraph" w:customStyle="1" w:styleId="SMG">
    <w:name w:val="__S_M_G"/>
    <w:basedOn w:val="Normal"/>
    <w:qFormat/>
    <w:rsid w:val="00A8523D"/>
    <w:pPr>
      <w:keepNext/>
      <w:keepLines/>
      <w:spacing w:before="240" w:after="240" w:line="420" w:lineRule="exact"/>
      <w:ind w:left="1134" w:right="1134"/>
    </w:pPr>
    <w:rPr>
      <w:b/>
      <w:sz w:val="40"/>
    </w:rPr>
  </w:style>
  <w:style w:type="paragraph" w:customStyle="1" w:styleId="SLG">
    <w:name w:val="__S_L_G"/>
    <w:basedOn w:val="Normal"/>
    <w:qFormat/>
    <w:rsid w:val="00A8523D"/>
    <w:pPr>
      <w:keepNext/>
      <w:keepLines/>
      <w:spacing w:before="240" w:after="240" w:line="580" w:lineRule="exact"/>
      <w:ind w:left="1134" w:right="1134"/>
    </w:pPr>
    <w:rPr>
      <w:b/>
      <w:sz w:val="56"/>
    </w:rPr>
  </w:style>
  <w:style w:type="paragraph" w:customStyle="1" w:styleId="SSG">
    <w:name w:val="__S_S_G"/>
    <w:basedOn w:val="Normal"/>
    <w:qFormat/>
    <w:rsid w:val="00A8523D"/>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qFormat/>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spacing w:after="120"/>
      <w:ind w:right="1134"/>
      <w:jc w:val="both"/>
    </w:pPr>
  </w:style>
  <w:style w:type="paragraph" w:styleId="EndnoteText">
    <w:name w:val="endnote text"/>
    <w:basedOn w:val="FootnoteText"/>
    <w:link w:val="EndnoteTextChar"/>
    <w:qFormat/>
    <w:rsid w:val="00A8523D"/>
  </w:style>
  <w:style w:type="paragraph" w:styleId="CommentText">
    <w:name w:val="annotation text"/>
    <w:basedOn w:val="Normal"/>
    <w:link w:val="CommentTextChar"/>
    <w:qFormat/>
    <w:rPr>
      <w:lang w:eastAsia="x-none"/>
    </w:rPr>
  </w:style>
  <w:style w:type="paragraph" w:customStyle="1" w:styleId="Bullet2G">
    <w:name w:val="_Bullet 2_G"/>
    <w:basedOn w:val="Normal"/>
    <w:qFormat/>
    <w:rsid w:val="00A8523D"/>
    <w:pPr>
      <w:spacing w:after="120"/>
      <w:ind w:right="1134"/>
      <w:jc w:val="both"/>
    </w:pPr>
  </w:style>
  <w:style w:type="paragraph" w:customStyle="1" w:styleId="H1G">
    <w:name w:val="_ H_1_G"/>
    <w:basedOn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qFormat/>
    <w:rsid w:val="00A8523D"/>
    <w:pPr>
      <w:keepNext/>
      <w:keepLines/>
      <w:tabs>
        <w:tab w:val="right" w:pos="851"/>
      </w:tabs>
      <w:spacing w:before="240" w:after="120" w:line="240" w:lineRule="exact"/>
      <w:ind w:left="1134" w:right="1134" w:hanging="1134"/>
    </w:pPr>
  </w:style>
  <w:style w:type="paragraph" w:styleId="BodyText2">
    <w:name w:val="Body Text 2"/>
    <w:basedOn w:val="Normal"/>
    <w:link w:val="BodyText2Char"/>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BodyTextIndent"/>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link w:val="HTMLPreformattedChar"/>
    <w:uiPriority w:val="99"/>
    <w:qFormat/>
    <w:rsid w:val="008A6C4F"/>
    <w:rPr>
      <w:rFonts w:ascii="Courier New" w:hAnsi="Courier New" w:cs="Courier New"/>
    </w:rPr>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Number">
    <w:name w:val="List Number"/>
    <w:basedOn w:val="Normal"/>
    <w:semiHidden/>
    <w:qFormat/>
    <w:rsid w:val="008A6C4F"/>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semiHidden/>
    <w:qFormat/>
    <w:rsid w:val="008A6C4F"/>
  </w:style>
  <w:style w:type="paragraph" w:styleId="Salutation">
    <w:name w:val="Salutation"/>
    <w:basedOn w:val="Normal"/>
    <w:semiHidden/>
    <w:rsid w:val="008A6C4F"/>
  </w:style>
  <w:style w:type="paragraph" w:styleId="Signature">
    <w:name w:val="Signature"/>
    <w:basedOn w:val="Normal"/>
    <w:semiHidden/>
    <w:rsid w:val="008A6C4F"/>
    <w:pPr>
      <w:ind w:left="4252"/>
    </w:pPr>
  </w:style>
  <w:style w:type="paragraph" w:styleId="Subtitle">
    <w:name w:val="Subtitle"/>
    <w:basedOn w:val="Normal"/>
    <w:qFormat/>
    <w:rsid w:val="008A6C4F"/>
    <w:pPr>
      <w:spacing w:after="60"/>
      <w:jc w:val="center"/>
      <w:outlineLvl w:val="1"/>
    </w:pPr>
    <w:rPr>
      <w:rFonts w:ascii="Arial" w:hAnsi="Arial" w:cs="Arial"/>
      <w:sz w:val="24"/>
      <w:szCs w:val="24"/>
    </w:rPr>
  </w:style>
  <w:style w:type="paragraph" w:styleId="Title">
    <w:name w:val="Title"/>
    <w:basedOn w:val="Normal"/>
    <w:link w:val="TitleChar"/>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styleId="Footer">
    <w:name w:val="footer"/>
    <w:basedOn w:val="Normal"/>
    <w:link w:val="FooterChar"/>
    <w:uiPriority w:val="99"/>
    <w:rsid w:val="00A8523D"/>
    <w:pPr>
      <w:spacing w:line="240" w:lineRule="auto"/>
    </w:pPr>
    <w:rPr>
      <w:sz w:val="16"/>
    </w:rPr>
  </w:style>
  <w:style w:type="paragraph" w:styleId="Header">
    <w:name w:val="header"/>
    <w:basedOn w:val="Normal"/>
    <w:link w:val="HeaderChar"/>
    <w:uiPriority w:val="99"/>
    <w:rsid w:val="00A8523D"/>
    <w:pPr>
      <w:pBdr>
        <w:bottom w:val="single" w:sz="4" w:space="4" w:color="00000A"/>
      </w:pBdr>
      <w:spacing w:line="240" w:lineRule="auto"/>
    </w:pPr>
    <w:rPr>
      <w:b/>
      <w:sz w:val="18"/>
    </w:rPr>
  </w:style>
  <w:style w:type="paragraph" w:styleId="BalloonText">
    <w:name w:val="Balloon Text"/>
    <w:basedOn w:val="Normal"/>
    <w:link w:val="BalloonTextChar"/>
    <w:qFormat/>
    <w:rsid w:val="000216CC"/>
    <w:pPr>
      <w:spacing w:line="240" w:lineRule="auto"/>
    </w:pPr>
    <w:rPr>
      <w:rFonts w:ascii="Tahoma" w:hAnsi="Tahoma"/>
      <w:sz w:val="16"/>
      <w:szCs w:val="16"/>
      <w:lang w:val="x-none"/>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qFormat/>
    <w:rsid w:val="00494C77"/>
    <w:rPr>
      <w:color w:val="000000"/>
      <w:sz w:val="24"/>
      <w:szCs w:val="24"/>
      <w:lang w:val="sv-SE" w:eastAsia="sv-SE"/>
    </w:rPr>
  </w:style>
  <w:style w:type="paragraph" w:styleId="CommentSubject">
    <w:name w:val="annotation subject"/>
    <w:basedOn w:val="CommentText"/>
    <w:link w:val="CommentSubjectChar"/>
    <w:qFormat/>
    <w:rsid w:val="00115303"/>
    <w:rPr>
      <w:b/>
      <w:bCs/>
    </w:rPr>
  </w:style>
  <w:style w:type="paragraph" w:customStyle="1" w:styleId="Listenabsatz1">
    <w:name w:val="Listenabsatz1"/>
    <w:basedOn w:val="Normal"/>
    <w:uiPriority w:val="99"/>
    <w:qFormat/>
    <w:rsid w:val="008037A2"/>
    <w:pPr>
      <w:suppressAutoHyphens w:val="0"/>
      <w:spacing w:line="240" w:lineRule="auto"/>
      <w:ind w:left="720"/>
      <w:contextualSpacing/>
    </w:pPr>
    <w:rPr>
      <w:sz w:val="24"/>
      <w:szCs w:val="24"/>
      <w:lang w:eastAsia="en-GB"/>
    </w:rPr>
  </w:style>
  <w:style w:type="paragraph" w:customStyle="1" w:styleId="GHSHeading4">
    <w:name w:val="GHSHeading4"/>
    <w:basedOn w:val="Normal"/>
    <w:qFormat/>
    <w:rsid w:val="009D634E"/>
    <w:pPr>
      <w:keepNext/>
      <w:keepLines/>
      <w:tabs>
        <w:tab w:val="left" w:pos="1418"/>
        <w:tab w:val="left" w:pos="1985"/>
        <w:tab w:val="left" w:pos="2552"/>
        <w:tab w:val="left" w:pos="3119"/>
        <w:tab w:val="left" w:pos="3686"/>
      </w:tabs>
      <w:suppressAutoHyphens w:val="0"/>
      <w:spacing w:line="240" w:lineRule="auto"/>
      <w:jc w:val="both"/>
    </w:pPr>
    <w:rPr>
      <w:b/>
      <w:bCs/>
      <w:color w:val="000000"/>
      <w:sz w:val="22"/>
      <w:szCs w:val="22"/>
      <w:lang w:eastAsia="fr-FR"/>
    </w:rPr>
  </w:style>
  <w:style w:type="paragraph" w:customStyle="1" w:styleId="GHSHeading5">
    <w:name w:val="GHSHeading5"/>
    <w:basedOn w:val="Normal"/>
    <w:qFormat/>
    <w:rsid w:val="009D634E"/>
    <w:pPr>
      <w:keepNext/>
      <w:keepLines/>
      <w:widowControl w:val="0"/>
      <w:tabs>
        <w:tab w:val="left" w:pos="1418"/>
        <w:tab w:val="left" w:pos="1985"/>
        <w:tab w:val="left" w:pos="2552"/>
        <w:tab w:val="left" w:pos="3119"/>
        <w:tab w:val="left" w:pos="3686"/>
      </w:tabs>
      <w:suppressAutoHyphens w:val="0"/>
      <w:spacing w:line="240" w:lineRule="auto"/>
      <w:jc w:val="both"/>
    </w:pPr>
    <w:rPr>
      <w:color w:val="000000"/>
      <w:sz w:val="22"/>
      <w:szCs w:val="22"/>
    </w:rPr>
  </w:style>
  <w:style w:type="paragraph" w:customStyle="1" w:styleId="Style1">
    <w:name w:val="Style1"/>
    <w:basedOn w:val="Normal"/>
    <w:qFormat/>
    <w:rsid w:val="009D634E"/>
    <w:pPr>
      <w:suppressAutoHyphens w:val="0"/>
      <w:spacing w:line="240" w:lineRule="auto"/>
    </w:pPr>
    <w:rPr>
      <w:sz w:val="22"/>
      <w:szCs w:val="24"/>
    </w:rPr>
  </w:style>
  <w:style w:type="paragraph" w:customStyle="1" w:styleId="ManualBodyText">
    <w:name w:val="Manual Body Text"/>
    <w:basedOn w:val="BodyText"/>
    <w:link w:val="ManualBodyTextChar"/>
    <w:qFormat/>
    <w:rsid w:val="00CE7626"/>
    <w:pPr>
      <w:tabs>
        <w:tab w:val="left" w:pos="1418"/>
      </w:tabs>
      <w:suppressAutoHyphens w:val="0"/>
      <w:spacing w:line="240" w:lineRule="auto"/>
      <w:jc w:val="both"/>
    </w:pPr>
    <w:rPr>
      <w:sz w:val="22"/>
      <w:szCs w:val="22"/>
      <w:lang w:eastAsia="fr-FR"/>
    </w:rPr>
  </w:style>
  <w:style w:type="paragraph" w:customStyle="1" w:styleId="ManualHeading1">
    <w:name w:val="Manual Heading 1"/>
    <w:basedOn w:val="ManualBodyText"/>
    <w:qFormat/>
    <w:rsid w:val="00CE7626"/>
    <w:pPr>
      <w:keepNext/>
      <w:keepLines/>
      <w:jc w:val="center"/>
    </w:pPr>
    <w:rPr>
      <w:b/>
      <w:sz w:val="26"/>
      <w:szCs w:val="26"/>
    </w:rPr>
  </w:style>
  <w:style w:type="paragraph" w:customStyle="1" w:styleId="ManualHeading2">
    <w:name w:val="Manual Heading 2"/>
    <w:basedOn w:val="ManualBodyText"/>
    <w:qFormat/>
    <w:rsid w:val="00CE7626"/>
    <w:pPr>
      <w:keepNext/>
      <w:keepLines/>
    </w:pPr>
    <w:rPr>
      <w:b/>
    </w:rPr>
  </w:style>
  <w:style w:type="paragraph" w:customStyle="1" w:styleId="ManualHeading3">
    <w:name w:val="Manual Heading 3"/>
    <w:basedOn w:val="ManualBodyText"/>
    <w:qFormat/>
    <w:rsid w:val="00CE7626"/>
    <w:pPr>
      <w:keepNext/>
      <w:keepLines/>
    </w:pPr>
    <w:rPr>
      <w:b/>
    </w:rPr>
  </w:style>
  <w:style w:type="paragraph" w:customStyle="1" w:styleId="ManualHeading4">
    <w:name w:val="Manual Heading 4"/>
    <w:basedOn w:val="ManualBodyText"/>
    <w:qFormat/>
    <w:rsid w:val="00CE7626"/>
    <w:pPr>
      <w:keepNext/>
      <w:keepLines/>
    </w:pPr>
  </w:style>
  <w:style w:type="paragraph" w:customStyle="1" w:styleId="ManualHeading5">
    <w:name w:val="Manual Heading 5"/>
    <w:basedOn w:val="ManualBodyText"/>
    <w:qFormat/>
    <w:rsid w:val="00CE7626"/>
    <w:pPr>
      <w:keepNext/>
      <w:keepLines/>
    </w:pPr>
  </w:style>
  <w:style w:type="paragraph" w:customStyle="1" w:styleId="ManualHeading6">
    <w:name w:val="Manual Heading 6"/>
    <w:basedOn w:val="ManualBodyText"/>
    <w:qFormat/>
    <w:rsid w:val="00CE7626"/>
    <w:pPr>
      <w:keepNext/>
      <w:keepLines/>
    </w:pPr>
  </w:style>
  <w:style w:type="paragraph" w:customStyle="1" w:styleId="ManualPartEN">
    <w:name w:val="Manual Part EN"/>
    <w:basedOn w:val="ManualHeading1"/>
    <w:qFormat/>
    <w:rsid w:val="00CE7626"/>
    <w:rPr>
      <w:bCs/>
      <w:sz w:val="56"/>
      <w:szCs w:val="44"/>
    </w:rPr>
  </w:style>
  <w:style w:type="paragraph" w:customStyle="1" w:styleId="a">
    <w:name w:val="–"/>
    <w:semiHidden/>
    <w:qFormat/>
    <w:rsid w:val="00CE7626"/>
    <w:pPr>
      <w:jc w:val="both"/>
    </w:pPr>
    <w:rPr>
      <w:rFonts w:ascii="Arial" w:hAnsi="Arial"/>
      <w:sz w:val="24"/>
      <w:szCs w:val="24"/>
    </w:rPr>
  </w:style>
  <w:style w:type="paragraph" w:customStyle="1" w:styleId="font5">
    <w:name w:val="font5"/>
    <w:basedOn w:val="Normal"/>
    <w:semiHidden/>
    <w:qFormat/>
    <w:rsid w:val="00CE7626"/>
    <w:pPr>
      <w:suppressAutoHyphens w:val="0"/>
      <w:spacing w:beforeAutospacing="1" w:afterAutospacing="1" w:line="240" w:lineRule="auto"/>
    </w:pPr>
    <w:rPr>
      <w:rFonts w:ascii="CG Times" w:hAnsi="CG Times"/>
    </w:rPr>
  </w:style>
  <w:style w:type="paragraph" w:customStyle="1" w:styleId="Document1">
    <w:name w:val="Document 1"/>
    <w:semiHidden/>
    <w:qFormat/>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qFormat/>
    <w:rsid w:val="00CE7626"/>
    <w:pPr>
      <w:tabs>
        <w:tab w:val="left" w:pos="851"/>
        <w:tab w:val="left" w:pos="1191"/>
        <w:tab w:val="left" w:pos="1531"/>
      </w:tabs>
      <w:suppressAutoHyphens w:val="0"/>
      <w:spacing w:after="240" w:line="240" w:lineRule="auto"/>
      <w:jc w:val="both"/>
    </w:pPr>
    <w:rPr>
      <w:rFonts w:ascii="Times" w:hAnsi="Times"/>
      <w:sz w:val="22"/>
    </w:rPr>
  </w:style>
  <w:style w:type="paragraph" w:customStyle="1" w:styleId="FrameContents">
    <w:name w:val="Frame Contents"/>
    <w:basedOn w:val="Normal"/>
    <w:qFormat/>
  </w:style>
  <w:style w:type="numbering" w:styleId="111111">
    <w:name w:val="Outline List 2"/>
    <w:semiHidden/>
    <w:qFormat/>
    <w:rsid w:val="008A6C4F"/>
  </w:style>
  <w:style w:type="numbering" w:styleId="1ai">
    <w:name w:val="Outline List 1"/>
    <w:semiHidden/>
    <w:qFormat/>
    <w:rsid w:val="008A6C4F"/>
  </w:style>
  <w:style w:type="numbering" w:styleId="ArticleSection">
    <w:name w:val="Outline List 3"/>
    <w:semiHidden/>
    <w:qFormat/>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73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trans/doc/2018/dgac10c3/UN-SCETDG-54-INF17e.pdf" TargetMode="External"/><Relationship Id="rId3" Type="http://schemas.openxmlformats.org/officeDocument/2006/relationships/hyperlink" Target="http://www.unece.org/fileadmin/DAM/trans/doc/2017/dgac10c4/UN-SCEGHS-33-INF07e-UN-SCETDG-51-INF15e.pdf" TargetMode="External"/><Relationship Id="rId7" Type="http://schemas.openxmlformats.org/officeDocument/2006/relationships/hyperlink" Target="http://www.unece.org/fileadmin/DAM/trans/doc/2018/dgac10c3/UN-SCETDG-53-INF67e.pdf" TargetMode="External"/><Relationship Id="rId2" Type="http://schemas.openxmlformats.org/officeDocument/2006/relationships/hyperlink" Target="http://www.unece.org/fileadmin/DAM/trans/doc/2017/dgac10c4/UN-SCEGHS-34-INF10e-UN-SCETDG-52-INF20e.pdf" TargetMode="External"/><Relationship Id="rId1" Type="http://schemas.openxmlformats.org/officeDocument/2006/relationships/hyperlink" Target="http://www.unece.org/fileadmin/DAM/trans/doc/2018/dgac10c4/ST-SG-AC10-C4-70e.pdf" TargetMode="External"/><Relationship Id="rId6" Type="http://schemas.openxmlformats.org/officeDocument/2006/relationships/hyperlink" Target="http://www.unece.org/fileadmin/DAM/trans/doc/2018/dgac10c4/UN-SCETDG-36-INF18e-UN-SCEGHS-54-INF24e.pdf" TargetMode="External"/><Relationship Id="rId5" Type="http://schemas.openxmlformats.org/officeDocument/2006/relationships/hyperlink" Target="http://www.unece.org/fileadmin/DAM/trans/doc/2018/dgac10c4/UN-SCEGHS-36-INF10e-UN-SCETDG-54-INF13e.pdf" TargetMode="External"/><Relationship Id="rId4" Type="http://schemas.openxmlformats.org/officeDocument/2006/relationships/hyperlink" Target="http://www.unece.org/fileadmin/DAM/trans/doc/2018/dgac10c4/ST-SG-AC.10-C.4-2018-20e-ST-SG-AC.10-C.3-2018-85e.pdf" TargetMode="External"/><Relationship Id="rId9" Type="http://schemas.openxmlformats.org/officeDocument/2006/relationships/hyperlink" Target="http://www.unece.org/fileadmin/DAM/trans/doc/2018/dgac10c4/UN-SCEGHS-36-INF1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CA60-C563-49E9-AEA7-9A494C4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8225</Characters>
  <Application>Microsoft Office Word</Application>
  <DocSecurity>0</DocSecurity>
  <Lines>68</Lines>
  <Paragraphs>19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2018-11-16T08:00:00Z</cp:lastPrinted>
  <dcterms:created xsi:type="dcterms:W3CDTF">2018-11-16T07:59:00Z</dcterms:created>
  <dcterms:modified xsi:type="dcterms:W3CDTF">2018-11-16T08:00:00Z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