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trPr>
          <w:trHeight w:val="851"/>
        </w:trPr>
        <w:tc>
          <w:tcPr>
            <w:tcW w:w="1259" w:type="dxa"/>
            <w:tcBorders>
              <w:top w:val="nil"/>
              <w:left w:val="nil"/>
              <w:bottom w:val="single" w:sz="4" w:space="0" w:color="auto"/>
              <w:right w:val="nil"/>
            </w:tcBorders>
          </w:tcPr>
          <w:p w:rsidR="00446DE4" w:rsidRPr="006500BA" w:rsidRDefault="00446DE4" w:rsidP="006C1CA0">
            <w:pPr>
              <w:spacing w:after="80" w:line="340" w:lineRule="exact"/>
            </w:pPr>
          </w:p>
        </w:tc>
        <w:tc>
          <w:tcPr>
            <w:tcW w:w="2236" w:type="dxa"/>
            <w:tcBorders>
              <w:top w:val="nil"/>
              <w:left w:val="nil"/>
              <w:bottom w:val="single" w:sz="4" w:space="0" w:color="auto"/>
              <w:right w:val="nil"/>
            </w:tcBorders>
            <w:vAlign w:val="bottom"/>
          </w:tcPr>
          <w:p w:rsidR="00446DE4" w:rsidRPr="006C1CA0" w:rsidRDefault="00B3317B" w:rsidP="006C1CA0">
            <w:pPr>
              <w:spacing w:after="80" w:line="340" w:lineRule="exact"/>
              <w:rPr>
                <w:sz w:val="28"/>
                <w:szCs w:val="28"/>
              </w:rPr>
            </w:pPr>
            <w:r w:rsidRPr="006C1CA0">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DC5FBA" w:rsidP="00347C44">
            <w:pPr>
              <w:jc w:val="right"/>
            </w:pPr>
            <w:r w:rsidRPr="006C1CA0">
              <w:rPr>
                <w:sz w:val="40"/>
              </w:rPr>
              <w:t>ST</w:t>
            </w:r>
            <w:r w:rsidR="00503B9C">
              <w:t>/SG/AC.10/C.3/201</w:t>
            </w:r>
            <w:r w:rsidR="00AB52ED">
              <w:t>8</w:t>
            </w:r>
            <w:r>
              <w:t>/</w:t>
            </w:r>
            <w:r w:rsidR="00C52175">
              <w:t>96</w:t>
            </w:r>
          </w:p>
        </w:tc>
      </w:tr>
      <w:tr w:rsidR="003107FA" w:rsidRPr="006500BA">
        <w:trPr>
          <w:trHeight w:val="2835"/>
        </w:trPr>
        <w:tc>
          <w:tcPr>
            <w:tcW w:w="1259" w:type="dxa"/>
            <w:tcBorders>
              <w:top w:val="single" w:sz="4" w:space="0" w:color="auto"/>
              <w:left w:val="nil"/>
              <w:bottom w:val="single" w:sz="12" w:space="0" w:color="auto"/>
              <w:right w:val="nil"/>
            </w:tcBorders>
          </w:tcPr>
          <w:p w:rsidR="003107FA" w:rsidRPr="006500BA" w:rsidRDefault="00B6001B" w:rsidP="006C1CA0">
            <w:pPr>
              <w:spacing w:before="120"/>
              <w:jc w:val="center"/>
            </w:pPr>
            <w:r>
              <w:rPr>
                <w:noProof/>
                <w:lang w:val="de-DE" w:eastAsia="de-DE"/>
              </w:rPr>
              <w:drawing>
                <wp:inline distT="0" distB="0" distL="0" distR="0">
                  <wp:extent cx="718185" cy="589280"/>
                  <wp:effectExtent l="0" t="0" r="5715" b="1270"/>
                  <wp:docPr id="1" name="Picture 3" descr="Beschreibung: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eibung: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C1CA0" w:rsidRDefault="00D96CC5" w:rsidP="006C1CA0">
            <w:pPr>
              <w:spacing w:before="120" w:line="420" w:lineRule="exact"/>
              <w:rPr>
                <w:b/>
                <w:sz w:val="40"/>
                <w:szCs w:val="40"/>
              </w:rPr>
            </w:pPr>
            <w:r w:rsidRPr="006C1CA0">
              <w:rPr>
                <w:b/>
                <w:sz w:val="40"/>
                <w:szCs w:val="40"/>
              </w:rPr>
              <w:t>Secretariat</w:t>
            </w:r>
          </w:p>
        </w:tc>
        <w:tc>
          <w:tcPr>
            <w:tcW w:w="2930" w:type="dxa"/>
            <w:tcBorders>
              <w:top w:val="single" w:sz="4" w:space="0" w:color="auto"/>
              <w:left w:val="nil"/>
              <w:bottom w:val="single" w:sz="12" w:space="0" w:color="auto"/>
              <w:right w:val="nil"/>
            </w:tcBorders>
          </w:tcPr>
          <w:p w:rsidR="00DC5FBA" w:rsidRDefault="007B6FE6" w:rsidP="006C1CA0">
            <w:pPr>
              <w:spacing w:before="240" w:line="240" w:lineRule="exact"/>
            </w:pPr>
            <w:r>
              <w:t xml:space="preserve">Distr.: </w:t>
            </w:r>
            <w:r w:rsidR="00DC5FBA">
              <w:t>General</w:t>
            </w:r>
          </w:p>
          <w:p w:rsidR="00DC5FBA" w:rsidRDefault="00282C7B" w:rsidP="006C1CA0">
            <w:pPr>
              <w:spacing w:line="240" w:lineRule="exact"/>
            </w:pPr>
            <w:r>
              <w:t>7 September</w:t>
            </w:r>
            <w:r w:rsidR="00AB52ED">
              <w:t xml:space="preserve"> </w:t>
            </w:r>
            <w:r w:rsidR="002F315B">
              <w:t>201</w:t>
            </w:r>
            <w:r w:rsidR="00AB52ED">
              <w:t>8</w:t>
            </w:r>
          </w:p>
          <w:p w:rsidR="00223C0B" w:rsidRDefault="00223C0B" w:rsidP="006C1CA0">
            <w:pPr>
              <w:spacing w:line="240" w:lineRule="exact"/>
            </w:pPr>
          </w:p>
          <w:p w:rsidR="003107FA" w:rsidRPr="006500BA" w:rsidRDefault="00DC5FBA" w:rsidP="006C1CA0">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3972E0" w:rsidRDefault="009F0F06" w:rsidP="009F0F06">
      <w:pPr>
        <w:spacing w:before="120"/>
        <w:rPr>
          <w:b/>
        </w:rPr>
      </w:pPr>
      <w:r w:rsidRPr="006500BA">
        <w:rPr>
          <w:b/>
        </w:rPr>
        <w:t xml:space="preserve">Sub-Committee of Experts on the </w:t>
      </w:r>
      <w:r w:rsidR="00CD3225">
        <w:rPr>
          <w:b/>
        </w:rPr>
        <w:t>Transport of Dangerous Goods</w:t>
      </w:r>
    </w:p>
    <w:p w:rsidR="00062F47" w:rsidRDefault="00AB52ED" w:rsidP="009B4ED5">
      <w:pPr>
        <w:spacing w:before="120" w:after="120"/>
        <w:rPr>
          <w:b/>
        </w:rPr>
      </w:pPr>
      <w:r>
        <w:rPr>
          <w:b/>
        </w:rPr>
        <w:t>Fifty-</w:t>
      </w:r>
      <w:r w:rsidR="00293698">
        <w:rPr>
          <w:b/>
        </w:rPr>
        <w:t xml:space="preserve">fourth </w:t>
      </w:r>
      <w:r>
        <w:rPr>
          <w:b/>
        </w:rPr>
        <w:t>session</w:t>
      </w:r>
    </w:p>
    <w:p w:rsidR="00A57926" w:rsidRDefault="00062F47" w:rsidP="00A57926">
      <w:pPr>
        <w:rPr>
          <w:b/>
        </w:rPr>
      </w:pPr>
      <w:r>
        <w:t>Geneva</w:t>
      </w:r>
      <w:r w:rsidR="00931677">
        <w:t xml:space="preserve">, </w:t>
      </w:r>
      <w:r w:rsidR="00C52175">
        <w:t>26 November-</w:t>
      </w:r>
      <w:r w:rsidR="00347C44">
        <w:t>4 December 2018</w:t>
      </w:r>
      <w:r>
        <w:br/>
      </w:r>
      <w:r w:rsidR="00DC5FBA" w:rsidRPr="00E83E61">
        <w:t xml:space="preserve">Item </w:t>
      </w:r>
      <w:r w:rsidR="0037256A">
        <w:t>2 (f)</w:t>
      </w:r>
      <w:r w:rsidR="00086E05" w:rsidRPr="00E83E61">
        <w:t xml:space="preserve"> </w:t>
      </w:r>
      <w:r w:rsidR="00DC5FBA" w:rsidRPr="00E83E61">
        <w:t>of the provisional agenda</w:t>
      </w:r>
      <w:r w:rsidR="00086E05" w:rsidRPr="00E83E61">
        <w:br/>
      </w:r>
      <w:r w:rsidR="0037256A" w:rsidRPr="0037256A">
        <w:rPr>
          <w:b/>
          <w:bCs/>
        </w:rPr>
        <w:t xml:space="preserve">Recommendations made by the Sub-Committee on its fifty-first, </w:t>
      </w:r>
      <w:r w:rsidR="0037256A" w:rsidRPr="0037256A">
        <w:rPr>
          <w:b/>
          <w:bCs/>
        </w:rPr>
        <w:br/>
      </w:r>
      <w:r w:rsidR="0037256A" w:rsidRPr="0037256A">
        <w:rPr>
          <w:b/>
          <w:bCs/>
        </w:rPr>
        <w:t>fifty-second and fifty-third sessions and pending issues</w:t>
      </w:r>
      <w:r w:rsidR="0037256A" w:rsidRPr="0037256A">
        <w:rPr>
          <w:b/>
          <w:bCs/>
        </w:rPr>
        <w:t>:</w:t>
      </w:r>
      <w:r w:rsidR="0037256A" w:rsidRPr="0037256A">
        <w:rPr>
          <w:b/>
          <w:bCs/>
        </w:rPr>
        <w:br/>
        <w:t>m</w:t>
      </w:r>
      <w:r w:rsidR="0037256A" w:rsidRPr="0037256A">
        <w:rPr>
          <w:b/>
          <w:bCs/>
        </w:rPr>
        <w:t>iscellaneous pending issues</w:t>
      </w:r>
    </w:p>
    <w:p w:rsidR="006E465F" w:rsidRPr="00684349" w:rsidRDefault="004E51FB" w:rsidP="006E465F">
      <w:pPr>
        <w:pStyle w:val="HChG"/>
        <w:tabs>
          <w:tab w:val="clear" w:pos="851"/>
        </w:tabs>
        <w:ind w:firstLine="0"/>
        <w:rPr>
          <w:rFonts w:eastAsia="MS Mincho"/>
          <w:lang w:eastAsia="ja-JP"/>
        </w:rPr>
      </w:pPr>
      <w:r>
        <w:rPr>
          <w:rFonts w:eastAsia="MS Mincho"/>
          <w:lang w:eastAsia="ja-JP"/>
        </w:rPr>
        <w:t>Minimum w</w:t>
      </w:r>
      <w:r w:rsidR="006E465F" w:rsidRPr="00684349">
        <w:rPr>
          <w:rFonts w:eastAsia="MS Mincho"/>
          <w:lang w:eastAsia="ja-JP"/>
        </w:rPr>
        <w:t xml:space="preserve">all </w:t>
      </w:r>
      <w:r>
        <w:rPr>
          <w:rFonts w:eastAsia="MS Mincho"/>
          <w:lang w:eastAsia="ja-JP"/>
        </w:rPr>
        <w:t>t</w:t>
      </w:r>
      <w:r w:rsidR="0037256A">
        <w:rPr>
          <w:rFonts w:eastAsia="MS Mincho"/>
          <w:lang w:eastAsia="ja-JP"/>
        </w:rPr>
        <w:t>hickness for m</w:t>
      </w:r>
      <w:r w:rsidR="006E465F" w:rsidRPr="00684349">
        <w:rPr>
          <w:rFonts w:eastAsia="MS Mincho"/>
          <w:lang w:eastAsia="ja-JP"/>
        </w:rPr>
        <w:t>etal IBCs</w:t>
      </w:r>
    </w:p>
    <w:p w:rsidR="006E465F" w:rsidRPr="00684349" w:rsidRDefault="006E465F" w:rsidP="006E465F">
      <w:pPr>
        <w:pStyle w:val="H1G"/>
      </w:pPr>
      <w:r w:rsidRPr="00684349">
        <w:rPr>
          <w:rFonts w:eastAsia="MS Mincho"/>
          <w:lang w:eastAsia="ja-JP"/>
        </w:rPr>
        <w:tab/>
      </w:r>
      <w:r w:rsidRPr="00684349">
        <w:rPr>
          <w:rFonts w:eastAsia="MS Mincho"/>
          <w:lang w:eastAsia="ja-JP"/>
        </w:rPr>
        <w:tab/>
        <w:t xml:space="preserve">Transmitted by </w:t>
      </w:r>
      <w:r w:rsidR="004E51FB">
        <w:rPr>
          <w:rFonts w:eastAsia="MS Mincho"/>
          <w:lang w:eastAsia="ja-JP"/>
        </w:rPr>
        <w:t xml:space="preserve">the </w:t>
      </w:r>
      <w:proofErr w:type="gramStart"/>
      <w:r w:rsidRPr="00684349">
        <w:rPr>
          <w:rFonts w:eastAsia="MS Mincho"/>
          <w:lang w:eastAsia="ja-JP"/>
        </w:rPr>
        <w:t>Stainless Steel</w:t>
      </w:r>
      <w:proofErr w:type="gramEnd"/>
      <w:r w:rsidRPr="00684349">
        <w:rPr>
          <w:rFonts w:eastAsia="MS Mincho"/>
          <w:lang w:eastAsia="ja-JP"/>
        </w:rPr>
        <w:t xml:space="preserve"> Container Association (SSCA)</w:t>
      </w:r>
      <w:r w:rsidR="00282C7B">
        <w:rPr>
          <w:rStyle w:val="FootnoteReference"/>
          <w:rFonts w:eastAsia="MS Mincho"/>
          <w:lang w:eastAsia="ja-JP"/>
        </w:rPr>
        <w:footnoteReference w:customMarkFollows="1" w:id="2"/>
        <w:t>*</w:t>
      </w:r>
    </w:p>
    <w:p w:rsidR="006E465F" w:rsidRPr="00684349" w:rsidRDefault="006E465F" w:rsidP="006E465F">
      <w:pPr>
        <w:pStyle w:val="HChG"/>
        <w:rPr>
          <w:rFonts w:eastAsia="MS Mincho"/>
        </w:rPr>
      </w:pPr>
      <w:r w:rsidRPr="00684349">
        <w:rPr>
          <w:rFonts w:eastAsia="MS Mincho"/>
          <w:lang w:eastAsia="ja-JP"/>
        </w:rPr>
        <w:tab/>
      </w:r>
      <w:r w:rsidRPr="00684349">
        <w:rPr>
          <w:rFonts w:eastAsia="MS Mincho"/>
          <w:lang w:eastAsia="ja-JP"/>
        </w:rPr>
        <w:tab/>
        <w:t>Introduction</w:t>
      </w:r>
    </w:p>
    <w:p w:rsidR="00293698" w:rsidRDefault="00293698" w:rsidP="006030ED">
      <w:pPr>
        <w:pStyle w:val="SingleTxtG"/>
        <w:numPr>
          <w:ilvl w:val="0"/>
          <w:numId w:val="20"/>
        </w:numPr>
        <w:ind w:left="1134" w:firstLine="0"/>
      </w:pPr>
      <w:r>
        <w:t>SSCA alrea</w:t>
      </w:r>
      <w:r w:rsidR="0037256A">
        <w:t>dy introduced the issue of the minimum wall thickness for m</w:t>
      </w:r>
      <w:r>
        <w:t xml:space="preserve">etal-IBCs to </w:t>
      </w:r>
      <w:r w:rsidRPr="00156497">
        <w:rPr>
          <w:lang w:val="en-US"/>
        </w:rPr>
        <w:t>the Sub-Committee</w:t>
      </w:r>
      <w:r w:rsidRPr="00156497">
        <w:t xml:space="preserve"> </w:t>
      </w:r>
      <w:r w:rsidR="0037256A">
        <w:t>in</w:t>
      </w:r>
      <w:r w:rsidRPr="00156497">
        <w:t xml:space="preserve"> document ST/SG/AC.10/C.3/2013/57</w:t>
      </w:r>
      <w:r>
        <w:t xml:space="preserve"> </w:t>
      </w:r>
      <w:r w:rsidRPr="00156497">
        <w:t xml:space="preserve">at the forty-fourth session </w:t>
      </w:r>
      <w:r>
        <w:t xml:space="preserve">and </w:t>
      </w:r>
      <w:r w:rsidRPr="00156497">
        <w:t>ST/SG/AC.10/C.3/2018/34</w:t>
      </w:r>
      <w:r w:rsidRPr="00156497">
        <w:rPr>
          <w:b/>
          <w:bCs/>
        </w:rPr>
        <w:t xml:space="preserve"> </w:t>
      </w:r>
      <w:r w:rsidRPr="00156497">
        <w:t xml:space="preserve">at </w:t>
      </w:r>
      <w:r w:rsidRPr="00156497">
        <w:rPr>
          <w:lang w:val="en-US"/>
        </w:rPr>
        <w:t xml:space="preserve">the </w:t>
      </w:r>
      <w:r w:rsidRPr="00156497">
        <w:t>fifty-third session</w:t>
      </w:r>
      <w:r w:rsidR="0051325D">
        <w:t>.</w:t>
      </w:r>
    </w:p>
    <w:p w:rsidR="0051325D" w:rsidRDefault="00A6316B" w:rsidP="009C584B">
      <w:pPr>
        <w:pStyle w:val="SingleTxtG"/>
      </w:pPr>
      <w:r w:rsidRPr="00FE01EF">
        <w:t>2.</w:t>
      </w:r>
      <w:r w:rsidRPr="00FE01EF">
        <w:tab/>
      </w:r>
      <w:r w:rsidR="00D8199A">
        <w:t>T</w:t>
      </w:r>
      <w:r w:rsidR="009C584B" w:rsidRPr="00FE01EF">
        <w:t xml:space="preserve">he </w:t>
      </w:r>
      <w:r w:rsidR="0051325D" w:rsidRPr="00FE01EF">
        <w:t xml:space="preserve">topic was discussed in depth, also during several coffee breaks and informal document INF.60 </w:t>
      </w:r>
      <w:r w:rsidR="00282C7B">
        <w:t xml:space="preserve">(fifty-third session) </w:t>
      </w:r>
      <w:r w:rsidR="0051325D" w:rsidRPr="00FE01EF">
        <w:t>was produced to summarize the result of these discussions</w:t>
      </w:r>
      <w:r w:rsidR="0051325D">
        <w:t xml:space="preserve"> and to propose a compromise.</w:t>
      </w:r>
    </w:p>
    <w:p w:rsidR="00A43275" w:rsidRDefault="00B01D9C" w:rsidP="00B01D9C">
      <w:pPr>
        <w:pStyle w:val="SingleTxtG"/>
      </w:pPr>
      <w:r>
        <w:t>3.</w:t>
      </w:r>
      <w:r>
        <w:tab/>
      </w:r>
      <w:r w:rsidR="00C10493">
        <w:t>T</w:t>
      </w:r>
      <w:r>
        <w:t xml:space="preserve">he minutes of the </w:t>
      </w:r>
      <w:r w:rsidRPr="00156497">
        <w:t>fifty-third session</w:t>
      </w:r>
      <w:r>
        <w:t xml:space="preserve"> state, “Views were divided on the proposal …” and some experts requested “additional time to consult stakeholders at national level”. Also SSCA was asked “to submit the proposal in informal document INF.60 as an official document for the next session”. </w:t>
      </w:r>
      <w:proofErr w:type="gramStart"/>
      <w:r>
        <w:t>Therefore</w:t>
      </w:r>
      <w:proofErr w:type="gramEnd"/>
      <w:r>
        <w:t xml:space="preserve"> SSCA herewith </w:t>
      </w:r>
      <w:r w:rsidR="00C21703">
        <w:t>would like to introduce</w:t>
      </w:r>
      <w:r w:rsidR="0037256A">
        <w:t xml:space="preserve"> this </w:t>
      </w:r>
      <w:r>
        <w:t>document.</w:t>
      </w:r>
    </w:p>
    <w:p w:rsidR="000A0AE2" w:rsidRPr="006030ED" w:rsidRDefault="00C10493" w:rsidP="009C584B">
      <w:pPr>
        <w:pStyle w:val="SingleTxtG"/>
      </w:pPr>
      <w:r>
        <w:br w:type="column"/>
      </w:r>
      <w:r w:rsidR="00E05128">
        <w:lastRenderedPageBreak/>
        <w:t>4</w:t>
      </w:r>
      <w:r w:rsidR="00A6316B" w:rsidRPr="00FE01EF">
        <w:t>.</w:t>
      </w:r>
      <w:r w:rsidR="00A6316B" w:rsidRPr="00FE01EF">
        <w:tab/>
      </w:r>
      <w:proofErr w:type="gramStart"/>
      <w:r w:rsidR="000A0AE2" w:rsidRPr="006030ED">
        <w:rPr>
          <w:lang w:val="en-US"/>
        </w:rPr>
        <w:t>First</w:t>
      </w:r>
      <w:proofErr w:type="gramEnd"/>
      <w:r w:rsidR="000A0AE2" w:rsidRPr="006030ED">
        <w:rPr>
          <w:lang w:val="en-US"/>
        </w:rPr>
        <w:t xml:space="preserve"> we </w:t>
      </w:r>
      <w:r w:rsidR="00E176AE" w:rsidRPr="00FE01EF">
        <w:rPr>
          <w:lang w:val="en-US"/>
        </w:rPr>
        <w:t xml:space="preserve">would like to </w:t>
      </w:r>
      <w:r w:rsidR="000A0AE2" w:rsidRPr="006030ED">
        <w:rPr>
          <w:lang w:val="en-US"/>
        </w:rPr>
        <w:t>remind of</w:t>
      </w:r>
      <w:r w:rsidR="000A0AE2" w:rsidRPr="00FE01EF">
        <w:rPr>
          <w:lang w:val="en-US"/>
        </w:rPr>
        <w:t xml:space="preserve"> </w:t>
      </w:r>
      <w:r w:rsidR="00642067" w:rsidRPr="00FE01EF">
        <w:rPr>
          <w:lang w:val="en-US"/>
        </w:rPr>
        <w:t xml:space="preserve">the </w:t>
      </w:r>
      <w:r w:rsidR="00E176AE" w:rsidRPr="00FE01EF">
        <w:rPr>
          <w:lang w:val="en-US"/>
        </w:rPr>
        <w:t xml:space="preserve">main arguments regarding </w:t>
      </w:r>
      <w:r w:rsidR="000A0AE2" w:rsidRPr="006030ED">
        <w:t>our proposal to delete</w:t>
      </w:r>
      <w:r w:rsidR="000A0AE2" w:rsidRPr="00FE01EF">
        <w:t xml:space="preserve"> </w:t>
      </w:r>
      <w:r w:rsidR="00E176AE" w:rsidRPr="00FE01EF">
        <w:t>the minimum wall thick</w:t>
      </w:r>
      <w:r w:rsidR="0037256A">
        <w:t>ness requirement for metal IBCs:</w:t>
      </w:r>
    </w:p>
    <w:p w:rsidR="00A6316B" w:rsidRPr="00156497" w:rsidRDefault="0037256A" w:rsidP="0037256A">
      <w:pPr>
        <w:pStyle w:val="SingleTxtG"/>
        <w:ind w:left="1701"/>
      </w:pPr>
      <w:r>
        <w:tab/>
        <w:t>(a)</w:t>
      </w:r>
      <w:r>
        <w:tab/>
      </w:r>
      <w:r w:rsidR="00C10493">
        <w:t>(N</w:t>
      </w:r>
      <w:r w:rsidR="00B5642E">
        <w:t>ot only) Metal-</w:t>
      </w:r>
      <w:r w:rsidR="006E465F" w:rsidRPr="00156497">
        <w:t xml:space="preserve">IBCs </w:t>
      </w:r>
      <w:proofErr w:type="gramStart"/>
      <w:r w:rsidR="006E465F" w:rsidRPr="00156497">
        <w:t>have to</w:t>
      </w:r>
      <w:proofErr w:type="gramEnd"/>
      <w:r w:rsidR="006E465F" w:rsidRPr="00156497">
        <w:t xml:space="preserve"> pass the design type tests as d</w:t>
      </w:r>
      <w:r w:rsidR="00470E15" w:rsidRPr="00156497">
        <w:t>escribed in 6.5.6.4 (Bottom Lift test), 6.5.6.5</w:t>
      </w:r>
      <w:r w:rsidR="006E465F" w:rsidRPr="00156497">
        <w:t xml:space="preserve"> (Top Lift test), 6.5.6.6 (Stacking test), 6.5.6.7 (Leakproofness test), 6.5.6.8 (Hydraulic Pressure test), 6.5.6.9 (Drop test),</w:t>
      </w:r>
      <w:r>
        <w:t xml:space="preserve"> and 6.5.6.12 (Vibration test);</w:t>
      </w:r>
    </w:p>
    <w:p w:rsidR="00D201FD" w:rsidRDefault="0037256A" w:rsidP="0037256A">
      <w:pPr>
        <w:pStyle w:val="SingleTxtG"/>
        <w:ind w:left="1701"/>
      </w:pPr>
      <w:r>
        <w:tab/>
        <w:t>(b)</w:t>
      </w:r>
      <w:r>
        <w:tab/>
      </w:r>
      <w:r w:rsidR="00D201FD">
        <w:t>On behalf of SSCA a metal IBC (31A) was successfully tested at TÜV Rheinland in Halle. T</w:t>
      </w:r>
      <w:r w:rsidR="00D201FD" w:rsidRPr="007621CC">
        <w:t>he wall thickness of the t</w:t>
      </w:r>
      <w:r w:rsidR="00D201FD">
        <w:t xml:space="preserve">ested container is 0.97 mm </w:t>
      </w:r>
      <w:r w:rsidR="00D201FD" w:rsidRPr="007621CC">
        <w:t>(top), 0.98</w:t>
      </w:r>
      <w:r w:rsidR="00D201FD">
        <w:t> mm</w:t>
      </w:r>
      <w:r w:rsidR="00D201FD" w:rsidRPr="007621CC">
        <w:t xml:space="preserve"> (body) and 1.42</w:t>
      </w:r>
      <w:r w:rsidR="00D201FD">
        <w:t> mm</w:t>
      </w:r>
      <w:r w:rsidR="00D201FD" w:rsidRPr="007621CC">
        <w:t xml:space="preserve"> (bottom)</w:t>
      </w:r>
      <w:r w:rsidR="00D201FD">
        <w:t>, while</w:t>
      </w:r>
      <w:r w:rsidR="00D201FD" w:rsidRPr="007621CC">
        <w:t xml:space="preserve"> </w:t>
      </w:r>
      <w:r w:rsidR="00D201FD">
        <w:t>a</w:t>
      </w:r>
      <w:r w:rsidR="00D201FD" w:rsidRPr="007621CC">
        <w:t>ccording to 6.5.5.1.6 the wall thickness for metal IBC sho</w:t>
      </w:r>
      <w:r w:rsidR="00D201FD">
        <w:t>uld in no case be less than 1.5 </w:t>
      </w:r>
      <w:r w:rsidR="00D201FD" w:rsidRPr="007621CC">
        <w:t>mm</w:t>
      </w:r>
      <w:r w:rsidR="00D201FD">
        <w:t xml:space="preserve"> (t</w:t>
      </w:r>
      <w:r w:rsidR="00D201FD" w:rsidRPr="007621CC">
        <w:t>he test report</w:t>
      </w:r>
      <w:r w:rsidR="00D201FD">
        <w:t xml:space="preserve"> was included as an Annex in </w:t>
      </w:r>
      <w:r w:rsidR="00D201FD" w:rsidRPr="00156497">
        <w:t>document ST/SG/AC.10/C.3/2018/34</w:t>
      </w:r>
      <w:r>
        <w:t>);</w:t>
      </w:r>
    </w:p>
    <w:p w:rsidR="00A6316B" w:rsidRDefault="0037256A" w:rsidP="0037256A">
      <w:pPr>
        <w:pStyle w:val="SingleTxtG"/>
        <w:ind w:left="1701"/>
      </w:pPr>
      <w:r>
        <w:tab/>
        <w:t>(c)</w:t>
      </w:r>
      <w:r>
        <w:tab/>
      </w:r>
      <w:proofErr w:type="gramStart"/>
      <w:r w:rsidR="00B5642E" w:rsidRPr="00FE01EF">
        <w:t>Thus</w:t>
      </w:r>
      <w:proofErr w:type="gramEnd"/>
      <w:r w:rsidR="00B5642E" w:rsidRPr="00FE01EF">
        <w:t xml:space="preserve"> it </w:t>
      </w:r>
      <w:r w:rsidR="00D201FD">
        <w:t>was</w:t>
      </w:r>
      <w:r w:rsidR="00B5642E" w:rsidRPr="00FE01EF">
        <w:t xml:space="preserve"> demonstrated that such IBC types meet the necessary performance requirements and </w:t>
      </w:r>
      <w:r w:rsidR="00A6316B" w:rsidRPr="00156497">
        <w:t>are safe for th</w:t>
      </w:r>
      <w:r>
        <w:t>e transport of dangerous goods;</w:t>
      </w:r>
    </w:p>
    <w:p w:rsidR="00A6316B" w:rsidRDefault="0037256A" w:rsidP="0037256A">
      <w:pPr>
        <w:pStyle w:val="SingleTxtG"/>
        <w:ind w:left="1701"/>
      </w:pPr>
      <w:r>
        <w:tab/>
        <w:t>(d)</w:t>
      </w:r>
      <w:r>
        <w:tab/>
      </w:r>
      <w:r w:rsidR="00B1096F">
        <w:t>O</w:t>
      </w:r>
      <w:r w:rsidR="00A6316B">
        <w:t>nly for m</w:t>
      </w:r>
      <w:r w:rsidR="00A6316B" w:rsidRPr="006E465F">
        <w:t xml:space="preserve">etal IBCs there </w:t>
      </w:r>
      <w:r w:rsidR="00A92067">
        <w:t>are</w:t>
      </w:r>
      <w:r w:rsidR="00A6316B" w:rsidRPr="006E465F">
        <w:t xml:space="preserve"> </w:t>
      </w:r>
      <w:r w:rsidR="00A6316B">
        <w:t>requirement</w:t>
      </w:r>
      <w:r w:rsidR="00A92067">
        <w:t>s, which are not related to the performance but to the construction</w:t>
      </w:r>
      <w:r w:rsidR="00A6316B" w:rsidRPr="006E465F">
        <w:t xml:space="preserve"> </w:t>
      </w:r>
      <w:r w:rsidR="00B1096F">
        <w:t>(</w:t>
      </w:r>
      <w:r w:rsidR="00A92067" w:rsidRPr="006E465F">
        <w:t xml:space="preserve">“Minimum Wall Thickness” </w:t>
      </w:r>
      <w:r w:rsidR="00A6316B" w:rsidRPr="006E465F">
        <w:t>6.5.5.1.6</w:t>
      </w:r>
      <w:r w:rsidR="00B1096F">
        <w:t xml:space="preserve">, see also </w:t>
      </w:r>
      <w:r w:rsidR="00A6316B" w:rsidRPr="006E465F">
        <w:t>table in 6.5.2.2.1</w:t>
      </w:r>
      <w:r w:rsidR="00A92067">
        <w:t>, possibly a leftover from regulati</w:t>
      </w:r>
      <w:r w:rsidR="00F435E0">
        <w:t>o</w:t>
      </w:r>
      <w:r w:rsidR="00A92067">
        <w:t xml:space="preserve">ns for </w:t>
      </w:r>
      <w:r w:rsidR="00A92067" w:rsidRPr="006E465F">
        <w:t>cubical tank containers</w:t>
      </w:r>
      <w:r>
        <w:t xml:space="preserve">, from which the metal </w:t>
      </w:r>
      <w:r w:rsidR="00A92067">
        <w:t>IBC were once derived</w:t>
      </w:r>
      <w:r>
        <w:t>);</w:t>
      </w:r>
    </w:p>
    <w:p w:rsidR="003940C7" w:rsidRDefault="0037256A" w:rsidP="0037256A">
      <w:pPr>
        <w:pStyle w:val="SingleTxtG"/>
        <w:ind w:left="1701"/>
      </w:pPr>
      <w:r>
        <w:tab/>
        <w:t>(e)</w:t>
      </w:r>
      <w:r>
        <w:tab/>
      </w:r>
      <w:r w:rsidR="00E75CE7">
        <w:t xml:space="preserve">SSCA is of the opinion that such requirements, </w:t>
      </w:r>
      <w:r w:rsidR="00262A9C">
        <w:t xml:space="preserve">are </w:t>
      </w:r>
      <w:r w:rsidR="00F435E0">
        <w:t xml:space="preserve">not only </w:t>
      </w:r>
      <w:r w:rsidR="00262A9C">
        <w:t>restraining</w:t>
      </w:r>
      <w:r w:rsidR="00E75CE7">
        <w:t xml:space="preserve"> innovations </w:t>
      </w:r>
      <w:r w:rsidR="00F435E0">
        <w:t>but</w:t>
      </w:r>
      <w:r w:rsidR="00E75CE7">
        <w:t xml:space="preserve"> also are not in line with the “</w:t>
      </w:r>
      <w:r w:rsidR="00262A9C" w:rsidRPr="00262A9C">
        <w:t>European Directive 94/62/EC on packaging and packaging waste</w:t>
      </w:r>
      <w:r w:rsidR="00262A9C">
        <w:t xml:space="preserve">” </w:t>
      </w:r>
      <w:r w:rsidR="007C744E">
        <w:t>(</w:t>
      </w:r>
      <w:r w:rsidR="00262A9C">
        <w:t>and similar rules and regulations in other parts of the world</w:t>
      </w:r>
      <w:r w:rsidR="007C744E">
        <w:t>), where in the so called “Essential requirements” it is stated that weight and volume of a packaging should be limited to a minimum</w:t>
      </w:r>
      <w:r w:rsidR="008A0644">
        <w:t>.</w:t>
      </w:r>
    </w:p>
    <w:p w:rsidR="008E3D84" w:rsidRPr="00FE01EF" w:rsidRDefault="00E9059B" w:rsidP="00C10493">
      <w:pPr>
        <w:pStyle w:val="SingleTxtG"/>
      </w:pPr>
      <w:r>
        <w:t>5.</w:t>
      </w:r>
      <w:r>
        <w:tab/>
        <w:t>In former discussions the aspect of corrosion was discussed as a</w:t>
      </w:r>
      <w:r w:rsidR="004D21A2">
        <w:t xml:space="preserve"> possible</w:t>
      </w:r>
      <w:r>
        <w:t xml:space="preserve"> argument to justify </w:t>
      </w:r>
      <w:r w:rsidR="004D21A2">
        <w:t xml:space="preserve">keeping </w:t>
      </w:r>
      <w:r>
        <w:t xml:space="preserve">the minimum wall thickness requirements for metal IBC. SSCA would like to </w:t>
      </w:r>
      <w:r w:rsidR="005355DB">
        <w:t xml:space="preserve">remind of our earlier </w:t>
      </w:r>
      <w:r>
        <w:t>comment</w:t>
      </w:r>
      <w:r w:rsidR="005355DB">
        <w:t>s</w:t>
      </w:r>
      <w:r>
        <w:t xml:space="preserve"> </w:t>
      </w:r>
      <w:r w:rsidR="005355DB">
        <w:t xml:space="preserve">(see </w:t>
      </w:r>
      <w:r w:rsidR="005355DB" w:rsidRPr="005355DB">
        <w:t>ST/SG/AC.10/C.3/2018/34</w:t>
      </w:r>
      <w:r w:rsidR="005355DB">
        <w:t>)</w:t>
      </w:r>
      <w:r>
        <w:t xml:space="preserve">: </w:t>
      </w:r>
      <w:r w:rsidRPr="00FE01EF">
        <w:t xml:space="preserve">The design, </w:t>
      </w:r>
      <w:r>
        <w:t xml:space="preserve">the </w:t>
      </w:r>
      <w:r w:rsidRPr="00FE01EF">
        <w:t xml:space="preserve">choice of materials and </w:t>
      </w:r>
      <w:r>
        <w:t xml:space="preserve">the </w:t>
      </w:r>
      <w:r w:rsidRPr="00FE01EF">
        <w:t xml:space="preserve">construction are selected </w:t>
      </w:r>
      <w:r w:rsidR="008E3D84">
        <w:t xml:space="preserve">in order </w:t>
      </w:r>
      <w:r w:rsidRPr="00FE01EF">
        <w:t xml:space="preserve">to </w:t>
      </w:r>
      <w:r w:rsidR="0053137D">
        <w:t>avoid</w:t>
      </w:r>
      <w:r w:rsidR="008E3D84">
        <w:t xml:space="preserve"> </w:t>
      </w:r>
      <w:r w:rsidRPr="006030ED">
        <w:t>corrosion</w:t>
      </w:r>
      <w:r w:rsidRPr="00FE01EF">
        <w:t>.</w:t>
      </w:r>
    </w:p>
    <w:p w:rsidR="00E9059B" w:rsidRDefault="00C52175" w:rsidP="00C10493">
      <w:pPr>
        <w:pStyle w:val="SingleTxtG"/>
      </w:pPr>
      <w:r>
        <w:t>6.</w:t>
      </w:r>
      <w:r>
        <w:tab/>
      </w:r>
      <w:r w:rsidR="00C10493">
        <w:t xml:space="preserve">In </w:t>
      </w:r>
      <w:proofErr w:type="gramStart"/>
      <w:r w:rsidR="00C10493">
        <w:t>addition</w:t>
      </w:r>
      <w:proofErr w:type="gramEnd"/>
      <w:r w:rsidR="0040525B">
        <w:t xml:space="preserve"> we would like to </w:t>
      </w:r>
      <w:r w:rsidR="0068184D">
        <w:t>emphasize</w:t>
      </w:r>
      <w:r w:rsidR="00C10493">
        <w:t xml:space="preserve">: </w:t>
      </w:r>
      <w:r w:rsidR="00E9059B">
        <w:t xml:space="preserve">(Metal) IBCs are subject to a </w:t>
      </w:r>
      <w:r w:rsidR="00E9059B" w:rsidRPr="006030ED">
        <w:t>periodic inspection</w:t>
      </w:r>
      <w:r w:rsidR="00E9059B">
        <w:t xml:space="preserve">, </w:t>
      </w:r>
      <w:r w:rsidR="00E00137">
        <w:t>where any signs of corrosion would be detected.</w:t>
      </w:r>
      <w:r w:rsidR="008E3D84">
        <w:t xml:space="preserve"> </w:t>
      </w:r>
      <w:proofErr w:type="gramStart"/>
      <w:r w:rsidR="000C418D">
        <w:t>Also</w:t>
      </w:r>
      <w:proofErr w:type="gramEnd"/>
      <w:r w:rsidR="000C418D">
        <w:t xml:space="preserve"> during or before any filling process such signs of corrosion would be discovered</w:t>
      </w:r>
      <w:r w:rsidR="00712457">
        <w:t xml:space="preserve">. </w:t>
      </w:r>
    </w:p>
    <w:p w:rsidR="00A43275" w:rsidRDefault="00C52175" w:rsidP="00FE01EF">
      <w:pPr>
        <w:pStyle w:val="SingleTxtG"/>
      </w:pPr>
      <w:r>
        <w:t>7</w:t>
      </w:r>
      <w:r w:rsidR="00DF1F9A">
        <w:t>.</w:t>
      </w:r>
      <w:r w:rsidR="00DF1F9A">
        <w:tab/>
      </w:r>
      <w:r w:rsidR="00A43275">
        <w:t xml:space="preserve">As a </w:t>
      </w:r>
      <w:proofErr w:type="gramStart"/>
      <w:r w:rsidR="00A43275">
        <w:t>result</w:t>
      </w:r>
      <w:proofErr w:type="gramEnd"/>
      <w:r w:rsidR="00A43275">
        <w:t xml:space="preserve"> from the discussions at the </w:t>
      </w:r>
      <w:r w:rsidR="00A43275" w:rsidRPr="00156497">
        <w:t>fifty-third session</w:t>
      </w:r>
      <w:r w:rsidR="00A43275">
        <w:t xml:space="preserve">, it was proposed that the </w:t>
      </w:r>
      <w:r w:rsidR="00A43275" w:rsidRPr="006E465F">
        <w:t xml:space="preserve">requirement </w:t>
      </w:r>
      <w:r w:rsidR="00A43275">
        <w:t xml:space="preserve">of a </w:t>
      </w:r>
      <w:r w:rsidR="0037256A">
        <w:t>“Minimum wall t</w:t>
      </w:r>
      <w:r w:rsidR="00A43275" w:rsidRPr="006E465F">
        <w:t>hickness”</w:t>
      </w:r>
      <w:r w:rsidR="00A43275">
        <w:t xml:space="preserve"> should be kept but only for those metal IBC with a </w:t>
      </w:r>
      <w:r w:rsidR="00A43275" w:rsidRPr="006030ED">
        <w:rPr>
          <w:lang w:val="en-US"/>
        </w:rPr>
        <w:t xml:space="preserve">capacity of more than 1.500 </w:t>
      </w:r>
      <w:r w:rsidR="0037256A">
        <w:rPr>
          <w:lang w:val="en-US"/>
        </w:rPr>
        <w:t>l</w:t>
      </w:r>
      <w:r w:rsidR="00A33C32">
        <w:rPr>
          <w:lang w:val="en-US"/>
        </w:rPr>
        <w:t>, while the metal IBC with a lesser volume would be liberated from this requirement</w:t>
      </w:r>
      <w:r w:rsidR="00A43275">
        <w:rPr>
          <w:lang w:val="en-US"/>
        </w:rPr>
        <w:t>.</w:t>
      </w:r>
    </w:p>
    <w:p w:rsidR="00A33C32" w:rsidRDefault="00C52175" w:rsidP="00FE01EF">
      <w:pPr>
        <w:pStyle w:val="SingleTxtG"/>
      </w:pPr>
      <w:r>
        <w:t>8</w:t>
      </w:r>
      <w:r w:rsidR="006E465F" w:rsidRPr="00354745">
        <w:t>.</w:t>
      </w:r>
      <w:r w:rsidR="006E465F" w:rsidRPr="00354745">
        <w:tab/>
      </w:r>
      <w:r w:rsidR="004E51FB" w:rsidRPr="00354745">
        <w:t>SSCA</w:t>
      </w:r>
      <w:r w:rsidR="006E465F" w:rsidRPr="00354745">
        <w:t xml:space="preserve"> would </w:t>
      </w:r>
      <w:r w:rsidR="00E83E61" w:rsidRPr="00354745">
        <w:t xml:space="preserve">appreciate if this proposal </w:t>
      </w:r>
      <w:r w:rsidR="006E465F" w:rsidRPr="00354745">
        <w:t xml:space="preserve">would be considered by the Sub-Committee and </w:t>
      </w:r>
      <w:r w:rsidR="004E51FB" w:rsidRPr="00354745">
        <w:t xml:space="preserve">if </w:t>
      </w:r>
      <w:r w:rsidR="00E83E61" w:rsidRPr="00354745">
        <w:t xml:space="preserve">we </w:t>
      </w:r>
      <w:r w:rsidR="004E51FB" w:rsidRPr="00354745">
        <w:t>were given</w:t>
      </w:r>
      <w:r w:rsidR="006E465F" w:rsidRPr="00354745">
        <w:t xml:space="preserve"> the opportunity to introduce </w:t>
      </w:r>
      <w:r w:rsidR="00E83E61" w:rsidRPr="00354745">
        <w:t xml:space="preserve">the </w:t>
      </w:r>
      <w:r w:rsidR="00031A96">
        <w:t>document</w:t>
      </w:r>
      <w:r w:rsidR="006E465F" w:rsidRPr="00354745">
        <w:t>.</w:t>
      </w:r>
    </w:p>
    <w:p w:rsidR="00C10493" w:rsidRDefault="00C10493" w:rsidP="006E465F">
      <w:pPr>
        <w:pStyle w:val="SingleTxtG"/>
      </w:pPr>
    </w:p>
    <w:p w:rsidR="006E465F" w:rsidRDefault="006E465F" w:rsidP="006E465F">
      <w:pPr>
        <w:pStyle w:val="SingleTxtG"/>
      </w:pPr>
    </w:p>
    <w:p w:rsidR="00DF1F9A" w:rsidRPr="00756467" w:rsidRDefault="00C10493" w:rsidP="00DF1F9A">
      <w:pPr>
        <w:pStyle w:val="HChG"/>
        <w:rPr>
          <w:lang w:eastAsia="de-DE"/>
        </w:rPr>
      </w:pPr>
      <w:r>
        <w:rPr>
          <w:lang w:eastAsia="de-DE"/>
        </w:rPr>
        <w:br w:type="column"/>
      </w:r>
      <w:r w:rsidR="00DF1F9A">
        <w:rPr>
          <w:lang w:eastAsia="de-DE"/>
        </w:rPr>
        <w:lastRenderedPageBreak/>
        <w:tab/>
      </w:r>
      <w:r w:rsidR="00DF1F9A">
        <w:rPr>
          <w:lang w:eastAsia="de-DE"/>
        </w:rPr>
        <w:tab/>
      </w:r>
      <w:r w:rsidR="00DF1F9A" w:rsidRPr="00EB5D6E">
        <w:t>Proposal</w:t>
      </w:r>
      <w:r w:rsidR="00DF1F9A">
        <w:rPr>
          <w:lang w:eastAsia="de-DE"/>
        </w:rPr>
        <w:t>(s)</w:t>
      </w:r>
    </w:p>
    <w:p w:rsidR="004D5C8D" w:rsidRPr="00B46273" w:rsidRDefault="00C52175" w:rsidP="006030ED">
      <w:pPr>
        <w:pStyle w:val="SingleTxtG"/>
        <w:spacing w:line="240" w:lineRule="auto"/>
      </w:pPr>
      <w:r>
        <w:t>9</w:t>
      </w:r>
      <w:r w:rsidR="004D5C8D" w:rsidRPr="00B46273">
        <w:t>.</w:t>
      </w:r>
      <w:r w:rsidR="004D5C8D" w:rsidRPr="00B46273">
        <w:tab/>
      </w:r>
      <w:r w:rsidR="00031A96">
        <w:t>In the table in 6.5.2.2.1, delete “minimum” in the fourth row under “Additional marks”</w:t>
      </w:r>
      <w:bookmarkStart w:id="0" w:name="_GoBack"/>
      <w:bookmarkEnd w:id="0"/>
      <w:r w:rsidR="004D5C8D" w:rsidRPr="00B46273">
        <w:t xml:space="preserve"> as follows:</w:t>
      </w:r>
    </w:p>
    <w:p w:rsidR="00366A4C" w:rsidRPr="00B46273" w:rsidRDefault="004D5C8D" w:rsidP="004D5C8D">
      <w:pPr>
        <w:pStyle w:val="SingleTxtG"/>
        <w:ind w:firstLine="567"/>
      </w:pPr>
      <w:r w:rsidRPr="00B4627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6"/>
        <w:gridCol w:w="851"/>
        <w:gridCol w:w="992"/>
        <w:gridCol w:w="1276"/>
        <w:gridCol w:w="1134"/>
        <w:gridCol w:w="992"/>
      </w:tblGrid>
      <w:tr w:rsidR="00366A4C" w:rsidRPr="00D03C38" w:rsidTr="00C10493">
        <w:tc>
          <w:tcPr>
            <w:tcW w:w="4116" w:type="dxa"/>
            <w:vMerge w:val="restart"/>
            <w:shd w:val="clear" w:color="auto" w:fill="auto"/>
            <w:vAlign w:val="center"/>
          </w:tcPr>
          <w:p w:rsidR="00366A4C" w:rsidRPr="00B00778" w:rsidRDefault="00366A4C" w:rsidP="003C3981">
            <w:pPr>
              <w:autoSpaceDE w:val="0"/>
              <w:autoSpaceDN w:val="0"/>
              <w:adjustRightInd w:val="0"/>
              <w:jc w:val="center"/>
              <w:rPr>
                <w:noProof/>
              </w:rPr>
            </w:pPr>
            <w:r w:rsidRPr="003C3981">
              <w:rPr>
                <w:b/>
                <w:bCs/>
                <w:noProof/>
              </w:rPr>
              <w:t>Additional marks</w:t>
            </w:r>
          </w:p>
        </w:tc>
        <w:tc>
          <w:tcPr>
            <w:tcW w:w="5245" w:type="dxa"/>
            <w:gridSpan w:val="5"/>
            <w:shd w:val="clear" w:color="auto" w:fill="auto"/>
            <w:vAlign w:val="center"/>
          </w:tcPr>
          <w:p w:rsidR="00366A4C" w:rsidRPr="00B00778" w:rsidRDefault="00366A4C" w:rsidP="003C3981">
            <w:pPr>
              <w:autoSpaceDE w:val="0"/>
              <w:autoSpaceDN w:val="0"/>
              <w:adjustRightInd w:val="0"/>
              <w:jc w:val="center"/>
              <w:rPr>
                <w:noProof/>
              </w:rPr>
            </w:pPr>
            <w:r w:rsidRPr="003C3981">
              <w:rPr>
                <w:b/>
                <w:bCs/>
                <w:noProof/>
              </w:rPr>
              <w:t>Category of IBC</w:t>
            </w:r>
          </w:p>
        </w:tc>
      </w:tr>
      <w:tr w:rsidR="00366A4C" w:rsidRPr="00D03C38" w:rsidTr="00C10493">
        <w:tc>
          <w:tcPr>
            <w:tcW w:w="4116" w:type="dxa"/>
            <w:vMerge/>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3C3981">
              <w:rPr>
                <w:b/>
                <w:bCs/>
                <w:noProof/>
              </w:rPr>
              <w:t>Metal</w:t>
            </w:r>
          </w:p>
        </w:tc>
        <w:tc>
          <w:tcPr>
            <w:tcW w:w="992" w:type="dxa"/>
            <w:shd w:val="clear" w:color="auto" w:fill="auto"/>
            <w:vAlign w:val="center"/>
          </w:tcPr>
          <w:p w:rsidR="00366A4C" w:rsidRPr="003C3981" w:rsidRDefault="00366A4C" w:rsidP="003C3981">
            <w:pPr>
              <w:autoSpaceDE w:val="0"/>
              <w:autoSpaceDN w:val="0"/>
              <w:adjustRightInd w:val="0"/>
              <w:spacing w:line="240" w:lineRule="auto"/>
              <w:jc w:val="center"/>
              <w:rPr>
                <w:b/>
                <w:bCs/>
                <w:noProof/>
              </w:rPr>
            </w:pPr>
            <w:r w:rsidRPr="003C3981">
              <w:rPr>
                <w:b/>
                <w:bCs/>
                <w:noProof/>
              </w:rPr>
              <w:t>Rigid</w:t>
            </w:r>
          </w:p>
          <w:p w:rsidR="00366A4C" w:rsidRPr="00B00778" w:rsidRDefault="00366A4C" w:rsidP="003C3981">
            <w:pPr>
              <w:autoSpaceDE w:val="0"/>
              <w:autoSpaceDN w:val="0"/>
              <w:adjustRightInd w:val="0"/>
              <w:jc w:val="center"/>
              <w:rPr>
                <w:noProof/>
              </w:rPr>
            </w:pPr>
            <w:r w:rsidRPr="003C3981">
              <w:rPr>
                <w:b/>
                <w:bCs/>
                <w:noProof/>
              </w:rPr>
              <w:t>Plastics</w:t>
            </w: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3C3981">
              <w:rPr>
                <w:b/>
                <w:bCs/>
                <w:noProof/>
              </w:rPr>
              <w:t>Composite</w:t>
            </w: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3C3981">
              <w:rPr>
                <w:b/>
                <w:bCs/>
                <w:noProof/>
              </w:rPr>
              <w:t>Fibreboard</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3C3981">
              <w:rPr>
                <w:b/>
                <w:bCs/>
                <w:noProof/>
              </w:rPr>
              <w:t>Wooden</w:t>
            </w:r>
          </w:p>
        </w:tc>
      </w:tr>
      <w:tr w:rsidR="00366A4C" w:rsidRPr="00D03C38" w:rsidTr="00C10493">
        <w:tc>
          <w:tcPr>
            <w:tcW w:w="4116" w:type="dxa"/>
            <w:shd w:val="clear" w:color="auto" w:fill="auto"/>
          </w:tcPr>
          <w:p w:rsidR="00366A4C" w:rsidRPr="003C3981" w:rsidRDefault="00366A4C" w:rsidP="00C10493">
            <w:pPr>
              <w:autoSpaceDE w:val="0"/>
              <w:autoSpaceDN w:val="0"/>
              <w:adjustRightInd w:val="0"/>
              <w:spacing w:line="240" w:lineRule="auto"/>
              <w:rPr>
                <w:noProof/>
                <w:sz w:val="22"/>
              </w:rPr>
            </w:pPr>
            <w:r w:rsidRPr="00B00778">
              <w:rPr>
                <w:noProof/>
              </w:rPr>
              <w:t>Capacity in litres</w:t>
            </w:r>
            <w:r w:rsidRPr="00004055">
              <w:rPr>
                <w:b/>
                <w:bCs/>
                <w:noProof/>
                <w:szCs w:val="14"/>
                <w:vertAlign w:val="superscript"/>
              </w:rPr>
              <w:t>a</w:t>
            </w:r>
            <w:r w:rsidRPr="003C3981">
              <w:rPr>
                <w:b/>
                <w:bCs/>
                <w:noProof/>
                <w:sz w:val="12"/>
                <w:szCs w:val="14"/>
              </w:rPr>
              <w:t xml:space="preserve"> </w:t>
            </w:r>
            <w:r w:rsidRPr="00B00778">
              <w:rPr>
                <w:noProof/>
              </w:rPr>
              <w:t xml:space="preserve">at 20 °C   </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r>
      <w:tr w:rsidR="00366A4C" w:rsidRPr="00D03C38" w:rsidTr="00C10493">
        <w:tc>
          <w:tcPr>
            <w:tcW w:w="4116" w:type="dxa"/>
            <w:shd w:val="clear" w:color="auto" w:fill="auto"/>
          </w:tcPr>
          <w:p w:rsidR="00366A4C" w:rsidRPr="003C3981" w:rsidRDefault="00366A4C" w:rsidP="00C10493">
            <w:pPr>
              <w:autoSpaceDE w:val="0"/>
              <w:autoSpaceDN w:val="0"/>
              <w:adjustRightInd w:val="0"/>
              <w:spacing w:line="240" w:lineRule="auto"/>
              <w:rPr>
                <w:noProof/>
                <w:sz w:val="22"/>
              </w:rPr>
            </w:pPr>
            <w:r w:rsidRPr="00B00778">
              <w:rPr>
                <w:noProof/>
              </w:rPr>
              <w:t>Tare mass in kg</w:t>
            </w:r>
            <w:r w:rsidRPr="00004055">
              <w:rPr>
                <w:b/>
                <w:bCs/>
                <w:noProof/>
                <w:szCs w:val="14"/>
                <w:vertAlign w:val="superscript"/>
              </w:rPr>
              <w:t>a</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r>
      <w:tr w:rsidR="00366A4C" w:rsidRPr="00D03C38" w:rsidTr="00C10493">
        <w:tc>
          <w:tcPr>
            <w:tcW w:w="4116" w:type="dxa"/>
            <w:shd w:val="clear" w:color="auto" w:fill="auto"/>
          </w:tcPr>
          <w:p w:rsidR="00366A4C" w:rsidRPr="003C3981" w:rsidRDefault="00366A4C" w:rsidP="00C10493">
            <w:pPr>
              <w:autoSpaceDE w:val="0"/>
              <w:autoSpaceDN w:val="0"/>
              <w:adjustRightInd w:val="0"/>
              <w:spacing w:line="240" w:lineRule="auto"/>
              <w:rPr>
                <w:noProof/>
                <w:sz w:val="22"/>
              </w:rPr>
            </w:pPr>
            <w:r w:rsidRPr="00B00778">
              <w:rPr>
                <w:noProof/>
              </w:rPr>
              <w:t>Test (gauge) pressure, in kPa or bar</w:t>
            </w:r>
            <w:r w:rsidRPr="00004055">
              <w:rPr>
                <w:b/>
                <w:bCs/>
                <w:noProof/>
                <w:szCs w:val="14"/>
                <w:vertAlign w:val="superscript"/>
              </w:rPr>
              <w:t>a</w:t>
            </w:r>
            <w:r w:rsidRPr="00B00778">
              <w:rPr>
                <w:noProof/>
              </w:rPr>
              <w:t>, if applicable</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r>
      <w:tr w:rsidR="00366A4C" w:rsidRPr="00D03C38" w:rsidTr="00C10493">
        <w:tc>
          <w:tcPr>
            <w:tcW w:w="4116" w:type="dxa"/>
            <w:shd w:val="clear" w:color="auto" w:fill="auto"/>
          </w:tcPr>
          <w:p w:rsidR="00366A4C" w:rsidRPr="003C3981" w:rsidRDefault="00366A4C" w:rsidP="003C3981">
            <w:pPr>
              <w:autoSpaceDE w:val="0"/>
              <w:autoSpaceDN w:val="0"/>
              <w:adjustRightInd w:val="0"/>
              <w:spacing w:line="240" w:lineRule="auto"/>
              <w:rPr>
                <w:noProof/>
                <w:sz w:val="22"/>
              </w:rPr>
            </w:pPr>
            <w:r w:rsidRPr="00B00778">
              <w:rPr>
                <w:noProof/>
              </w:rPr>
              <w:t>Maximum filling/discharge pressure in kPa or bar</w:t>
            </w:r>
            <w:r w:rsidRPr="00004055">
              <w:rPr>
                <w:b/>
                <w:bCs/>
                <w:noProof/>
                <w:szCs w:val="14"/>
                <w:vertAlign w:val="superscript"/>
              </w:rPr>
              <w:t>a</w:t>
            </w:r>
            <w:r w:rsidRPr="00B00778">
              <w:rPr>
                <w:noProof/>
              </w:rPr>
              <w:t>, if applicable</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r>
      <w:tr w:rsidR="00366A4C" w:rsidRPr="00D03C38" w:rsidTr="00C10493">
        <w:tc>
          <w:tcPr>
            <w:tcW w:w="4116" w:type="dxa"/>
            <w:shd w:val="clear" w:color="auto" w:fill="auto"/>
          </w:tcPr>
          <w:p w:rsidR="00366A4C" w:rsidRPr="003C3981" w:rsidRDefault="00366A4C" w:rsidP="003C3981">
            <w:pPr>
              <w:autoSpaceDE w:val="0"/>
              <w:autoSpaceDN w:val="0"/>
              <w:adjustRightInd w:val="0"/>
              <w:spacing w:line="240" w:lineRule="auto"/>
              <w:rPr>
                <w:noProof/>
                <w:sz w:val="22"/>
              </w:rPr>
            </w:pPr>
            <w:r w:rsidRPr="00B00778">
              <w:rPr>
                <w:noProof/>
              </w:rPr>
              <w:t xml:space="preserve">Body material and its </w:t>
            </w:r>
            <w:r w:rsidRPr="003C3981">
              <w:rPr>
                <w:strike/>
                <w:noProof/>
              </w:rPr>
              <w:t>minimum</w:t>
            </w:r>
            <w:r w:rsidRPr="00B00778">
              <w:rPr>
                <w:noProof/>
              </w:rPr>
              <w:t xml:space="preserve"> thickness in mm</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r>
      <w:tr w:rsidR="00366A4C" w:rsidRPr="00D03C38" w:rsidTr="00C10493">
        <w:tc>
          <w:tcPr>
            <w:tcW w:w="4116" w:type="dxa"/>
            <w:shd w:val="clear" w:color="auto" w:fill="auto"/>
          </w:tcPr>
          <w:p w:rsidR="00366A4C" w:rsidRPr="003C3981" w:rsidRDefault="00366A4C" w:rsidP="003C3981">
            <w:pPr>
              <w:autoSpaceDE w:val="0"/>
              <w:autoSpaceDN w:val="0"/>
              <w:adjustRightInd w:val="0"/>
              <w:spacing w:line="240" w:lineRule="auto"/>
              <w:rPr>
                <w:noProof/>
                <w:sz w:val="22"/>
              </w:rPr>
            </w:pPr>
            <w:r w:rsidRPr="00B00778">
              <w:rPr>
                <w:noProof/>
              </w:rPr>
              <w:t>Date of last leakproofness test, if applicable (month and year)</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r>
      <w:tr w:rsidR="00366A4C" w:rsidRPr="00D03C38" w:rsidTr="00C10493">
        <w:tc>
          <w:tcPr>
            <w:tcW w:w="4116" w:type="dxa"/>
            <w:shd w:val="clear" w:color="auto" w:fill="auto"/>
          </w:tcPr>
          <w:p w:rsidR="00366A4C" w:rsidRPr="003C3981" w:rsidRDefault="00366A4C" w:rsidP="003C3981">
            <w:pPr>
              <w:autoSpaceDE w:val="0"/>
              <w:autoSpaceDN w:val="0"/>
              <w:adjustRightInd w:val="0"/>
              <w:spacing w:line="240" w:lineRule="auto"/>
              <w:rPr>
                <w:noProof/>
                <w:sz w:val="22"/>
              </w:rPr>
            </w:pPr>
            <w:r w:rsidRPr="00B00778">
              <w:rPr>
                <w:noProof/>
              </w:rPr>
              <w:t>Date of last inspection (month a</w:t>
            </w:r>
            <w:r w:rsidR="00C10493">
              <w:rPr>
                <w:noProof/>
              </w:rPr>
              <w:t>nd year)</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r>
      <w:tr w:rsidR="00366A4C" w:rsidRPr="00D03C38" w:rsidTr="00C10493">
        <w:tc>
          <w:tcPr>
            <w:tcW w:w="4116" w:type="dxa"/>
            <w:shd w:val="clear" w:color="auto" w:fill="auto"/>
          </w:tcPr>
          <w:p w:rsidR="00366A4C" w:rsidRPr="003C3981" w:rsidRDefault="00366A4C" w:rsidP="003C3981">
            <w:pPr>
              <w:autoSpaceDE w:val="0"/>
              <w:autoSpaceDN w:val="0"/>
              <w:adjustRightInd w:val="0"/>
              <w:spacing w:line="240" w:lineRule="auto"/>
              <w:rPr>
                <w:noProof/>
                <w:sz w:val="22"/>
              </w:rPr>
            </w:pPr>
            <w:r w:rsidRPr="00B00778">
              <w:rPr>
                <w:noProof/>
              </w:rPr>
              <w:t>Serial number of the manufacturer</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p>
        </w:tc>
      </w:tr>
      <w:tr w:rsidR="00366A4C" w:rsidRPr="00D03C38" w:rsidTr="00C10493">
        <w:tc>
          <w:tcPr>
            <w:tcW w:w="4116" w:type="dxa"/>
            <w:shd w:val="clear" w:color="auto" w:fill="auto"/>
          </w:tcPr>
          <w:p w:rsidR="00366A4C" w:rsidRPr="003C3981" w:rsidRDefault="00366A4C" w:rsidP="003C3981">
            <w:pPr>
              <w:autoSpaceDE w:val="0"/>
              <w:autoSpaceDN w:val="0"/>
              <w:adjustRightInd w:val="0"/>
              <w:spacing w:line="240" w:lineRule="auto"/>
              <w:rPr>
                <w:noProof/>
                <w:sz w:val="22"/>
              </w:rPr>
            </w:pPr>
            <w:r w:rsidRPr="00B00778">
              <w:rPr>
                <w:noProof/>
              </w:rPr>
              <w:t xml:space="preserve">Maximum permitted stacking load </w:t>
            </w:r>
            <w:r w:rsidRPr="00004055">
              <w:rPr>
                <w:b/>
                <w:bCs/>
                <w:noProof/>
                <w:szCs w:val="14"/>
                <w:vertAlign w:val="superscript"/>
              </w:rPr>
              <w:t>b</w:t>
            </w:r>
          </w:p>
        </w:tc>
        <w:tc>
          <w:tcPr>
            <w:tcW w:w="851"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276"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1134"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c>
          <w:tcPr>
            <w:tcW w:w="992" w:type="dxa"/>
            <w:shd w:val="clear" w:color="auto" w:fill="auto"/>
            <w:vAlign w:val="center"/>
          </w:tcPr>
          <w:p w:rsidR="00366A4C" w:rsidRPr="00B00778" w:rsidRDefault="00366A4C" w:rsidP="003C3981">
            <w:pPr>
              <w:autoSpaceDE w:val="0"/>
              <w:autoSpaceDN w:val="0"/>
              <w:adjustRightInd w:val="0"/>
              <w:spacing w:line="240" w:lineRule="auto"/>
              <w:jc w:val="center"/>
              <w:rPr>
                <w:noProof/>
              </w:rPr>
            </w:pPr>
            <w:r w:rsidRPr="00B00778">
              <w:rPr>
                <w:noProof/>
              </w:rPr>
              <w:t>X</w:t>
            </w:r>
          </w:p>
        </w:tc>
      </w:tr>
    </w:tbl>
    <w:p w:rsidR="00C10493" w:rsidRDefault="00C10493" w:rsidP="00366A4C">
      <w:pPr>
        <w:autoSpaceDE w:val="0"/>
        <w:autoSpaceDN w:val="0"/>
        <w:adjustRightInd w:val="0"/>
        <w:spacing w:line="240" w:lineRule="auto"/>
        <w:rPr>
          <w:b/>
          <w:bCs/>
          <w:noProof/>
          <w:sz w:val="14"/>
          <w:szCs w:val="14"/>
        </w:rPr>
      </w:pPr>
    </w:p>
    <w:p w:rsidR="00366A4C" w:rsidRPr="00C52175" w:rsidRDefault="00366A4C" w:rsidP="00C52175">
      <w:pPr>
        <w:pStyle w:val="SingleTxtG"/>
        <w:rPr>
          <w:i/>
          <w:iCs/>
          <w:noProof/>
          <w:sz w:val="18"/>
          <w:szCs w:val="18"/>
        </w:rPr>
      </w:pPr>
      <w:r w:rsidRPr="00282C7B">
        <w:rPr>
          <w:i/>
          <w:iCs/>
          <w:noProof/>
          <w:sz w:val="18"/>
          <w:szCs w:val="18"/>
        </w:rPr>
        <w:t xml:space="preserve">a </w:t>
      </w:r>
      <w:r w:rsidR="00C10493" w:rsidRPr="00C52175">
        <w:rPr>
          <w:b/>
          <w:bCs/>
          <w:i/>
          <w:iCs/>
          <w:noProof/>
          <w:sz w:val="18"/>
          <w:szCs w:val="18"/>
        </w:rPr>
        <w:tab/>
      </w:r>
      <w:r w:rsidRPr="00C52175">
        <w:rPr>
          <w:i/>
          <w:iCs/>
          <w:noProof/>
          <w:sz w:val="18"/>
          <w:szCs w:val="18"/>
        </w:rPr>
        <w:t>The unit used shall be indicated.</w:t>
      </w:r>
    </w:p>
    <w:p w:rsidR="004D5C8D" w:rsidRPr="00C52175" w:rsidRDefault="00366A4C" w:rsidP="00C52175">
      <w:pPr>
        <w:pStyle w:val="SingleTxtG"/>
        <w:rPr>
          <w:i/>
          <w:iCs/>
          <w:sz w:val="18"/>
          <w:szCs w:val="18"/>
        </w:rPr>
      </w:pPr>
      <w:r w:rsidRPr="00282C7B">
        <w:rPr>
          <w:i/>
          <w:iCs/>
          <w:noProof/>
          <w:sz w:val="18"/>
          <w:szCs w:val="18"/>
        </w:rPr>
        <w:t xml:space="preserve">b </w:t>
      </w:r>
      <w:r w:rsidR="00C10493" w:rsidRPr="00C52175">
        <w:rPr>
          <w:b/>
          <w:bCs/>
          <w:i/>
          <w:iCs/>
          <w:noProof/>
          <w:sz w:val="18"/>
          <w:szCs w:val="18"/>
        </w:rPr>
        <w:tab/>
      </w:r>
      <w:r w:rsidRPr="00C52175">
        <w:rPr>
          <w:i/>
          <w:iCs/>
          <w:noProof/>
          <w:sz w:val="18"/>
          <w:szCs w:val="18"/>
        </w:rPr>
        <w:t>See 6.5.2.2.2. This additional mark shall apply to all IBCs manufactured, repaired or remanufactured as from 1 January 2011.</w:t>
      </w:r>
      <w:r w:rsidR="0037743C" w:rsidRPr="00C52175">
        <w:rPr>
          <w:i/>
          <w:iCs/>
          <w:noProof/>
          <w:sz w:val="18"/>
          <w:szCs w:val="18"/>
        </w:rPr>
        <w:t xml:space="preserve"> </w:t>
      </w:r>
      <w:proofErr w:type="gramStart"/>
      <w:r w:rsidR="0037743C" w:rsidRPr="00C52175">
        <w:rPr>
          <w:i/>
          <w:iCs/>
          <w:noProof/>
          <w:sz w:val="18"/>
          <w:szCs w:val="18"/>
        </w:rPr>
        <w:t xml:space="preserve"> </w:t>
      </w:r>
      <w:r w:rsidR="00C10493" w:rsidRPr="00C52175">
        <w:rPr>
          <w:i/>
          <w:iCs/>
          <w:noProof/>
          <w:sz w:val="18"/>
          <w:szCs w:val="18"/>
        </w:rPr>
        <w:t xml:space="preserve"> </w:t>
      </w:r>
      <w:r w:rsidR="004D5C8D" w:rsidRPr="00C52175">
        <w:rPr>
          <w:i/>
          <w:iCs/>
          <w:sz w:val="18"/>
          <w:szCs w:val="18"/>
        </w:rPr>
        <w:t>”</w:t>
      </w:r>
      <w:proofErr w:type="gramEnd"/>
      <w:r w:rsidR="004D5C8D" w:rsidRPr="00C52175">
        <w:rPr>
          <w:i/>
          <w:iCs/>
          <w:sz w:val="18"/>
          <w:szCs w:val="18"/>
        </w:rPr>
        <w:t>]</w:t>
      </w:r>
    </w:p>
    <w:p w:rsidR="00DF1F9A" w:rsidRPr="003C3981" w:rsidRDefault="00C52175" w:rsidP="00DF1F9A">
      <w:pPr>
        <w:pStyle w:val="SingleTxtG"/>
        <w:spacing w:line="240" w:lineRule="auto"/>
      </w:pPr>
      <w:r w:rsidRPr="00C52175">
        <w:rPr>
          <w:bCs/>
        </w:rPr>
        <w:t>10</w:t>
      </w:r>
      <w:r w:rsidR="004D5C8D" w:rsidRPr="00C52175">
        <w:rPr>
          <w:bCs/>
        </w:rPr>
        <w:t>.</w:t>
      </w:r>
      <w:r w:rsidR="004D5C8D" w:rsidRPr="003C3981">
        <w:rPr>
          <w:b/>
        </w:rPr>
        <w:tab/>
      </w:r>
      <w:r w:rsidR="00DF1F9A" w:rsidRPr="003C3981">
        <w:rPr>
          <w:b/>
          <w:u w:val="single"/>
        </w:rPr>
        <w:t>Amend</w:t>
      </w:r>
      <w:r w:rsidR="00DF1F9A" w:rsidRPr="003C3981">
        <w:t xml:space="preserve"> 6.5.5.1.6., as follows: </w:t>
      </w:r>
    </w:p>
    <w:p w:rsidR="00DF1F9A" w:rsidRPr="003C3981" w:rsidRDefault="00B46273" w:rsidP="00DF1F9A">
      <w:pPr>
        <w:spacing w:after="120"/>
        <w:ind w:left="1418" w:firstLine="284"/>
        <w:rPr>
          <w:lang w:eastAsia="de-DE"/>
        </w:rPr>
      </w:pPr>
      <w:r w:rsidRPr="003C3981">
        <w:rPr>
          <w:lang w:eastAsia="de-DE"/>
        </w:rPr>
        <w:t>[</w:t>
      </w:r>
      <w:r w:rsidR="002C54FB">
        <w:rPr>
          <w:lang w:eastAsia="de-DE"/>
        </w:rPr>
        <w:t xml:space="preserve"> </w:t>
      </w:r>
      <w:proofErr w:type="gramStart"/>
      <w:r w:rsidR="002C54FB">
        <w:rPr>
          <w:lang w:eastAsia="de-DE"/>
        </w:rPr>
        <w:t xml:space="preserve">   </w:t>
      </w:r>
      <w:r w:rsidR="00DF1F9A" w:rsidRPr="003C3981">
        <w:rPr>
          <w:lang w:eastAsia="de-DE"/>
        </w:rPr>
        <w:t>“</w:t>
      </w:r>
      <w:proofErr w:type="gramEnd"/>
      <w:r w:rsidR="00DF1F9A" w:rsidRPr="003C3981">
        <w:rPr>
          <w:lang w:eastAsia="de-DE"/>
        </w:rPr>
        <w:t xml:space="preserve">6.5.5.1.6 </w:t>
      </w:r>
      <w:r w:rsidR="00DF1F9A" w:rsidRPr="003C3981">
        <w:rPr>
          <w:lang w:eastAsia="de-DE"/>
        </w:rPr>
        <w:tab/>
      </w:r>
      <w:r w:rsidR="002C54FB">
        <w:rPr>
          <w:lang w:eastAsia="de-DE"/>
        </w:rPr>
        <w:t xml:space="preserve">       </w:t>
      </w:r>
      <w:r w:rsidR="00DF1F9A" w:rsidRPr="003C3981">
        <w:rPr>
          <w:bCs/>
          <w:i/>
          <w:iCs/>
          <w:lang w:eastAsia="de-DE"/>
        </w:rPr>
        <w:t>Minimum wall thickness</w:t>
      </w:r>
      <w:r w:rsidR="00F11B37" w:rsidRPr="00F11B37">
        <w:rPr>
          <w:bCs/>
          <w:i/>
          <w:iCs/>
          <w:u w:val="single"/>
          <w:lang w:eastAsia="de-DE"/>
        </w:rPr>
        <w:t xml:space="preserve"> </w:t>
      </w:r>
      <w:r w:rsidR="005773A7">
        <w:rPr>
          <w:rStyle w:val="FootnoteReference"/>
          <w:bCs/>
          <w:i/>
          <w:iCs/>
          <w:u w:val="single"/>
          <w:lang w:eastAsia="de-DE"/>
        </w:rPr>
        <w:footnoteReference w:customMarkFollows="1" w:id="3"/>
        <w:t>1</w:t>
      </w:r>
    </w:p>
    <w:p w:rsidR="00DF1F9A" w:rsidRPr="003C3981" w:rsidRDefault="00DF1F9A" w:rsidP="00F11B37">
      <w:pPr>
        <w:ind w:left="2268" w:hanging="567"/>
        <w:rPr>
          <w:lang w:eastAsia="de-DE"/>
        </w:rPr>
      </w:pPr>
      <w:r w:rsidRPr="003C3981">
        <w:rPr>
          <w:lang w:eastAsia="de-DE"/>
        </w:rPr>
        <w:t>(</w:t>
      </w:r>
      <w:r w:rsidR="008E7E47" w:rsidRPr="003C3981">
        <w:rPr>
          <w:u w:val="single"/>
          <w:lang w:eastAsia="de-DE"/>
        </w:rPr>
        <w:t>a</w:t>
      </w:r>
      <w:r w:rsidRPr="003C3981">
        <w:rPr>
          <w:lang w:eastAsia="de-DE"/>
        </w:rPr>
        <w:t>)</w:t>
      </w:r>
      <w:r w:rsidRPr="003C3981">
        <w:rPr>
          <w:lang w:eastAsia="de-DE"/>
        </w:rPr>
        <w:tab/>
        <w:t xml:space="preserve">For a reference steel having a product of </w:t>
      </w:r>
      <w:r w:rsidRPr="003C3981">
        <w:rPr>
          <w:iCs/>
          <w:lang w:eastAsia="de-DE"/>
        </w:rPr>
        <w:t>R</w:t>
      </w:r>
      <w:r w:rsidRPr="00B6001B">
        <w:rPr>
          <w:lang w:eastAsia="de-DE"/>
        </w:rPr>
        <w:t>m</w:t>
      </w:r>
      <w:r w:rsidRPr="003C3981">
        <w:rPr>
          <w:lang w:eastAsia="de-DE"/>
        </w:rPr>
        <w:t xml:space="preserve"> </w:t>
      </w:r>
      <w:r w:rsidRPr="009C01E2">
        <w:rPr>
          <w:rFonts w:ascii="Arial" w:hAnsi="Arial" w:cs="Arial"/>
          <w:sz w:val="18"/>
          <w:szCs w:val="18"/>
          <w:lang w:eastAsia="de-DE"/>
        </w:rPr>
        <w:t>x</w:t>
      </w:r>
      <w:r w:rsidRPr="003C3981">
        <w:rPr>
          <w:lang w:eastAsia="de-DE"/>
        </w:rPr>
        <w:t xml:space="preserve"> </w:t>
      </w:r>
      <w:r w:rsidRPr="003C3981">
        <w:rPr>
          <w:iCs/>
          <w:lang w:eastAsia="de-DE"/>
        </w:rPr>
        <w:t>A</w:t>
      </w:r>
      <w:r w:rsidR="00B6001B">
        <w:rPr>
          <w:vertAlign w:val="subscript"/>
          <w:lang w:eastAsia="de-DE"/>
        </w:rPr>
        <w:t>0</w:t>
      </w:r>
      <w:r w:rsidR="009C01E2" w:rsidRPr="003C3981">
        <w:rPr>
          <w:lang w:eastAsia="de-DE"/>
        </w:rPr>
        <w:t xml:space="preserve"> = 10 </w:t>
      </w:r>
      <w:r w:rsidRPr="003C3981">
        <w:rPr>
          <w:lang w:eastAsia="de-DE"/>
        </w:rPr>
        <w:t>000, the wall thickness shall not be less than:</w:t>
      </w:r>
    </w:p>
    <w:p w:rsidR="00DF1F9A" w:rsidRPr="003C3981" w:rsidRDefault="00DF1F9A" w:rsidP="00DF1F9A">
      <w:pPr>
        <w:ind w:left="1418" w:hanging="567"/>
        <w:rPr>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1982"/>
        <w:gridCol w:w="1698"/>
        <w:gridCol w:w="1773"/>
        <w:gridCol w:w="2050"/>
      </w:tblGrid>
      <w:tr w:rsidR="00DF1F9A" w:rsidRPr="008E7E47" w:rsidTr="00C52175">
        <w:trPr>
          <w:tblHeader/>
          <w:jc w:val="center"/>
        </w:trPr>
        <w:tc>
          <w:tcPr>
            <w:tcW w:w="1706" w:type="dxa"/>
            <w:vMerge w:val="restart"/>
            <w:vAlign w:val="center"/>
            <w:hideMark/>
          </w:tcPr>
          <w:p w:rsidR="00F11B37" w:rsidRDefault="00DF1F9A" w:rsidP="00245649">
            <w:pPr>
              <w:jc w:val="center"/>
              <w:rPr>
                <w:b/>
                <w:bCs/>
                <w:lang w:eastAsia="de-DE"/>
              </w:rPr>
            </w:pPr>
            <w:r w:rsidRPr="003C3981">
              <w:rPr>
                <w:b/>
                <w:bCs/>
                <w:lang w:eastAsia="de-DE"/>
              </w:rPr>
              <w:t xml:space="preserve">Capacity (C) </w:t>
            </w:r>
          </w:p>
          <w:p w:rsidR="00DF1F9A" w:rsidRPr="003C3981" w:rsidRDefault="00DF1F9A" w:rsidP="00245649">
            <w:pPr>
              <w:jc w:val="center"/>
              <w:rPr>
                <w:b/>
                <w:bCs/>
                <w:lang w:eastAsia="de-DE"/>
              </w:rPr>
            </w:pPr>
            <w:r w:rsidRPr="003C3981">
              <w:rPr>
                <w:b/>
                <w:bCs/>
                <w:lang w:eastAsia="de-DE"/>
              </w:rPr>
              <w:t>in litres</w:t>
            </w:r>
          </w:p>
        </w:tc>
        <w:tc>
          <w:tcPr>
            <w:tcW w:w="7503" w:type="dxa"/>
            <w:gridSpan w:val="4"/>
            <w:vAlign w:val="center"/>
            <w:hideMark/>
          </w:tcPr>
          <w:p w:rsidR="00DF1F9A" w:rsidRPr="003C3981" w:rsidRDefault="00DF1F9A" w:rsidP="00245649">
            <w:pPr>
              <w:ind w:left="21"/>
              <w:jc w:val="center"/>
              <w:rPr>
                <w:b/>
                <w:bCs/>
                <w:lang w:eastAsia="de-DE"/>
              </w:rPr>
            </w:pPr>
            <w:r w:rsidRPr="003C3981">
              <w:rPr>
                <w:b/>
                <w:bCs/>
                <w:lang w:eastAsia="de-DE"/>
              </w:rPr>
              <w:t>Wall thickness (</w:t>
            </w:r>
            <w:r w:rsidRPr="003C3981">
              <w:rPr>
                <w:b/>
                <w:bCs/>
                <w:iCs/>
                <w:lang w:eastAsia="de-DE"/>
              </w:rPr>
              <w:t>T</w:t>
            </w:r>
            <w:r w:rsidRPr="003C3981">
              <w:rPr>
                <w:b/>
                <w:bCs/>
                <w:lang w:eastAsia="de-DE"/>
              </w:rPr>
              <w:t>) in mm</w:t>
            </w:r>
          </w:p>
        </w:tc>
      </w:tr>
      <w:tr w:rsidR="00DF1F9A" w:rsidRPr="008E7E47" w:rsidTr="00C52175">
        <w:trPr>
          <w:tblHeader/>
          <w:jc w:val="center"/>
        </w:trPr>
        <w:tc>
          <w:tcPr>
            <w:tcW w:w="1706" w:type="dxa"/>
            <w:vMerge/>
            <w:vAlign w:val="center"/>
            <w:hideMark/>
          </w:tcPr>
          <w:p w:rsidR="00DF1F9A" w:rsidRPr="003C3981" w:rsidRDefault="00DF1F9A" w:rsidP="00245649">
            <w:pPr>
              <w:ind w:left="1418"/>
              <w:rPr>
                <w:b/>
                <w:bCs/>
                <w:lang w:eastAsia="de-DE"/>
              </w:rPr>
            </w:pPr>
          </w:p>
        </w:tc>
        <w:tc>
          <w:tcPr>
            <w:tcW w:w="3680" w:type="dxa"/>
            <w:gridSpan w:val="2"/>
            <w:vAlign w:val="center"/>
            <w:hideMark/>
          </w:tcPr>
          <w:p w:rsidR="00DF1F9A" w:rsidRPr="003C3981" w:rsidRDefault="00DF1F9A" w:rsidP="00245649">
            <w:pPr>
              <w:ind w:left="21"/>
              <w:jc w:val="center"/>
              <w:rPr>
                <w:b/>
                <w:bCs/>
                <w:lang w:eastAsia="de-DE"/>
              </w:rPr>
            </w:pPr>
            <w:r w:rsidRPr="003C3981">
              <w:rPr>
                <w:b/>
                <w:bCs/>
                <w:lang w:eastAsia="de-DE"/>
              </w:rPr>
              <w:t>Types 11A, 11B, 11N</w:t>
            </w:r>
          </w:p>
        </w:tc>
        <w:tc>
          <w:tcPr>
            <w:tcW w:w="3823" w:type="dxa"/>
            <w:gridSpan w:val="2"/>
            <w:vAlign w:val="center"/>
            <w:hideMark/>
          </w:tcPr>
          <w:p w:rsidR="00DF1F9A" w:rsidRPr="003C3981" w:rsidRDefault="00DF1F9A" w:rsidP="00245649">
            <w:pPr>
              <w:jc w:val="center"/>
              <w:rPr>
                <w:b/>
                <w:bCs/>
                <w:lang w:eastAsia="de-DE"/>
              </w:rPr>
            </w:pPr>
            <w:r w:rsidRPr="003C3981">
              <w:rPr>
                <w:b/>
                <w:bCs/>
                <w:lang w:eastAsia="de-DE"/>
              </w:rPr>
              <w:t>Types 21A, 21B, 21N, 31A, 31B, 31N</w:t>
            </w:r>
          </w:p>
        </w:tc>
      </w:tr>
      <w:tr w:rsidR="00DF1F9A" w:rsidRPr="008E7E47" w:rsidTr="00C52175">
        <w:trPr>
          <w:tblHeader/>
          <w:jc w:val="center"/>
        </w:trPr>
        <w:tc>
          <w:tcPr>
            <w:tcW w:w="1706" w:type="dxa"/>
            <w:vMerge/>
            <w:vAlign w:val="center"/>
            <w:hideMark/>
          </w:tcPr>
          <w:p w:rsidR="00DF1F9A" w:rsidRPr="003C3981" w:rsidRDefault="00DF1F9A" w:rsidP="00245649">
            <w:pPr>
              <w:ind w:left="1418"/>
              <w:rPr>
                <w:b/>
                <w:bCs/>
                <w:lang w:eastAsia="de-DE"/>
              </w:rPr>
            </w:pPr>
          </w:p>
        </w:tc>
        <w:tc>
          <w:tcPr>
            <w:tcW w:w="1982" w:type="dxa"/>
            <w:vAlign w:val="center"/>
            <w:hideMark/>
          </w:tcPr>
          <w:p w:rsidR="00DF1F9A" w:rsidRPr="003C3981" w:rsidRDefault="00DF1F9A" w:rsidP="00245649">
            <w:pPr>
              <w:ind w:left="163"/>
              <w:jc w:val="center"/>
              <w:rPr>
                <w:b/>
                <w:bCs/>
                <w:lang w:eastAsia="de-DE"/>
              </w:rPr>
            </w:pPr>
            <w:r w:rsidRPr="003C3981">
              <w:rPr>
                <w:b/>
                <w:bCs/>
                <w:lang w:eastAsia="de-DE"/>
              </w:rPr>
              <w:t>Unprotected</w:t>
            </w:r>
          </w:p>
        </w:tc>
        <w:tc>
          <w:tcPr>
            <w:tcW w:w="1698" w:type="dxa"/>
            <w:vAlign w:val="center"/>
            <w:hideMark/>
          </w:tcPr>
          <w:p w:rsidR="00DF1F9A" w:rsidRPr="003C3981" w:rsidRDefault="00DF1F9A" w:rsidP="00245649">
            <w:pPr>
              <w:jc w:val="center"/>
              <w:rPr>
                <w:b/>
                <w:bCs/>
                <w:lang w:eastAsia="de-DE"/>
              </w:rPr>
            </w:pPr>
            <w:r w:rsidRPr="003C3981">
              <w:rPr>
                <w:b/>
                <w:bCs/>
                <w:lang w:eastAsia="de-DE"/>
              </w:rPr>
              <w:t>Protected</w:t>
            </w:r>
          </w:p>
        </w:tc>
        <w:tc>
          <w:tcPr>
            <w:tcW w:w="1773" w:type="dxa"/>
            <w:vAlign w:val="center"/>
            <w:hideMark/>
          </w:tcPr>
          <w:p w:rsidR="00DF1F9A" w:rsidRPr="003C3981" w:rsidRDefault="00DF1F9A" w:rsidP="00245649">
            <w:pPr>
              <w:ind w:left="23"/>
              <w:jc w:val="center"/>
              <w:rPr>
                <w:b/>
                <w:bCs/>
                <w:lang w:eastAsia="de-DE"/>
              </w:rPr>
            </w:pPr>
            <w:r w:rsidRPr="003C3981">
              <w:rPr>
                <w:b/>
                <w:bCs/>
                <w:lang w:eastAsia="de-DE"/>
              </w:rPr>
              <w:t>Unprotected</w:t>
            </w:r>
          </w:p>
        </w:tc>
        <w:tc>
          <w:tcPr>
            <w:tcW w:w="2050" w:type="dxa"/>
            <w:vAlign w:val="center"/>
            <w:hideMark/>
          </w:tcPr>
          <w:p w:rsidR="00DF1F9A" w:rsidRPr="003C3981" w:rsidRDefault="00DF1F9A" w:rsidP="00245649">
            <w:pPr>
              <w:ind w:left="40"/>
              <w:jc w:val="center"/>
              <w:rPr>
                <w:b/>
                <w:bCs/>
                <w:lang w:eastAsia="de-DE"/>
              </w:rPr>
            </w:pPr>
            <w:r w:rsidRPr="003C3981">
              <w:rPr>
                <w:b/>
                <w:bCs/>
                <w:lang w:eastAsia="de-DE"/>
              </w:rPr>
              <w:t>Protected</w:t>
            </w:r>
          </w:p>
        </w:tc>
      </w:tr>
      <w:tr w:rsidR="00DF1F9A" w:rsidRPr="008E7E47" w:rsidTr="00C52175">
        <w:trPr>
          <w:jc w:val="center"/>
        </w:trPr>
        <w:tc>
          <w:tcPr>
            <w:tcW w:w="1706" w:type="dxa"/>
            <w:tcBorders>
              <w:bottom w:val="nil"/>
            </w:tcBorders>
            <w:vAlign w:val="center"/>
            <w:hideMark/>
          </w:tcPr>
          <w:p w:rsidR="00DF1F9A" w:rsidRPr="003C3981" w:rsidRDefault="00DF1F9A" w:rsidP="00245649">
            <w:pPr>
              <w:ind w:left="22"/>
              <w:jc w:val="center"/>
              <w:rPr>
                <w:strike/>
                <w:lang w:eastAsia="de-DE"/>
              </w:rPr>
            </w:pPr>
            <w:r w:rsidRPr="003C3981">
              <w:rPr>
                <w:strike/>
                <w:lang w:eastAsia="de-DE"/>
              </w:rPr>
              <w:t>C ≤ 1000</w:t>
            </w:r>
          </w:p>
        </w:tc>
        <w:tc>
          <w:tcPr>
            <w:tcW w:w="1982" w:type="dxa"/>
            <w:tcBorders>
              <w:bottom w:val="nil"/>
            </w:tcBorders>
            <w:vAlign w:val="center"/>
            <w:hideMark/>
          </w:tcPr>
          <w:p w:rsidR="00DF1F9A" w:rsidRPr="003C3981" w:rsidRDefault="00DF1F9A" w:rsidP="00245649">
            <w:pPr>
              <w:ind w:left="143"/>
              <w:jc w:val="center"/>
              <w:rPr>
                <w:strike/>
                <w:lang w:eastAsia="de-DE"/>
              </w:rPr>
            </w:pPr>
            <w:r w:rsidRPr="003C3981">
              <w:rPr>
                <w:strike/>
                <w:lang w:eastAsia="de-DE"/>
              </w:rPr>
              <w:t>2.0</w:t>
            </w:r>
          </w:p>
        </w:tc>
        <w:tc>
          <w:tcPr>
            <w:tcW w:w="1698" w:type="dxa"/>
            <w:tcBorders>
              <w:bottom w:val="nil"/>
            </w:tcBorders>
            <w:vAlign w:val="center"/>
            <w:hideMark/>
          </w:tcPr>
          <w:p w:rsidR="00DF1F9A" w:rsidRPr="003C3981" w:rsidRDefault="00DF1F9A" w:rsidP="00245649">
            <w:pPr>
              <w:jc w:val="center"/>
              <w:rPr>
                <w:strike/>
                <w:lang w:eastAsia="de-DE"/>
              </w:rPr>
            </w:pPr>
            <w:r w:rsidRPr="003C3981">
              <w:rPr>
                <w:strike/>
                <w:lang w:eastAsia="de-DE"/>
              </w:rPr>
              <w:t>1.5</w:t>
            </w:r>
          </w:p>
        </w:tc>
        <w:tc>
          <w:tcPr>
            <w:tcW w:w="1773" w:type="dxa"/>
            <w:tcBorders>
              <w:bottom w:val="nil"/>
            </w:tcBorders>
            <w:vAlign w:val="center"/>
            <w:hideMark/>
          </w:tcPr>
          <w:p w:rsidR="00DF1F9A" w:rsidRPr="003C3981" w:rsidRDefault="00DF1F9A" w:rsidP="00245649">
            <w:pPr>
              <w:ind w:left="143"/>
              <w:jc w:val="center"/>
              <w:rPr>
                <w:strike/>
                <w:lang w:eastAsia="de-DE"/>
              </w:rPr>
            </w:pPr>
            <w:r w:rsidRPr="003C3981">
              <w:rPr>
                <w:strike/>
                <w:lang w:eastAsia="de-DE"/>
              </w:rPr>
              <w:t>2.5</w:t>
            </w:r>
          </w:p>
        </w:tc>
        <w:tc>
          <w:tcPr>
            <w:tcW w:w="2050" w:type="dxa"/>
            <w:tcBorders>
              <w:bottom w:val="nil"/>
            </w:tcBorders>
            <w:vAlign w:val="center"/>
            <w:hideMark/>
          </w:tcPr>
          <w:p w:rsidR="00DF1F9A" w:rsidRPr="003C3981" w:rsidRDefault="00DF1F9A" w:rsidP="00245649">
            <w:pPr>
              <w:jc w:val="center"/>
              <w:rPr>
                <w:strike/>
                <w:lang w:eastAsia="de-DE"/>
              </w:rPr>
            </w:pPr>
            <w:r w:rsidRPr="003C3981">
              <w:rPr>
                <w:strike/>
                <w:lang w:eastAsia="de-DE"/>
              </w:rPr>
              <w:t>2.0</w:t>
            </w:r>
          </w:p>
        </w:tc>
      </w:tr>
      <w:tr w:rsidR="00DF1F9A" w:rsidRPr="008E7E47" w:rsidTr="00C52175">
        <w:trPr>
          <w:jc w:val="center"/>
        </w:trPr>
        <w:tc>
          <w:tcPr>
            <w:tcW w:w="1706"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1000 &lt; C ≤ 2000</w:t>
            </w:r>
          </w:p>
        </w:tc>
        <w:tc>
          <w:tcPr>
            <w:tcW w:w="1982"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T = C/2000 + 1.5</w:t>
            </w:r>
          </w:p>
        </w:tc>
        <w:tc>
          <w:tcPr>
            <w:tcW w:w="1698"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T = C/2000 + 1.0</w:t>
            </w:r>
          </w:p>
        </w:tc>
        <w:tc>
          <w:tcPr>
            <w:tcW w:w="1773"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T = C/2000 + 2.0</w:t>
            </w:r>
          </w:p>
        </w:tc>
        <w:tc>
          <w:tcPr>
            <w:tcW w:w="2050"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T = C/2000 + 1.5</w:t>
            </w:r>
          </w:p>
        </w:tc>
      </w:tr>
      <w:tr w:rsidR="00DF1F9A" w:rsidRPr="008E7E47" w:rsidTr="00C52175">
        <w:trPr>
          <w:jc w:val="center"/>
        </w:trPr>
        <w:tc>
          <w:tcPr>
            <w:tcW w:w="1706"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2000 &lt; C ≤ 3000</w:t>
            </w:r>
          </w:p>
        </w:tc>
        <w:tc>
          <w:tcPr>
            <w:tcW w:w="1982"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T = C/2000 + 1.5</w:t>
            </w:r>
          </w:p>
        </w:tc>
        <w:tc>
          <w:tcPr>
            <w:tcW w:w="1698"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T = C/2000 + 1.0</w:t>
            </w:r>
          </w:p>
        </w:tc>
        <w:tc>
          <w:tcPr>
            <w:tcW w:w="1773"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T = C/1000 + 1.0</w:t>
            </w:r>
          </w:p>
        </w:tc>
        <w:tc>
          <w:tcPr>
            <w:tcW w:w="2050" w:type="dxa"/>
            <w:tcBorders>
              <w:top w:val="nil"/>
              <w:bottom w:val="nil"/>
            </w:tcBorders>
            <w:vAlign w:val="center"/>
            <w:hideMark/>
          </w:tcPr>
          <w:p w:rsidR="00DF1F9A" w:rsidRPr="003C3981" w:rsidRDefault="00DF1F9A" w:rsidP="00245649">
            <w:pPr>
              <w:ind w:left="22"/>
              <w:jc w:val="center"/>
              <w:rPr>
                <w:strike/>
                <w:lang w:eastAsia="de-DE"/>
              </w:rPr>
            </w:pPr>
            <w:r w:rsidRPr="003C3981">
              <w:rPr>
                <w:strike/>
                <w:lang w:eastAsia="de-DE"/>
              </w:rPr>
              <w:t>T = C/2000 + 1.5</w:t>
            </w:r>
          </w:p>
        </w:tc>
      </w:tr>
      <w:tr w:rsidR="00DF1F9A" w:rsidRPr="00B46273" w:rsidTr="00C52175">
        <w:trPr>
          <w:trHeight w:val="455"/>
          <w:jc w:val="center"/>
        </w:trPr>
        <w:tc>
          <w:tcPr>
            <w:tcW w:w="1706" w:type="dxa"/>
            <w:tcBorders>
              <w:top w:val="nil"/>
            </w:tcBorders>
            <w:vAlign w:val="center"/>
            <w:hideMark/>
          </w:tcPr>
          <w:p w:rsidR="00DF1F9A" w:rsidRPr="003C3981" w:rsidRDefault="00DF1F9A" w:rsidP="00245649">
            <w:pPr>
              <w:ind w:left="22"/>
              <w:jc w:val="center"/>
              <w:rPr>
                <w:u w:val="single"/>
                <w:lang w:eastAsia="de-DE"/>
              </w:rPr>
            </w:pPr>
            <w:r w:rsidRPr="003C3981">
              <w:rPr>
                <w:u w:val="single"/>
                <w:lang w:eastAsia="de-DE"/>
              </w:rPr>
              <w:t>1500 &lt; C ≤ 3000</w:t>
            </w:r>
          </w:p>
        </w:tc>
        <w:tc>
          <w:tcPr>
            <w:tcW w:w="1982" w:type="dxa"/>
            <w:tcBorders>
              <w:top w:val="nil"/>
            </w:tcBorders>
            <w:vAlign w:val="center"/>
            <w:hideMark/>
          </w:tcPr>
          <w:p w:rsidR="00DF1F9A" w:rsidRPr="003C3981" w:rsidRDefault="00DF1F9A" w:rsidP="00245649">
            <w:pPr>
              <w:ind w:left="22"/>
              <w:jc w:val="center"/>
              <w:rPr>
                <w:u w:val="single"/>
                <w:lang w:eastAsia="de-DE"/>
              </w:rPr>
            </w:pPr>
            <w:r w:rsidRPr="003C3981">
              <w:rPr>
                <w:u w:val="single"/>
                <w:lang w:eastAsia="de-DE"/>
              </w:rPr>
              <w:t>T = C/2000 + 1.5</w:t>
            </w:r>
          </w:p>
        </w:tc>
        <w:tc>
          <w:tcPr>
            <w:tcW w:w="1698" w:type="dxa"/>
            <w:tcBorders>
              <w:top w:val="nil"/>
            </w:tcBorders>
            <w:vAlign w:val="center"/>
            <w:hideMark/>
          </w:tcPr>
          <w:p w:rsidR="00DF1F9A" w:rsidRPr="003C3981" w:rsidRDefault="00DF1F9A" w:rsidP="00245649">
            <w:pPr>
              <w:ind w:left="22"/>
              <w:jc w:val="center"/>
              <w:rPr>
                <w:u w:val="single"/>
                <w:lang w:eastAsia="de-DE"/>
              </w:rPr>
            </w:pPr>
            <w:r w:rsidRPr="003C3981">
              <w:rPr>
                <w:u w:val="single"/>
                <w:lang w:eastAsia="de-DE"/>
              </w:rPr>
              <w:t>T = C/2000 + 1.0</w:t>
            </w:r>
          </w:p>
        </w:tc>
        <w:tc>
          <w:tcPr>
            <w:tcW w:w="1773" w:type="dxa"/>
            <w:tcBorders>
              <w:top w:val="nil"/>
            </w:tcBorders>
            <w:vAlign w:val="center"/>
            <w:hideMark/>
          </w:tcPr>
          <w:p w:rsidR="00DF1F9A" w:rsidRPr="003C3981" w:rsidRDefault="00DF1F9A" w:rsidP="00245649">
            <w:pPr>
              <w:ind w:left="22"/>
              <w:jc w:val="center"/>
              <w:rPr>
                <w:u w:val="single"/>
                <w:lang w:eastAsia="de-DE"/>
              </w:rPr>
            </w:pPr>
            <w:r w:rsidRPr="003C3981">
              <w:rPr>
                <w:u w:val="single"/>
                <w:lang w:eastAsia="de-DE"/>
              </w:rPr>
              <w:t>T = C/1000 + 1.0</w:t>
            </w:r>
          </w:p>
        </w:tc>
        <w:tc>
          <w:tcPr>
            <w:tcW w:w="2050" w:type="dxa"/>
            <w:tcBorders>
              <w:top w:val="nil"/>
            </w:tcBorders>
            <w:vAlign w:val="center"/>
            <w:hideMark/>
          </w:tcPr>
          <w:p w:rsidR="00DF1F9A" w:rsidRPr="003C3981" w:rsidRDefault="00DF1F9A" w:rsidP="00245649">
            <w:pPr>
              <w:ind w:left="22"/>
              <w:jc w:val="center"/>
              <w:rPr>
                <w:u w:val="single"/>
                <w:lang w:eastAsia="de-DE"/>
              </w:rPr>
            </w:pPr>
            <w:r w:rsidRPr="003C3981">
              <w:rPr>
                <w:u w:val="single"/>
                <w:lang w:eastAsia="de-DE"/>
              </w:rPr>
              <w:t>T = C/2000 + 1.5</w:t>
            </w:r>
          </w:p>
        </w:tc>
      </w:tr>
    </w:tbl>
    <w:p w:rsidR="00DF1F9A" w:rsidRPr="003C3981" w:rsidRDefault="00DF1F9A" w:rsidP="00DF1F9A">
      <w:pPr>
        <w:ind w:left="1418" w:hanging="1560"/>
        <w:rPr>
          <w:lang w:eastAsia="de-DE"/>
        </w:rPr>
      </w:pPr>
    </w:p>
    <w:p w:rsidR="00DF1F9A" w:rsidRPr="003C3981" w:rsidRDefault="00DF1F9A" w:rsidP="00C52175">
      <w:pPr>
        <w:tabs>
          <w:tab w:val="left" w:pos="2694"/>
          <w:tab w:val="left" w:pos="3544"/>
        </w:tabs>
        <w:ind w:left="4253" w:hanging="2552"/>
        <w:rPr>
          <w:lang w:eastAsia="de-DE"/>
        </w:rPr>
      </w:pPr>
      <w:r w:rsidRPr="003C3981">
        <w:rPr>
          <w:lang w:eastAsia="de-DE"/>
        </w:rPr>
        <w:t xml:space="preserve">where: </w:t>
      </w:r>
      <w:r w:rsidRPr="003C3981">
        <w:rPr>
          <w:lang w:eastAsia="de-DE"/>
        </w:rPr>
        <w:tab/>
      </w:r>
      <w:r w:rsidRPr="00F11B37">
        <w:rPr>
          <w:lang w:eastAsia="de-DE"/>
        </w:rPr>
        <w:t>A</w:t>
      </w:r>
      <w:r w:rsidR="00B6001B" w:rsidRPr="00B6001B">
        <w:rPr>
          <w:vertAlign w:val="subscript"/>
          <w:lang w:eastAsia="de-DE"/>
        </w:rPr>
        <w:t>0</w:t>
      </w:r>
      <w:r w:rsidRPr="003C3981">
        <w:rPr>
          <w:lang w:eastAsia="de-DE"/>
        </w:rPr>
        <w:t xml:space="preserve"> </w:t>
      </w:r>
      <w:r w:rsidR="0014607A">
        <w:rPr>
          <w:lang w:eastAsia="de-DE"/>
        </w:rPr>
        <w:tab/>
      </w:r>
      <w:r w:rsidRPr="003C3981">
        <w:rPr>
          <w:lang w:eastAsia="de-DE"/>
        </w:rPr>
        <w:t xml:space="preserve">= </w:t>
      </w:r>
      <w:r w:rsidRPr="003C3981">
        <w:rPr>
          <w:lang w:eastAsia="de-DE"/>
        </w:rPr>
        <w:tab/>
        <w:t>minimum elongation (as a percentage) of the reference steel to be used on fracture under tensile stress (see 6.5.5.1.5);</w:t>
      </w:r>
    </w:p>
    <w:p w:rsidR="00DF1F9A" w:rsidRPr="003C3981" w:rsidRDefault="00DF1F9A" w:rsidP="00DF1F9A">
      <w:pPr>
        <w:pStyle w:val="ListParagraph"/>
        <w:rPr>
          <w:sz w:val="20"/>
          <w:szCs w:val="20"/>
          <w:lang w:eastAsia="de-DE"/>
        </w:rPr>
      </w:pPr>
    </w:p>
    <w:p w:rsidR="00DF1F9A" w:rsidRDefault="00DF1F9A" w:rsidP="00B6001B">
      <w:pPr>
        <w:ind w:left="2268" w:hanging="567"/>
        <w:rPr>
          <w:lang w:eastAsia="de-DE"/>
        </w:rPr>
      </w:pPr>
      <w:r w:rsidRPr="003C3981">
        <w:rPr>
          <w:lang w:eastAsia="de-DE"/>
        </w:rPr>
        <w:t>(</w:t>
      </w:r>
      <w:r w:rsidR="008E7E47" w:rsidRPr="003C3981">
        <w:rPr>
          <w:lang w:eastAsia="de-DE"/>
        </w:rPr>
        <w:t>b</w:t>
      </w:r>
      <w:r w:rsidRPr="003C3981">
        <w:rPr>
          <w:lang w:eastAsia="de-DE"/>
        </w:rPr>
        <w:t>)</w:t>
      </w:r>
      <w:r w:rsidRPr="003C3981">
        <w:rPr>
          <w:lang w:eastAsia="de-DE"/>
        </w:rPr>
        <w:tab/>
        <w:t xml:space="preserve">For metals other than the reference steel described in (a), the minimum wall thickness is given by the following equivalence formula: </w:t>
      </w:r>
    </w:p>
    <w:p w:rsidR="00B6001B" w:rsidRPr="003C3981" w:rsidRDefault="00B6001B" w:rsidP="00B6001B">
      <w:pPr>
        <w:ind w:left="2268" w:hanging="567"/>
        <w:rPr>
          <w:lang w:eastAsia="de-DE"/>
        </w:rPr>
      </w:pPr>
    </w:p>
    <w:p w:rsidR="00B46273" w:rsidRPr="003C3981" w:rsidRDefault="009F6A5B" w:rsidP="006030ED">
      <w:pPr>
        <w:jc w:val="center"/>
        <w:rPr>
          <w:lang w:eastAsia="de-DE"/>
        </w:rPr>
      </w:pPr>
      <w:r w:rsidRPr="003C3981">
        <w:rPr>
          <w:lang w:eastAsia="de-DE"/>
        </w:rPr>
        <w:tab/>
      </w:r>
      <w:r w:rsidR="00500F53" w:rsidRPr="003C3981">
        <w:rPr>
          <w:lang w:eastAsia="de-DE"/>
        </w:rPr>
        <w:t>e</w:t>
      </w:r>
      <w:r w:rsidR="00500F53" w:rsidRPr="003C3981">
        <w:rPr>
          <w:vertAlign w:val="subscript"/>
          <w:lang w:eastAsia="de-DE"/>
        </w:rPr>
        <w:t>1</w:t>
      </w:r>
      <w:r w:rsidR="00500F53" w:rsidRPr="003C3981">
        <w:rPr>
          <w:lang w:eastAsia="de-DE"/>
        </w:rPr>
        <w:t xml:space="preserve"> </w:t>
      </w:r>
      <w:r w:rsidRPr="003C3981">
        <w:rPr>
          <w:lang w:eastAsia="de-DE"/>
        </w:rPr>
        <w:t xml:space="preserve"> </w:t>
      </w:r>
      <w:r w:rsidR="00500F53" w:rsidRPr="003C3981">
        <w:rPr>
          <w:lang w:eastAsia="de-DE"/>
        </w:rPr>
        <w:t>=</w:t>
      </w:r>
      <w:r w:rsidRPr="003C3981">
        <w:rPr>
          <w:lang w:eastAsia="de-DE"/>
        </w:rPr>
        <w:t xml:space="preserve">  </w:t>
      </w:r>
      <w:r w:rsidR="00500F53" w:rsidRPr="003C3981">
        <w:rPr>
          <w:lang w:eastAsia="de-DE"/>
        </w:rPr>
        <w:t xml:space="preserve"> </w:t>
      </w:r>
      <m:oMath>
        <m:f>
          <m:fPr>
            <m:ctrlPr>
              <w:rPr>
                <w:rFonts w:ascii="Cambria Math" w:hAnsi="Cambria Math"/>
                <w:i/>
                <w:sz w:val="28"/>
                <w:lang w:eastAsia="de-DE"/>
              </w:rPr>
            </m:ctrlPr>
          </m:fPr>
          <m:num>
            <m:r>
              <m:rPr>
                <m:nor/>
              </m:rPr>
              <w:rPr>
                <w:sz w:val="28"/>
                <w:lang w:eastAsia="de-DE"/>
              </w:rPr>
              <m:t>21.4 × e</m:t>
            </m:r>
            <m:r>
              <m:rPr>
                <m:nor/>
              </m:rPr>
              <w:rPr>
                <w:sz w:val="28"/>
                <w:vertAlign w:val="subscript"/>
                <w:lang w:eastAsia="de-DE"/>
              </w:rPr>
              <m:t>0</m:t>
            </m:r>
          </m:num>
          <m:den>
            <m:rad>
              <m:radPr>
                <m:ctrlPr>
                  <w:rPr>
                    <w:rFonts w:ascii="Cambria Math" w:hAnsi="Cambria Math"/>
                    <w:i/>
                    <w:sz w:val="28"/>
                    <w:lang w:eastAsia="de-DE"/>
                  </w:rPr>
                </m:ctrlPr>
              </m:radPr>
              <m:deg>
                <m:r>
                  <m:rPr>
                    <m:nor/>
                  </m:rPr>
                  <w:rPr>
                    <w:sz w:val="28"/>
                    <w:lang w:eastAsia="de-DE"/>
                  </w:rPr>
                  <m:t>3</m:t>
                </m:r>
              </m:deg>
              <m:e>
                <m:r>
                  <m:rPr>
                    <m:nor/>
                  </m:rPr>
                  <w:rPr>
                    <w:sz w:val="28"/>
                    <w:lang w:eastAsia="de-DE"/>
                  </w:rPr>
                  <m:t>Rm</m:t>
                </m:r>
                <m:r>
                  <m:rPr>
                    <m:nor/>
                  </m:rPr>
                  <w:rPr>
                    <w:sz w:val="28"/>
                    <w:vertAlign w:val="subscript"/>
                    <w:lang w:eastAsia="de-DE"/>
                  </w:rPr>
                  <m:t>1</m:t>
                </m:r>
                <m:r>
                  <m:rPr>
                    <m:nor/>
                  </m:rPr>
                  <w:rPr>
                    <w:sz w:val="28"/>
                    <w:lang w:eastAsia="de-DE"/>
                  </w:rPr>
                  <m:t xml:space="preserve"> × A</m:t>
                </m:r>
                <m:r>
                  <m:rPr>
                    <m:nor/>
                  </m:rPr>
                  <w:rPr>
                    <w:sz w:val="28"/>
                    <w:vertAlign w:val="subscript"/>
                    <w:lang w:eastAsia="de-DE"/>
                  </w:rPr>
                  <m:t>1</m:t>
                </m:r>
              </m:e>
            </m:rad>
          </m:den>
        </m:f>
      </m:oMath>
    </w:p>
    <w:p w:rsidR="0014607A" w:rsidRDefault="0014607A" w:rsidP="0014607A">
      <w:pPr>
        <w:tabs>
          <w:tab w:val="left" w:pos="3261"/>
          <w:tab w:val="left" w:pos="3828"/>
        </w:tabs>
        <w:ind w:left="4253" w:hanging="2127"/>
        <w:rPr>
          <w:lang w:eastAsia="de-DE"/>
        </w:rPr>
      </w:pPr>
    </w:p>
    <w:p w:rsidR="00925167" w:rsidRDefault="00925167">
      <w:pPr>
        <w:suppressAutoHyphens w:val="0"/>
        <w:spacing w:line="240" w:lineRule="auto"/>
        <w:rPr>
          <w:lang w:eastAsia="de-DE"/>
        </w:rPr>
      </w:pPr>
      <w:r>
        <w:rPr>
          <w:lang w:eastAsia="de-DE"/>
        </w:rPr>
        <w:br w:type="page"/>
      </w:r>
    </w:p>
    <w:p w:rsidR="00DF1F9A" w:rsidRPr="003C3981" w:rsidRDefault="00DF1F9A" w:rsidP="00925167">
      <w:pPr>
        <w:pStyle w:val="SingleTxtG"/>
        <w:tabs>
          <w:tab w:val="left" w:pos="3544"/>
          <w:tab w:val="left" w:pos="4253"/>
        </w:tabs>
        <w:spacing w:after="0"/>
        <w:ind w:left="2693" w:hanging="992"/>
        <w:rPr>
          <w:lang w:eastAsia="de-DE"/>
        </w:rPr>
      </w:pPr>
      <w:r w:rsidRPr="003C3981">
        <w:rPr>
          <w:lang w:eastAsia="de-DE"/>
        </w:rPr>
        <w:lastRenderedPageBreak/>
        <w:t xml:space="preserve">where: </w:t>
      </w:r>
      <w:r w:rsidRPr="003C3981">
        <w:rPr>
          <w:lang w:eastAsia="de-DE"/>
        </w:rPr>
        <w:tab/>
        <w:t>e</w:t>
      </w:r>
      <w:r w:rsidRPr="0014607A">
        <w:rPr>
          <w:vertAlign w:val="subscript"/>
          <w:lang w:eastAsia="de-DE"/>
        </w:rPr>
        <w:t>1</w:t>
      </w:r>
      <w:r w:rsidRPr="003C3981">
        <w:rPr>
          <w:lang w:eastAsia="de-DE"/>
        </w:rPr>
        <w:t xml:space="preserve"> </w:t>
      </w:r>
      <w:r w:rsidR="00925167">
        <w:rPr>
          <w:lang w:eastAsia="de-DE"/>
        </w:rPr>
        <w:tab/>
      </w:r>
      <w:r w:rsidRPr="003C3981">
        <w:rPr>
          <w:lang w:eastAsia="de-DE"/>
        </w:rPr>
        <w:t xml:space="preserve">= </w:t>
      </w:r>
      <w:r w:rsidRPr="003C3981">
        <w:rPr>
          <w:lang w:eastAsia="de-DE"/>
        </w:rPr>
        <w:tab/>
        <w:t xml:space="preserve">required equivalent wall thickness of the metal to be </w:t>
      </w:r>
      <w:r w:rsidR="00925167">
        <w:rPr>
          <w:lang w:eastAsia="de-DE"/>
        </w:rPr>
        <w:tab/>
      </w:r>
      <w:r w:rsidR="00925167">
        <w:rPr>
          <w:lang w:eastAsia="de-DE"/>
        </w:rPr>
        <w:tab/>
      </w:r>
      <w:r w:rsidR="00925167">
        <w:rPr>
          <w:lang w:eastAsia="de-DE"/>
        </w:rPr>
        <w:tab/>
      </w:r>
      <w:r w:rsidRPr="003C3981">
        <w:rPr>
          <w:lang w:eastAsia="de-DE"/>
        </w:rPr>
        <w:t>used (in mm);</w:t>
      </w:r>
    </w:p>
    <w:p w:rsidR="00DF1F9A" w:rsidRPr="003C3981" w:rsidRDefault="00925167" w:rsidP="00925167">
      <w:pPr>
        <w:tabs>
          <w:tab w:val="left" w:pos="2694"/>
          <w:tab w:val="left" w:pos="3261"/>
          <w:tab w:val="left" w:pos="3544"/>
        </w:tabs>
        <w:ind w:left="4253" w:hanging="2127"/>
        <w:rPr>
          <w:lang w:eastAsia="de-DE"/>
        </w:rPr>
      </w:pPr>
      <w:r>
        <w:rPr>
          <w:lang w:eastAsia="de-DE"/>
        </w:rPr>
        <w:tab/>
      </w:r>
      <w:r w:rsidR="00DF1F9A" w:rsidRPr="003C3981">
        <w:rPr>
          <w:lang w:eastAsia="de-DE"/>
        </w:rPr>
        <w:t>e</w:t>
      </w:r>
      <w:r w:rsidR="00DF1F9A" w:rsidRPr="0014607A">
        <w:rPr>
          <w:vertAlign w:val="subscript"/>
          <w:lang w:eastAsia="de-DE"/>
        </w:rPr>
        <w:t>0</w:t>
      </w:r>
      <w:r w:rsidR="00DF1F9A" w:rsidRPr="003C3981">
        <w:rPr>
          <w:lang w:eastAsia="de-DE"/>
        </w:rPr>
        <w:t xml:space="preserve"> </w:t>
      </w:r>
      <w:r w:rsidR="0014607A">
        <w:rPr>
          <w:lang w:eastAsia="de-DE"/>
        </w:rPr>
        <w:tab/>
      </w:r>
      <w:r>
        <w:rPr>
          <w:lang w:eastAsia="de-DE"/>
        </w:rPr>
        <w:tab/>
      </w:r>
      <w:r w:rsidR="00DF1F9A" w:rsidRPr="003C3981">
        <w:rPr>
          <w:lang w:eastAsia="de-DE"/>
        </w:rPr>
        <w:t xml:space="preserve">= </w:t>
      </w:r>
      <w:r w:rsidR="00DF1F9A" w:rsidRPr="003C3981">
        <w:rPr>
          <w:lang w:eastAsia="de-DE"/>
        </w:rPr>
        <w:tab/>
        <w:t>required minimum wall thickness for the reference steel (in mm);</w:t>
      </w:r>
    </w:p>
    <w:p w:rsidR="00DF1F9A" w:rsidRPr="003C3981" w:rsidRDefault="00DF1F9A" w:rsidP="00925167">
      <w:pPr>
        <w:tabs>
          <w:tab w:val="left" w:pos="3261"/>
          <w:tab w:val="left" w:pos="3544"/>
        </w:tabs>
        <w:ind w:left="4253" w:hanging="1559"/>
        <w:rPr>
          <w:lang w:eastAsia="de-DE"/>
        </w:rPr>
      </w:pPr>
      <w:r w:rsidRPr="003C3981">
        <w:rPr>
          <w:lang w:eastAsia="de-DE"/>
        </w:rPr>
        <w:t>R</w:t>
      </w:r>
      <w:r w:rsidRPr="002C54FB">
        <w:rPr>
          <w:lang w:eastAsia="de-DE"/>
        </w:rPr>
        <w:t>m</w:t>
      </w:r>
      <w:r w:rsidRPr="0014607A">
        <w:rPr>
          <w:vertAlign w:val="subscript"/>
          <w:lang w:eastAsia="de-DE"/>
        </w:rPr>
        <w:t>1</w:t>
      </w:r>
      <w:r w:rsidRPr="003C3981">
        <w:rPr>
          <w:lang w:eastAsia="de-DE"/>
        </w:rPr>
        <w:t xml:space="preserve"> </w:t>
      </w:r>
      <w:r w:rsidR="0014607A">
        <w:rPr>
          <w:lang w:eastAsia="de-DE"/>
        </w:rPr>
        <w:tab/>
      </w:r>
      <w:r w:rsidR="00925167">
        <w:rPr>
          <w:lang w:eastAsia="de-DE"/>
        </w:rPr>
        <w:tab/>
      </w:r>
      <w:r w:rsidRPr="003C3981">
        <w:rPr>
          <w:lang w:eastAsia="de-DE"/>
        </w:rPr>
        <w:t xml:space="preserve">= </w:t>
      </w:r>
      <w:r w:rsidRPr="003C3981">
        <w:rPr>
          <w:lang w:eastAsia="de-DE"/>
        </w:rPr>
        <w:tab/>
        <w:t>guaranteed minimum tensile strength of the metal to be used (in N/</w:t>
      </w:r>
      <w:proofErr w:type="gramStart"/>
      <w:r w:rsidRPr="003C3981">
        <w:rPr>
          <w:lang w:eastAsia="de-DE"/>
        </w:rPr>
        <w:t>mm )</w:t>
      </w:r>
      <w:proofErr w:type="gramEnd"/>
      <w:r w:rsidRPr="003C3981">
        <w:rPr>
          <w:lang w:eastAsia="de-DE"/>
        </w:rPr>
        <w:t xml:space="preserve"> (see </w:t>
      </w:r>
      <w:r w:rsidR="009F6A5B" w:rsidRPr="003C3981">
        <w:rPr>
          <w:lang w:eastAsia="de-DE"/>
        </w:rPr>
        <w:t>(</w:t>
      </w:r>
      <w:r w:rsidR="004D5C8D" w:rsidRPr="003C3981">
        <w:rPr>
          <w:lang w:eastAsia="de-DE"/>
        </w:rPr>
        <w:t>c</w:t>
      </w:r>
      <w:r w:rsidR="009F6A5B" w:rsidRPr="003C3981">
        <w:rPr>
          <w:lang w:eastAsia="de-DE"/>
        </w:rPr>
        <w:t>)</w:t>
      </w:r>
      <w:r w:rsidRPr="003C3981">
        <w:rPr>
          <w:lang w:eastAsia="de-DE"/>
        </w:rPr>
        <w:t xml:space="preserve">); </w:t>
      </w:r>
    </w:p>
    <w:p w:rsidR="00DF1F9A" w:rsidRPr="003C3981" w:rsidRDefault="00DF1F9A" w:rsidP="00925167">
      <w:pPr>
        <w:tabs>
          <w:tab w:val="left" w:pos="3261"/>
          <w:tab w:val="left" w:pos="3544"/>
        </w:tabs>
        <w:ind w:left="4253" w:hanging="1559"/>
        <w:rPr>
          <w:lang w:eastAsia="de-DE"/>
        </w:rPr>
      </w:pPr>
      <w:r w:rsidRPr="003C3981">
        <w:rPr>
          <w:lang w:eastAsia="de-DE"/>
        </w:rPr>
        <w:t>A</w:t>
      </w:r>
      <w:r w:rsidRPr="0014607A">
        <w:rPr>
          <w:vertAlign w:val="subscript"/>
          <w:lang w:eastAsia="de-DE"/>
        </w:rPr>
        <w:t>1</w:t>
      </w:r>
      <w:r w:rsidRPr="003C3981">
        <w:rPr>
          <w:lang w:eastAsia="de-DE"/>
        </w:rPr>
        <w:t xml:space="preserve"> </w:t>
      </w:r>
      <w:r w:rsidR="0014607A">
        <w:rPr>
          <w:lang w:eastAsia="de-DE"/>
        </w:rPr>
        <w:tab/>
      </w:r>
      <w:r w:rsidR="00925167">
        <w:rPr>
          <w:lang w:eastAsia="de-DE"/>
        </w:rPr>
        <w:tab/>
      </w:r>
      <w:r w:rsidRPr="003C3981">
        <w:rPr>
          <w:lang w:eastAsia="de-DE"/>
        </w:rPr>
        <w:t xml:space="preserve">= </w:t>
      </w:r>
      <w:r w:rsidRPr="003C3981">
        <w:rPr>
          <w:lang w:eastAsia="de-DE"/>
        </w:rPr>
        <w:tab/>
        <w:t xml:space="preserve">minimum elongation (as a percentage) of the metal to be used on fracture under tensile stress (see </w:t>
      </w:r>
      <w:hyperlink r:id="rId9" w:anchor="6.5.5.1.5" w:history="1">
        <w:r w:rsidRPr="003C3981">
          <w:rPr>
            <w:lang w:eastAsia="de-DE"/>
          </w:rPr>
          <w:t>6.5.5.1.5</w:t>
        </w:r>
      </w:hyperlink>
      <w:r w:rsidRPr="003C3981">
        <w:rPr>
          <w:lang w:eastAsia="de-DE"/>
        </w:rPr>
        <w:t>).</w:t>
      </w:r>
    </w:p>
    <w:p w:rsidR="003F7C64" w:rsidRPr="0014607A" w:rsidRDefault="003F7C64" w:rsidP="002C54FB">
      <w:pPr>
        <w:pStyle w:val="ListParagraph"/>
        <w:rPr>
          <w:sz w:val="20"/>
          <w:szCs w:val="20"/>
          <w:lang w:val="en-GB" w:eastAsia="de-DE"/>
        </w:rPr>
      </w:pPr>
    </w:p>
    <w:p w:rsidR="00DF1F9A" w:rsidRPr="0014607A" w:rsidRDefault="0014607A" w:rsidP="0014607A">
      <w:pPr>
        <w:ind w:left="2268" w:hanging="567"/>
        <w:rPr>
          <w:lang w:eastAsia="de-DE"/>
        </w:rPr>
      </w:pPr>
      <w:r>
        <w:rPr>
          <w:lang w:eastAsia="de-DE"/>
        </w:rPr>
        <w:tab/>
      </w:r>
      <w:r w:rsidR="00DF1F9A" w:rsidRPr="0014607A">
        <w:rPr>
          <w:lang w:eastAsia="de-DE"/>
        </w:rPr>
        <w:t>However, in no case shall the wall thickness be less than 1.5 mm.</w:t>
      </w:r>
    </w:p>
    <w:p w:rsidR="00DF1F9A" w:rsidRPr="003C3981" w:rsidRDefault="00DF1F9A" w:rsidP="00DF1F9A">
      <w:pPr>
        <w:rPr>
          <w:lang w:eastAsia="de-DE"/>
        </w:rPr>
      </w:pPr>
    </w:p>
    <w:p w:rsidR="00DF1F9A" w:rsidRDefault="00DF1F9A" w:rsidP="002C54FB">
      <w:pPr>
        <w:ind w:left="2268" w:hanging="567"/>
        <w:rPr>
          <w:lang w:eastAsia="de-DE"/>
        </w:rPr>
      </w:pPr>
      <w:r w:rsidRPr="003C3981">
        <w:rPr>
          <w:lang w:eastAsia="de-DE"/>
        </w:rPr>
        <w:t>(</w:t>
      </w:r>
      <w:r w:rsidR="008E7E47" w:rsidRPr="003C3981">
        <w:rPr>
          <w:lang w:eastAsia="de-DE"/>
        </w:rPr>
        <w:t>c</w:t>
      </w:r>
      <w:r w:rsidRPr="003C3981">
        <w:rPr>
          <w:lang w:eastAsia="de-DE"/>
        </w:rPr>
        <w:t>)</w:t>
      </w:r>
      <w:r w:rsidRPr="003C3981">
        <w:rPr>
          <w:lang w:eastAsia="de-DE"/>
        </w:rPr>
        <w:tab/>
        <w:t>For purposes of the calculation described in (</w:t>
      </w:r>
      <w:r w:rsidR="008E7E47" w:rsidRPr="003C3981">
        <w:rPr>
          <w:lang w:eastAsia="de-DE"/>
        </w:rPr>
        <w:t>b</w:t>
      </w:r>
      <w:r w:rsidRPr="003C3981">
        <w:rPr>
          <w:lang w:eastAsia="de-DE"/>
        </w:rPr>
        <w:t>), the guaranteed minimum tensile strength of the metal to be used (R</w:t>
      </w:r>
      <w:r w:rsidRPr="002C54FB">
        <w:rPr>
          <w:lang w:eastAsia="de-DE"/>
        </w:rPr>
        <w:t>m</w:t>
      </w:r>
      <w:r w:rsidRPr="0014607A">
        <w:rPr>
          <w:vertAlign w:val="subscript"/>
          <w:lang w:eastAsia="de-DE"/>
        </w:rPr>
        <w:t>1</w:t>
      </w:r>
      <w:r w:rsidRPr="003C3981">
        <w:rPr>
          <w:lang w:eastAsia="de-DE"/>
        </w:rPr>
        <w:t>) shall be the minimum value according to national or international material standards. However, for austenitic steels, the specified minimum value for R</w:t>
      </w:r>
      <w:r w:rsidRPr="002C54FB">
        <w:rPr>
          <w:lang w:eastAsia="de-DE"/>
        </w:rPr>
        <w:t>m</w:t>
      </w:r>
      <w:r w:rsidRPr="003C3981">
        <w:rPr>
          <w:lang w:eastAsia="de-DE"/>
        </w:rPr>
        <w:t xml:space="preserve"> according to the material standards</w:t>
      </w:r>
      <w:r w:rsidRPr="00B46273">
        <w:rPr>
          <w:lang w:eastAsia="de-DE"/>
        </w:rPr>
        <w:t xml:space="preserve"> may be increased by up to 15% when a greater value is attested in the material inspection certificate. When no material standard exists for the material in question, the value of R</w:t>
      </w:r>
      <w:r w:rsidRPr="002C54FB">
        <w:rPr>
          <w:lang w:eastAsia="de-DE"/>
        </w:rPr>
        <w:t>m</w:t>
      </w:r>
      <w:r w:rsidRPr="00B46273">
        <w:rPr>
          <w:lang w:eastAsia="de-DE"/>
        </w:rPr>
        <w:t xml:space="preserve"> shall be the minimum value attested in the material inspection certificate</w:t>
      </w:r>
      <w:proofErr w:type="gramStart"/>
      <w:r w:rsidRPr="00B46273">
        <w:rPr>
          <w:lang w:eastAsia="de-DE"/>
        </w:rPr>
        <w:t>.”</w:t>
      </w:r>
      <w:r w:rsidR="002C54FB">
        <w:rPr>
          <w:lang w:eastAsia="de-DE"/>
        </w:rPr>
        <w:t xml:space="preserve">   </w:t>
      </w:r>
      <w:proofErr w:type="gramEnd"/>
      <w:r w:rsidRPr="00B46273">
        <w:rPr>
          <w:lang w:eastAsia="de-DE"/>
        </w:rPr>
        <w:t>]</w:t>
      </w:r>
      <w:r w:rsidR="005773A7">
        <w:rPr>
          <w:lang w:eastAsia="de-DE"/>
        </w:rPr>
        <w:t>.</w:t>
      </w:r>
    </w:p>
    <w:p w:rsidR="005773A7" w:rsidRPr="005773A7" w:rsidRDefault="005773A7" w:rsidP="005773A7">
      <w:pPr>
        <w:spacing w:before="240"/>
        <w:ind w:left="1134" w:right="1134"/>
        <w:jc w:val="center"/>
        <w:rPr>
          <w:u w:val="single"/>
          <w:lang w:eastAsia="de-DE"/>
        </w:rPr>
      </w:pPr>
      <w:r>
        <w:rPr>
          <w:u w:val="single"/>
          <w:lang w:eastAsia="de-DE"/>
        </w:rPr>
        <w:tab/>
      </w:r>
      <w:r>
        <w:rPr>
          <w:u w:val="single"/>
          <w:lang w:eastAsia="de-DE"/>
        </w:rPr>
        <w:tab/>
      </w:r>
      <w:r>
        <w:rPr>
          <w:u w:val="single"/>
          <w:lang w:eastAsia="de-DE"/>
        </w:rPr>
        <w:tab/>
      </w:r>
    </w:p>
    <w:p w:rsidR="005773A7" w:rsidRDefault="005773A7" w:rsidP="002C54FB">
      <w:pPr>
        <w:ind w:left="2268" w:hanging="567"/>
        <w:rPr>
          <w:lang w:eastAsia="de-DE"/>
        </w:rPr>
      </w:pPr>
    </w:p>
    <w:p w:rsidR="005773A7" w:rsidRDefault="005773A7" w:rsidP="002C54FB">
      <w:pPr>
        <w:ind w:left="2268" w:hanging="567"/>
        <w:rPr>
          <w:lang w:eastAsia="de-DE"/>
        </w:rPr>
      </w:pPr>
    </w:p>
    <w:p w:rsidR="005773A7" w:rsidRDefault="005773A7" w:rsidP="002C54FB">
      <w:pPr>
        <w:ind w:left="2268" w:hanging="567"/>
        <w:rPr>
          <w:lang w:eastAsia="de-DE"/>
        </w:rPr>
      </w:pPr>
    </w:p>
    <w:p w:rsidR="005773A7" w:rsidRPr="00B46273" w:rsidRDefault="005773A7" w:rsidP="002C54FB">
      <w:pPr>
        <w:ind w:left="2268" w:hanging="567"/>
        <w:rPr>
          <w:lang w:eastAsia="de-DE"/>
        </w:rPr>
      </w:pPr>
    </w:p>
    <w:p w:rsidR="006E465F" w:rsidRPr="00086E05" w:rsidRDefault="006E465F" w:rsidP="000621A4">
      <w:pPr>
        <w:pStyle w:val="SingleTxtG"/>
        <w:spacing w:after="0" w:line="240" w:lineRule="auto"/>
        <w:jc w:val="center"/>
        <w:rPr>
          <w:b/>
        </w:rPr>
      </w:pPr>
    </w:p>
    <w:sectPr w:rsidR="006E465F" w:rsidRPr="00086E05" w:rsidSect="00DC5FBA">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52B" w:rsidRDefault="0088452B"/>
  </w:endnote>
  <w:endnote w:type="continuationSeparator" w:id="0">
    <w:p w:rsidR="0088452B" w:rsidRDefault="0088452B"/>
  </w:endnote>
  <w:endnote w:type="continuationNotice" w:id="1">
    <w:p w:rsidR="0088452B" w:rsidRDefault="00884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5BD" w:rsidRPr="00DC5FBA" w:rsidRDefault="002B25BD" w:rsidP="00DC5FBA">
    <w:pPr>
      <w:pStyle w:val="Footer"/>
      <w:tabs>
        <w:tab w:val="right" w:pos="9638"/>
      </w:tabs>
      <w:rPr>
        <w:sz w:val="18"/>
      </w:rPr>
    </w:pPr>
    <w:r w:rsidRPr="00DC5FBA">
      <w:rPr>
        <w:b/>
        <w:sz w:val="18"/>
      </w:rPr>
      <w:fldChar w:fldCharType="begin"/>
    </w:r>
    <w:r w:rsidRPr="00DC5FBA">
      <w:rPr>
        <w:b/>
        <w:sz w:val="18"/>
      </w:rPr>
      <w:instrText xml:space="preserve"> PAGE  \* MERGEFORMAT </w:instrText>
    </w:r>
    <w:r w:rsidRPr="00DC5FBA">
      <w:rPr>
        <w:b/>
        <w:sz w:val="18"/>
      </w:rPr>
      <w:fldChar w:fldCharType="separate"/>
    </w:r>
    <w:r w:rsidR="0037743C">
      <w:rPr>
        <w:b/>
        <w:noProof/>
        <w:sz w:val="18"/>
      </w:rPr>
      <w:t>2</w:t>
    </w:r>
    <w:r w:rsidRPr="00DC5F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5BD" w:rsidRPr="00DC5FBA" w:rsidRDefault="002B25BD" w:rsidP="00DC5FBA">
    <w:pPr>
      <w:pStyle w:val="Footer"/>
      <w:tabs>
        <w:tab w:val="right" w:pos="9638"/>
      </w:tabs>
      <w:rPr>
        <w:b/>
        <w:sz w:val="18"/>
      </w:rPr>
    </w:pPr>
    <w:r>
      <w:tab/>
    </w:r>
    <w:r w:rsidRPr="00DC5FBA">
      <w:rPr>
        <w:b/>
        <w:sz w:val="18"/>
      </w:rPr>
      <w:fldChar w:fldCharType="begin"/>
    </w:r>
    <w:r w:rsidRPr="00DC5FBA">
      <w:rPr>
        <w:b/>
        <w:sz w:val="18"/>
      </w:rPr>
      <w:instrText xml:space="preserve"> PAGE  \* MERGEFORMAT </w:instrText>
    </w:r>
    <w:r w:rsidRPr="00DC5FBA">
      <w:rPr>
        <w:b/>
        <w:sz w:val="18"/>
      </w:rPr>
      <w:fldChar w:fldCharType="separate"/>
    </w:r>
    <w:r w:rsidR="0037743C">
      <w:rPr>
        <w:b/>
        <w:noProof/>
        <w:sz w:val="18"/>
      </w:rPr>
      <w:t>3</w:t>
    </w:r>
    <w:r w:rsidRPr="00DC5F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52B" w:rsidRPr="000B175B" w:rsidRDefault="0088452B" w:rsidP="000B175B">
      <w:pPr>
        <w:tabs>
          <w:tab w:val="right" w:pos="2155"/>
        </w:tabs>
        <w:spacing w:after="80"/>
        <w:ind w:left="680"/>
        <w:rPr>
          <w:u w:val="single"/>
        </w:rPr>
      </w:pPr>
      <w:r>
        <w:rPr>
          <w:u w:val="single"/>
        </w:rPr>
        <w:tab/>
      </w:r>
    </w:p>
  </w:footnote>
  <w:footnote w:type="continuationSeparator" w:id="0">
    <w:p w:rsidR="0088452B" w:rsidRPr="00FC68B7" w:rsidRDefault="0088452B" w:rsidP="00FC68B7">
      <w:pPr>
        <w:tabs>
          <w:tab w:val="left" w:pos="2155"/>
        </w:tabs>
        <w:spacing w:after="80"/>
        <w:ind w:left="680"/>
        <w:rPr>
          <w:u w:val="single"/>
        </w:rPr>
      </w:pPr>
      <w:r>
        <w:rPr>
          <w:u w:val="single"/>
        </w:rPr>
        <w:tab/>
      </w:r>
    </w:p>
  </w:footnote>
  <w:footnote w:type="continuationNotice" w:id="1">
    <w:p w:rsidR="0088452B" w:rsidRDefault="0088452B"/>
  </w:footnote>
  <w:footnote w:id="2">
    <w:p w:rsidR="00282C7B" w:rsidRPr="00282C7B" w:rsidRDefault="00282C7B">
      <w:pPr>
        <w:pStyle w:val="FootnoteText"/>
        <w:rPr>
          <w:szCs w:val="18"/>
          <w:lang w:val="fr-CH"/>
        </w:rPr>
      </w:pPr>
      <w:r w:rsidRPr="00282C7B">
        <w:rPr>
          <w:szCs w:val="18"/>
        </w:rPr>
        <w:tab/>
      </w:r>
      <w:r w:rsidRPr="00282C7B">
        <w:rPr>
          <w:szCs w:val="18"/>
        </w:rPr>
        <w:tab/>
      </w:r>
      <w:r w:rsidRPr="00282C7B">
        <w:rPr>
          <w:rStyle w:val="FootnoteReference"/>
          <w:szCs w:val="18"/>
        </w:rPr>
        <w:t>*</w:t>
      </w:r>
      <w:r w:rsidRPr="00282C7B">
        <w:rPr>
          <w:szCs w:val="18"/>
        </w:rPr>
        <w:t xml:space="preserve"> </w:t>
      </w:r>
      <w:r w:rsidRPr="00282C7B">
        <w:rPr>
          <w:color w:val="000000"/>
          <w:szCs w:val="18"/>
          <w:lang w:eastAsia="en-GB"/>
        </w:rPr>
        <w:t>In accordance with the programme of work of the Sub-Committee for</w:t>
      </w:r>
      <w:r w:rsidRPr="00282C7B">
        <w:rPr>
          <w:szCs w:val="18"/>
        </w:rPr>
        <w:t xml:space="preserve"> 2017–2018 approved by the Committee at its </w:t>
      </w:r>
      <w:r w:rsidRPr="00282C7B">
        <w:rPr>
          <w:rStyle w:val="Hyperlink"/>
          <w:szCs w:val="18"/>
          <w:lang w:val="en-US"/>
        </w:rPr>
        <w:t>eighth session (see ST/SG/AC.10/C.3/100, paragraph 98 and ST/SG/AC.10/44, para. 14).</w:t>
      </w:r>
    </w:p>
  </w:footnote>
  <w:footnote w:id="3">
    <w:p w:rsidR="005773A7" w:rsidRPr="005773A7" w:rsidRDefault="005773A7" w:rsidP="005773A7">
      <w:pPr>
        <w:pStyle w:val="FootnoteText"/>
        <w:tabs>
          <w:tab w:val="left" w:pos="1418"/>
        </w:tabs>
        <w:ind w:firstLine="0"/>
        <w:rPr>
          <w:lang w:val="fr-CH"/>
        </w:rPr>
      </w:pPr>
      <w:r w:rsidRPr="005773A7">
        <w:rPr>
          <w:rStyle w:val="FootnoteReference"/>
        </w:rPr>
        <w:t>1</w:t>
      </w:r>
      <w:r w:rsidRPr="005773A7">
        <w:t xml:space="preserve"> </w:t>
      </w:r>
      <w:r w:rsidRPr="005773A7">
        <w:tab/>
        <w:t>Applies only for metal IBC with a capacity of more than 1.500 litres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5BD" w:rsidRPr="00DC5FBA" w:rsidRDefault="00C52175">
    <w:pPr>
      <w:pStyle w:val="Header"/>
    </w:pPr>
    <w:r>
      <w:t>ST/SG/AC.10/C.3/2018/96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5BD" w:rsidRPr="00DC5FBA" w:rsidRDefault="003C7C4D" w:rsidP="00DC5FBA">
    <w:pPr>
      <w:pStyle w:val="Header"/>
      <w:jc w:val="right"/>
    </w:pPr>
    <w:r>
      <w:t>ST/SG/AC.10/C.3/2018/96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4D" w:rsidRDefault="003C7C4D" w:rsidP="003C7C4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105FF"/>
    <w:multiLevelType w:val="hybridMultilevel"/>
    <w:tmpl w:val="8CBC8EF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6832B5F"/>
    <w:multiLevelType w:val="hybridMultilevel"/>
    <w:tmpl w:val="0D78FB7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4850083"/>
    <w:multiLevelType w:val="hybridMultilevel"/>
    <w:tmpl w:val="7368C3AE"/>
    <w:lvl w:ilvl="0" w:tplc="B7EA1C1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64AE21CD"/>
    <w:multiLevelType w:val="hybridMultilevel"/>
    <w:tmpl w:val="C512C5AE"/>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E17F4"/>
    <w:multiLevelType w:val="hybridMultilevel"/>
    <w:tmpl w:val="6FFA4DD2"/>
    <w:lvl w:ilvl="0" w:tplc="3C32A7D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8"/>
  </w:num>
  <w:num w:numId="15">
    <w:abstractNumId w:val="20"/>
  </w:num>
  <w:num w:numId="16">
    <w:abstractNumId w:val="13"/>
  </w:num>
  <w:num w:numId="17">
    <w:abstractNumId w:val="14"/>
  </w:num>
  <w:num w:numId="18">
    <w:abstractNumId w:val="10"/>
  </w:num>
  <w:num w:numId="19">
    <w:abstractNumId w:val="16"/>
  </w:num>
  <w:num w:numId="20">
    <w:abstractNumId w:val="19"/>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1E98"/>
    <w:rsid w:val="000022B8"/>
    <w:rsid w:val="00004055"/>
    <w:rsid w:val="0000447A"/>
    <w:rsid w:val="00010840"/>
    <w:rsid w:val="00024C31"/>
    <w:rsid w:val="0002626C"/>
    <w:rsid w:val="00031A96"/>
    <w:rsid w:val="00035B55"/>
    <w:rsid w:val="00037FD8"/>
    <w:rsid w:val="0005007E"/>
    <w:rsid w:val="00050463"/>
    <w:rsid w:val="00050F6B"/>
    <w:rsid w:val="000525F0"/>
    <w:rsid w:val="000529BE"/>
    <w:rsid w:val="00055022"/>
    <w:rsid w:val="00056E40"/>
    <w:rsid w:val="000621A4"/>
    <w:rsid w:val="00062F47"/>
    <w:rsid w:val="00071BCB"/>
    <w:rsid w:val="00072C8C"/>
    <w:rsid w:val="000735FB"/>
    <w:rsid w:val="00073F59"/>
    <w:rsid w:val="00075498"/>
    <w:rsid w:val="000769AB"/>
    <w:rsid w:val="00076AEE"/>
    <w:rsid w:val="00082A50"/>
    <w:rsid w:val="00086E05"/>
    <w:rsid w:val="00086FBE"/>
    <w:rsid w:val="00091419"/>
    <w:rsid w:val="000931C0"/>
    <w:rsid w:val="000A0AE2"/>
    <w:rsid w:val="000A10F6"/>
    <w:rsid w:val="000A5DC2"/>
    <w:rsid w:val="000B175B"/>
    <w:rsid w:val="000B3A0F"/>
    <w:rsid w:val="000B458B"/>
    <w:rsid w:val="000B5B55"/>
    <w:rsid w:val="000C02F1"/>
    <w:rsid w:val="000C0BD8"/>
    <w:rsid w:val="000C170A"/>
    <w:rsid w:val="000C3866"/>
    <w:rsid w:val="000C3BF0"/>
    <w:rsid w:val="000C418D"/>
    <w:rsid w:val="000D6097"/>
    <w:rsid w:val="000D78B2"/>
    <w:rsid w:val="000E0415"/>
    <w:rsid w:val="000E2FD6"/>
    <w:rsid w:val="000F3BB9"/>
    <w:rsid w:val="0010335A"/>
    <w:rsid w:val="00110991"/>
    <w:rsid w:val="001129E5"/>
    <w:rsid w:val="00112B07"/>
    <w:rsid w:val="00117787"/>
    <w:rsid w:val="0012571F"/>
    <w:rsid w:val="00130B2B"/>
    <w:rsid w:val="00131D42"/>
    <w:rsid w:val="001329B7"/>
    <w:rsid w:val="0014310B"/>
    <w:rsid w:val="0014607A"/>
    <w:rsid w:val="00154402"/>
    <w:rsid w:val="00156497"/>
    <w:rsid w:val="001619B4"/>
    <w:rsid w:val="001633FB"/>
    <w:rsid w:val="00175FCF"/>
    <w:rsid w:val="0018709C"/>
    <w:rsid w:val="00197F0B"/>
    <w:rsid w:val="001A0D51"/>
    <w:rsid w:val="001A2909"/>
    <w:rsid w:val="001A66B1"/>
    <w:rsid w:val="001B1A57"/>
    <w:rsid w:val="001B4B04"/>
    <w:rsid w:val="001B6034"/>
    <w:rsid w:val="001B648B"/>
    <w:rsid w:val="001B7C3D"/>
    <w:rsid w:val="001C3AC6"/>
    <w:rsid w:val="001C4EB5"/>
    <w:rsid w:val="001C6663"/>
    <w:rsid w:val="001C7895"/>
    <w:rsid w:val="001D26DF"/>
    <w:rsid w:val="001D2FDC"/>
    <w:rsid w:val="001E18F2"/>
    <w:rsid w:val="001E3F4D"/>
    <w:rsid w:val="001E5702"/>
    <w:rsid w:val="001F523D"/>
    <w:rsid w:val="00202290"/>
    <w:rsid w:val="00204D75"/>
    <w:rsid w:val="00206E5D"/>
    <w:rsid w:val="00211E0B"/>
    <w:rsid w:val="002213FA"/>
    <w:rsid w:val="00223C0B"/>
    <w:rsid w:val="0022446F"/>
    <w:rsid w:val="002262D3"/>
    <w:rsid w:val="002309A7"/>
    <w:rsid w:val="002311E4"/>
    <w:rsid w:val="0023606E"/>
    <w:rsid w:val="00236A4F"/>
    <w:rsid w:val="00237785"/>
    <w:rsid w:val="002413A9"/>
    <w:rsid w:val="00241466"/>
    <w:rsid w:val="00243E97"/>
    <w:rsid w:val="00245649"/>
    <w:rsid w:val="00253374"/>
    <w:rsid w:val="00262A99"/>
    <w:rsid w:val="00262A9C"/>
    <w:rsid w:val="00270110"/>
    <w:rsid w:val="00271583"/>
    <w:rsid w:val="00271844"/>
    <w:rsid w:val="002725CA"/>
    <w:rsid w:val="00275A38"/>
    <w:rsid w:val="00276796"/>
    <w:rsid w:val="00280EB7"/>
    <w:rsid w:val="0028213B"/>
    <w:rsid w:val="00282C7B"/>
    <w:rsid w:val="00284D6E"/>
    <w:rsid w:val="00293698"/>
    <w:rsid w:val="002974D7"/>
    <w:rsid w:val="002B1CDA"/>
    <w:rsid w:val="002B25BD"/>
    <w:rsid w:val="002B6251"/>
    <w:rsid w:val="002B757F"/>
    <w:rsid w:val="002C194E"/>
    <w:rsid w:val="002C54FB"/>
    <w:rsid w:val="002C56EC"/>
    <w:rsid w:val="002C638D"/>
    <w:rsid w:val="002E7020"/>
    <w:rsid w:val="002F315B"/>
    <w:rsid w:val="00302A0A"/>
    <w:rsid w:val="00306C2D"/>
    <w:rsid w:val="003107FA"/>
    <w:rsid w:val="00311FE0"/>
    <w:rsid w:val="00320656"/>
    <w:rsid w:val="003229D8"/>
    <w:rsid w:val="00325900"/>
    <w:rsid w:val="00347C44"/>
    <w:rsid w:val="00347CF7"/>
    <w:rsid w:val="00350C40"/>
    <w:rsid w:val="00354745"/>
    <w:rsid w:val="00360CB6"/>
    <w:rsid w:val="00361AD3"/>
    <w:rsid w:val="00364DED"/>
    <w:rsid w:val="00366A4C"/>
    <w:rsid w:val="0037127D"/>
    <w:rsid w:val="0037256A"/>
    <w:rsid w:val="0037743C"/>
    <w:rsid w:val="0037785D"/>
    <w:rsid w:val="00380528"/>
    <w:rsid w:val="00380FDA"/>
    <w:rsid w:val="0038171E"/>
    <w:rsid w:val="00387391"/>
    <w:rsid w:val="0039277A"/>
    <w:rsid w:val="003940C7"/>
    <w:rsid w:val="00396594"/>
    <w:rsid w:val="003972E0"/>
    <w:rsid w:val="00397A19"/>
    <w:rsid w:val="003A06AC"/>
    <w:rsid w:val="003A0AB7"/>
    <w:rsid w:val="003A48CE"/>
    <w:rsid w:val="003A5CAB"/>
    <w:rsid w:val="003A6BFE"/>
    <w:rsid w:val="003B0387"/>
    <w:rsid w:val="003B4B4A"/>
    <w:rsid w:val="003B64AB"/>
    <w:rsid w:val="003C25F6"/>
    <w:rsid w:val="003C2675"/>
    <w:rsid w:val="003C2CC4"/>
    <w:rsid w:val="003C3981"/>
    <w:rsid w:val="003C7C4D"/>
    <w:rsid w:val="003D4B23"/>
    <w:rsid w:val="003D7EF0"/>
    <w:rsid w:val="003E5E80"/>
    <w:rsid w:val="003F1EDB"/>
    <w:rsid w:val="003F7C64"/>
    <w:rsid w:val="0040525B"/>
    <w:rsid w:val="00413F10"/>
    <w:rsid w:val="00421257"/>
    <w:rsid w:val="00425157"/>
    <w:rsid w:val="0043014F"/>
    <w:rsid w:val="004325CB"/>
    <w:rsid w:val="00437F3F"/>
    <w:rsid w:val="00445784"/>
    <w:rsid w:val="00446DE4"/>
    <w:rsid w:val="00454036"/>
    <w:rsid w:val="00457028"/>
    <w:rsid w:val="00463344"/>
    <w:rsid w:val="00470E15"/>
    <w:rsid w:val="004728A0"/>
    <w:rsid w:val="004832A0"/>
    <w:rsid w:val="00495374"/>
    <w:rsid w:val="00495F71"/>
    <w:rsid w:val="00496AEF"/>
    <w:rsid w:val="004A03CB"/>
    <w:rsid w:val="004A6148"/>
    <w:rsid w:val="004B2C9D"/>
    <w:rsid w:val="004B4C10"/>
    <w:rsid w:val="004C00F7"/>
    <w:rsid w:val="004C0D0C"/>
    <w:rsid w:val="004C194A"/>
    <w:rsid w:val="004C3287"/>
    <w:rsid w:val="004C743D"/>
    <w:rsid w:val="004D1C72"/>
    <w:rsid w:val="004D21A2"/>
    <w:rsid w:val="004D3644"/>
    <w:rsid w:val="004D4C08"/>
    <w:rsid w:val="004D5C50"/>
    <w:rsid w:val="004D5C8D"/>
    <w:rsid w:val="004E51FB"/>
    <w:rsid w:val="004F42F4"/>
    <w:rsid w:val="00500F53"/>
    <w:rsid w:val="00503B9C"/>
    <w:rsid w:val="0051325D"/>
    <w:rsid w:val="00517A3F"/>
    <w:rsid w:val="005208B0"/>
    <w:rsid w:val="00522955"/>
    <w:rsid w:val="00527910"/>
    <w:rsid w:val="0053137D"/>
    <w:rsid w:val="00534DA8"/>
    <w:rsid w:val="005355DB"/>
    <w:rsid w:val="00535BE9"/>
    <w:rsid w:val="005420F2"/>
    <w:rsid w:val="00542679"/>
    <w:rsid w:val="0054581D"/>
    <w:rsid w:val="00550B3B"/>
    <w:rsid w:val="00554BEC"/>
    <w:rsid w:val="00556634"/>
    <w:rsid w:val="005616F9"/>
    <w:rsid w:val="005634A1"/>
    <w:rsid w:val="005773A7"/>
    <w:rsid w:val="00590144"/>
    <w:rsid w:val="00595232"/>
    <w:rsid w:val="005A04AB"/>
    <w:rsid w:val="005A4D8F"/>
    <w:rsid w:val="005B3DB3"/>
    <w:rsid w:val="005B72E0"/>
    <w:rsid w:val="005C6031"/>
    <w:rsid w:val="005D5296"/>
    <w:rsid w:val="005E7F35"/>
    <w:rsid w:val="006014D2"/>
    <w:rsid w:val="006030ED"/>
    <w:rsid w:val="0060312E"/>
    <w:rsid w:val="00606BD8"/>
    <w:rsid w:val="00611FC4"/>
    <w:rsid w:val="00615E0D"/>
    <w:rsid w:val="006176FB"/>
    <w:rsid w:val="006201D7"/>
    <w:rsid w:val="0063419C"/>
    <w:rsid w:val="0064066C"/>
    <w:rsid w:val="00640B26"/>
    <w:rsid w:val="00642067"/>
    <w:rsid w:val="006475E4"/>
    <w:rsid w:val="006500BA"/>
    <w:rsid w:val="00650DBA"/>
    <w:rsid w:val="0065566D"/>
    <w:rsid w:val="006624E5"/>
    <w:rsid w:val="00672DB7"/>
    <w:rsid w:val="006804E7"/>
    <w:rsid w:val="00681546"/>
    <w:rsid w:val="0068184D"/>
    <w:rsid w:val="00684E8C"/>
    <w:rsid w:val="00687F78"/>
    <w:rsid w:val="00694F8E"/>
    <w:rsid w:val="006A7392"/>
    <w:rsid w:val="006B77E8"/>
    <w:rsid w:val="006C0D34"/>
    <w:rsid w:val="006C1058"/>
    <w:rsid w:val="006C1CA0"/>
    <w:rsid w:val="006C3B18"/>
    <w:rsid w:val="006C7E11"/>
    <w:rsid w:val="006D247B"/>
    <w:rsid w:val="006D25BA"/>
    <w:rsid w:val="006D5191"/>
    <w:rsid w:val="006E465F"/>
    <w:rsid w:val="006E564B"/>
    <w:rsid w:val="006E6FBD"/>
    <w:rsid w:val="006F48B2"/>
    <w:rsid w:val="0070374C"/>
    <w:rsid w:val="007062C1"/>
    <w:rsid w:val="00712457"/>
    <w:rsid w:val="00725848"/>
    <w:rsid w:val="0072632A"/>
    <w:rsid w:val="00741915"/>
    <w:rsid w:val="007454D7"/>
    <w:rsid w:val="00753201"/>
    <w:rsid w:val="007532B1"/>
    <w:rsid w:val="007612E0"/>
    <w:rsid w:val="007664BA"/>
    <w:rsid w:val="007665DE"/>
    <w:rsid w:val="007810B9"/>
    <w:rsid w:val="007824AC"/>
    <w:rsid w:val="00790791"/>
    <w:rsid w:val="00790A0A"/>
    <w:rsid w:val="007A056E"/>
    <w:rsid w:val="007A331B"/>
    <w:rsid w:val="007A4DA4"/>
    <w:rsid w:val="007A5095"/>
    <w:rsid w:val="007A6C3C"/>
    <w:rsid w:val="007B446D"/>
    <w:rsid w:val="007B6BA5"/>
    <w:rsid w:val="007B6FE6"/>
    <w:rsid w:val="007C3390"/>
    <w:rsid w:val="007C3A5C"/>
    <w:rsid w:val="007C4F4B"/>
    <w:rsid w:val="007C584E"/>
    <w:rsid w:val="007C744E"/>
    <w:rsid w:val="007D0BD8"/>
    <w:rsid w:val="007D71CB"/>
    <w:rsid w:val="007F1932"/>
    <w:rsid w:val="007F6611"/>
    <w:rsid w:val="00802578"/>
    <w:rsid w:val="00803CCB"/>
    <w:rsid w:val="00805763"/>
    <w:rsid w:val="008124A5"/>
    <w:rsid w:val="008140B9"/>
    <w:rsid w:val="00815697"/>
    <w:rsid w:val="008174EA"/>
    <w:rsid w:val="008175E9"/>
    <w:rsid w:val="00823591"/>
    <w:rsid w:val="00823C77"/>
    <w:rsid w:val="008242D7"/>
    <w:rsid w:val="00830433"/>
    <w:rsid w:val="00834556"/>
    <w:rsid w:val="00834EF6"/>
    <w:rsid w:val="00844393"/>
    <w:rsid w:val="00853C3D"/>
    <w:rsid w:val="00861ACC"/>
    <w:rsid w:val="0086225F"/>
    <w:rsid w:val="008658DD"/>
    <w:rsid w:val="00871FD5"/>
    <w:rsid w:val="00874909"/>
    <w:rsid w:val="00874B2D"/>
    <w:rsid w:val="00874C3C"/>
    <w:rsid w:val="0088452B"/>
    <w:rsid w:val="00885E87"/>
    <w:rsid w:val="00887B65"/>
    <w:rsid w:val="00895399"/>
    <w:rsid w:val="008979B1"/>
    <w:rsid w:val="008A0644"/>
    <w:rsid w:val="008A1350"/>
    <w:rsid w:val="008A29F7"/>
    <w:rsid w:val="008A2F46"/>
    <w:rsid w:val="008A6B25"/>
    <w:rsid w:val="008A6C4F"/>
    <w:rsid w:val="008B0276"/>
    <w:rsid w:val="008C126B"/>
    <w:rsid w:val="008C3E44"/>
    <w:rsid w:val="008C4A16"/>
    <w:rsid w:val="008C7850"/>
    <w:rsid w:val="008D16EF"/>
    <w:rsid w:val="008D59C9"/>
    <w:rsid w:val="008E0E46"/>
    <w:rsid w:val="008E3D84"/>
    <w:rsid w:val="008E7E47"/>
    <w:rsid w:val="008F29B9"/>
    <w:rsid w:val="008F7AC8"/>
    <w:rsid w:val="009019F7"/>
    <w:rsid w:val="00910C89"/>
    <w:rsid w:val="00911B89"/>
    <w:rsid w:val="009142A0"/>
    <w:rsid w:val="00916F49"/>
    <w:rsid w:val="00921A36"/>
    <w:rsid w:val="00925167"/>
    <w:rsid w:val="009311A9"/>
    <w:rsid w:val="00931677"/>
    <w:rsid w:val="009338EE"/>
    <w:rsid w:val="00936B1A"/>
    <w:rsid w:val="00940479"/>
    <w:rsid w:val="00945A5D"/>
    <w:rsid w:val="0095794D"/>
    <w:rsid w:val="0096189B"/>
    <w:rsid w:val="00963CBA"/>
    <w:rsid w:val="009641B6"/>
    <w:rsid w:val="00971136"/>
    <w:rsid w:val="00987EBF"/>
    <w:rsid w:val="0099124E"/>
    <w:rsid w:val="00991261"/>
    <w:rsid w:val="00992803"/>
    <w:rsid w:val="009967A1"/>
    <w:rsid w:val="00996DEB"/>
    <w:rsid w:val="009A0B38"/>
    <w:rsid w:val="009A2467"/>
    <w:rsid w:val="009A520F"/>
    <w:rsid w:val="009A5F28"/>
    <w:rsid w:val="009A6D43"/>
    <w:rsid w:val="009B047B"/>
    <w:rsid w:val="009B0652"/>
    <w:rsid w:val="009B0E6D"/>
    <w:rsid w:val="009B4ED5"/>
    <w:rsid w:val="009B7DF8"/>
    <w:rsid w:val="009C01E2"/>
    <w:rsid w:val="009C086A"/>
    <w:rsid w:val="009C3671"/>
    <w:rsid w:val="009C57DA"/>
    <w:rsid w:val="009C584B"/>
    <w:rsid w:val="009D0389"/>
    <w:rsid w:val="009D688C"/>
    <w:rsid w:val="009E2BD1"/>
    <w:rsid w:val="009F0F06"/>
    <w:rsid w:val="009F19A8"/>
    <w:rsid w:val="009F6A5B"/>
    <w:rsid w:val="009F7F2C"/>
    <w:rsid w:val="00A04323"/>
    <w:rsid w:val="00A07128"/>
    <w:rsid w:val="00A1427D"/>
    <w:rsid w:val="00A14F60"/>
    <w:rsid w:val="00A16A89"/>
    <w:rsid w:val="00A16D82"/>
    <w:rsid w:val="00A17144"/>
    <w:rsid w:val="00A239AB"/>
    <w:rsid w:val="00A33C32"/>
    <w:rsid w:val="00A37D91"/>
    <w:rsid w:val="00A43275"/>
    <w:rsid w:val="00A46DBF"/>
    <w:rsid w:val="00A57926"/>
    <w:rsid w:val="00A60306"/>
    <w:rsid w:val="00A6224F"/>
    <w:rsid w:val="00A6285D"/>
    <w:rsid w:val="00A63075"/>
    <w:rsid w:val="00A6316B"/>
    <w:rsid w:val="00A72F22"/>
    <w:rsid w:val="00A748A6"/>
    <w:rsid w:val="00A7547B"/>
    <w:rsid w:val="00A75EC9"/>
    <w:rsid w:val="00A80B7C"/>
    <w:rsid w:val="00A845C5"/>
    <w:rsid w:val="00A879A4"/>
    <w:rsid w:val="00A92067"/>
    <w:rsid w:val="00A9428E"/>
    <w:rsid w:val="00AA090A"/>
    <w:rsid w:val="00AA2598"/>
    <w:rsid w:val="00AA5856"/>
    <w:rsid w:val="00AB52ED"/>
    <w:rsid w:val="00AB6E64"/>
    <w:rsid w:val="00AC518F"/>
    <w:rsid w:val="00AD2541"/>
    <w:rsid w:val="00AE0568"/>
    <w:rsid w:val="00AE54F4"/>
    <w:rsid w:val="00AF3717"/>
    <w:rsid w:val="00AF4BE4"/>
    <w:rsid w:val="00B01D9C"/>
    <w:rsid w:val="00B062A6"/>
    <w:rsid w:val="00B1096F"/>
    <w:rsid w:val="00B153B2"/>
    <w:rsid w:val="00B30179"/>
    <w:rsid w:val="00B31ADE"/>
    <w:rsid w:val="00B3317B"/>
    <w:rsid w:val="00B343A7"/>
    <w:rsid w:val="00B44382"/>
    <w:rsid w:val="00B446CD"/>
    <w:rsid w:val="00B44CE7"/>
    <w:rsid w:val="00B45F43"/>
    <w:rsid w:val="00B46273"/>
    <w:rsid w:val="00B50E5A"/>
    <w:rsid w:val="00B5642E"/>
    <w:rsid w:val="00B6001B"/>
    <w:rsid w:val="00B61806"/>
    <w:rsid w:val="00B6429F"/>
    <w:rsid w:val="00B710FA"/>
    <w:rsid w:val="00B73FEA"/>
    <w:rsid w:val="00B75701"/>
    <w:rsid w:val="00B81E12"/>
    <w:rsid w:val="00B9284E"/>
    <w:rsid w:val="00B93068"/>
    <w:rsid w:val="00B93C47"/>
    <w:rsid w:val="00B96C70"/>
    <w:rsid w:val="00BA1D7B"/>
    <w:rsid w:val="00BA2FED"/>
    <w:rsid w:val="00BA5A48"/>
    <w:rsid w:val="00BB2B9D"/>
    <w:rsid w:val="00BC311A"/>
    <w:rsid w:val="00BC46ED"/>
    <w:rsid w:val="00BC498D"/>
    <w:rsid w:val="00BC5429"/>
    <w:rsid w:val="00BC74E9"/>
    <w:rsid w:val="00BD2499"/>
    <w:rsid w:val="00BD3B70"/>
    <w:rsid w:val="00BE3C13"/>
    <w:rsid w:val="00BE618E"/>
    <w:rsid w:val="00BF7A1A"/>
    <w:rsid w:val="00C00CD3"/>
    <w:rsid w:val="00C02B2A"/>
    <w:rsid w:val="00C10493"/>
    <w:rsid w:val="00C16149"/>
    <w:rsid w:val="00C17DB1"/>
    <w:rsid w:val="00C21703"/>
    <w:rsid w:val="00C279E5"/>
    <w:rsid w:val="00C302B4"/>
    <w:rsid w:val="00C36BD9"/>
    <w:rsid w:val="00C41106"/>
    <w:rsid w:val="00C4315F"/>
    <w:rsid w:val="00C463DD"/>
    <w:rsid w:val="00C52175"/>
    <w:rsid w:val="00C56BF7"/>
    <w:rsid w:val="00C622ED"/>
    <w:rsid w:val="00C62F76"/>
    <w:rsid w:val="00C6321A"/>
    <w:rsid w:val="00C64979"/>
    <w:rsid w:val="00C71249"/>
    <w:rsid w:val="00C745C3"/>
    <w:rsid w:val="00C75FFB"/>
    <w:rsid w:val="00C76ADF"/>
    <w:rsid w:val="00C833AA"/>
    <w:rsid w:val="00C8384C"/>
    <w:rsid w:val="00C918F4"/>
    <w:rsid w:val="00C9252C"/>
    <w:rsid w:val="00CB4BB2"/>
    <w:rsid w:val="00CB54F7"/>
    <w:rsid w:val="00CC04D5"/>
    <w:rsid w:val="00CC12CC"/>
    <w:rsid w:val="00CC2702"/>
    <w:rsid w:val="00CC78A6"/>
    <w:rsid w:val="00CD3225"/>
    <w:rsid w:val="00CD64B5"/>
    <w:rsid w:val="00CD7976"/>
    <w:rsid w:val="00CD7A0A"/>
    <w:rsid w:val="00CE0C92"/>
    <w:rsid w:val="00CE12A9"/>
    <w:rsid w:val="00CE4A8F"/>
    <w:rsid w:val="00CE6425"/>
    <w:rsid w:val="00CE729A"/>
    <w:rsid w:val="00CF3CBA"/>
    <w:rsid w:val="00D11267"/>
    <w:rsid w:val="00D158B7"/>
    <w:rsid w:val="00D201FD"/>
    <w:rsid w:val="00D2031B"/>
    <w:rsid w:val="00D20EF4"/>
    <w:rsid w:val="00D25FE2"/>
    <w:rsid w:val="00D30E58"/>
    <w:rsid w:val="00D31317"/>
    <w:rsid w:val="00D34C69"/>
    <w:rsid w:val="00D430D3"/>
    <w:rsid w:val="00D43252"/>
    <w:rsid w:val="00D44D4B"/>
    <w:rsid w:val="00D65404"/>
    <w:rsid w:val="00D70410"/>
    <w:rsid w:val="00D70BC8"/>
    <w:rsid w:val="00D753D8"/>
    <w:rsid w:val="00D75DBB"/>
    <w:rsid w:val="00D80A99"/>
    <w:rsid w:val="00D8199A"/>
    <w:rsid w:val="00D96CC5"/>
    <w:rsid w:val="00D978C6"/>
    <w:rsid w:val="00DA5F0B"/>
    <w:rsid w:val="00DA67AD"/>
    <w:rsid w:val="00DB0028"/>
    <w:rsid w:val="00DB0CF8"/>
    <w:rsid w:val="00DC507C"/>
    <w:rsid w:val="00DC5FBA"/>
    <w:rsid w:val="00DD7AB1"/>
    <w:rsid w:val="00DE6BC8"/>
    <w:rsid w:val="00DF1F9A"/>
    <w:rsid w:val="00DF2772"/>
    <w:rsid w:val="00DF599B"/>
    <w:rsid w:val="00E00137"/>
    <w:rsid w:val="00E02013"/>
    <w:rsid w:val="00E05128"/>
    <w:rsid w:val="00E130AB"/>
    <w:rsid w:val="00E15E32"/>
    <w:rsid w:val="00E176AE"/>
    <w:rsid w:val="00E241E1"/>
    <w:rsid w:val="00E2585F"/>
    <w:rsid w:val="00E31D55"/>
    <w:rsid w:val="00E34130"/>
    <w:rsid w:val="00E34A0F"/>
    <w:rsid w:val="00E45799"/>
    <w:rsid w:val="00E45EA8"/>
    <w:rsid w:val="00E46C83"/>
    <w:rsid w:val="00E5268C"/>
    <w:rsid w:val="00E5433D"/>
    <w:rsid w:val="00E549B7"/>
    <w:rsid w:val="00E5644E"/>
    <w:rsid w:val="00E56917"/>
    <w:rsid w:val="00E617AA"/>
    <w:rsid w:val="00E631DD"/>
    <w:rsid w:val="00E6387D"/>
    <w:rsid w:val="00E653B2"/>
    <w:rsid w:val="00E6613D"/>
    <w:rsid w:val="00E701BF"/>
    <w:rsid w:val="00E7260F"/>
    <w:rsid w:val="00E75CE7"/>
    <w:rsid w:val="00E77EB3"/>
    <w:rsid w:val="00E83E61"/>
    <w:rsid w:val="00E84943"/>
    <w:rsid w:val="00E84DCC"/>
    <w:rsid w:val="00E8535A"/>
    <w:rsid w:val="00E858B7"/>
    <w:rsid w:val="00E9059B"/>
    <w:rsid w:val="00E96630"/>
    <w:rsid w:val="00EA772F"/>
    <w:rsid w:val="00EB0465"/>
    <w:rsid w:val="00EB1EC4"/>
    <w:rsid w:val="00EB2713"/>
    <w:rsid w:val="00EB3D6D"/>
    <w:rsid w:val="00EB5B36"/>
    <w:rsid w:val="00EB6832"/>
    <w:rsid w:val="00EC702A"/>
    <w:rsid w:val="00ED110A"/>
    <w:rsid w:val="00ED3645"/>
    <w:rsid w:val="00ED7A2A"/>
    <w:rsid w:val="00EE5771"/>
    <w:rsid w:val="00EF1D7F"/>
    <w:rsid w:val="00F11B37"/>
    <w:rsid w:val="00F14AAA"/>
    <w:rsid w:val="00F14D34"/>
    <w:rsid w:val="00F16818"/>
    <w:rsid w:val="00F23A8E"/>
    <w:rsid w:val="00F32F4E"/>
    <w:rsid w:val="00F377F6"/>
    <w:rsid w:val="00F40E75"/>
    <w:rsid w:val="00F435E0"/>
    <w:rsid w:val="00F45BD8"/>
    <w:rsid w:val="00F518F7"/>
    <w:rsid w:val="00F532F9"/>
    <w:rsid w:val="00F54674"/>
    <w:rsid w:val="00F645B4"/>
    <w:rsid w:val="00F67CD0"/>
    <w:rsid w:val="00F711DA"/>
    <w:rsid w:val="00F7172C"/>
    <w:rsid w:val="00F729F2"/>
    <w:rsid w:val="00F778FA"/>
    <w:rsid w:val="00F82DD7"/>
    <w:rsid w:val="00F8442F"/>
    <w:rsid w:val="00F85DBE"/>
    <w:rsid w:val="00F94A93"/>
    <w:rsid w:val="00FB47CF"/>
    <w:rsid w:val="00FC495C"/>
    <w:rsid w:val="00FC5F7F"/>
    <w:rsid w:val="00FC68B7"/>
    <w:rsid w:val="00FD3622"/>
    <w:rsid w:val="00FD3CF2"/>
    <w:rsid w:val="00FD6B2B"/>
    <w:rsid w:val="00FE01EF"/>
    <w:rsid w:val="00FF03BB"/>
    <w:rsid w:val="00FF6BBB"/>
    <w:rsid w:val="00FF751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B7ADA84"/>
  <w15:docId w15:val="{2EF9DEB3-C03A-48C1-91E4-9080C9E8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qFormat/>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H1GChar">
    <w:name w:val="_ H_1_G Char"/>
    <w:link w:val="H1G"/>
    <w:rsid w:val="003F1EDB"/>
    <w:rPr>
      <w:b/>
      <w:sz w:val="24"/>
      <w:lang w:val="en-GB" w:eastAsia="en-US"/>
    </w:rPr>
  </w:style>
  <w:style w:type="paragraph" w:styleId="BalloonText">
    <w:name w:val="Balloon Text"/>
    <w:basedOn w:val="Normal"/>
    <w:link w:val="BalloonTextChar"/>
    <w:rsid w:val="007A5095"/>
    <w:pPr>
      <w:spacing w:line="240" w:lineRule="auto"/>
    </w:pPr>
    <w:rPr>
      <w:rFonts w:ascii="Tahoma" w:hAnsi="Tahoma"/>
      <w:sz w:val="16"/>
      <w:szCs w:val="16"/>
    </w:rPr>
  </w:style>
  <w:style w:type="character" w:customStyle="1" w:styleId="BalloonTextChar">
    <w:name w:val="Balloon Text Char"/>
    <w:link w:val="BalloonText"/>
    <w:rsid w:val="007A5095"/>
    <w:rPr>
      <w:rFonts w:ascii="Tahoma" w:hAnsi="Tahoma" w:cs="Tahoma"/>
      <w:sz w:val="16"/>
      <w:szCs w:val="16"/>
      <w:lang w:val="en-GB" w:eastAsia="en-US"/>
    </w:rPr>
  </w:style>
  <w:style w:type="paragraph" w:styleId="Revision">
    <w:name w:val="Revision"/>
    <w:hidden/>
    <w:uiPriority w:val="99"/>
    <w:semiHidden/>
    <w:rsid w:val="00D75DBB"/>
    <w:rPr>
      <w:lang w:val="en-GB" w:eastAsia="en-US"/>
    </w:rPr>
  </w:style>
  <w:style w:type="paragraph" w:styleId="CommentSubject">
    <w:name w:val="annotation subject"/>
    <w:basedOn w:val="CommentText"/>
    <w:next w:val="CommentText"/>
    <w:link w:val="CommentSubjectChar"/>
    <w:rsid w:val="009311A9"/>
    <w:rPr>
      <w:b/>
      <w:bCs/>
    </w:rPr>
  </w:style>
  <w:style w:type="character" w:customStyle="1" w:styleId="CommentTextChar">
    <w:name w:val="Comment Text Char"/>
    <w:link w:val="CommentText"/>
    <w:semiHidden/>
    <w:rsid w:val="009311A9"/>
    <w:rPr>
      <w:lang w:eastAsia="en-US"/>
    </w:rPr>
  </w:style>
  <w:style w:type="character" w:customStyle="1" w:styleId="CommentSubjectChar">
    <w:name w:val="Comment Subject Char"/>
    <w:link w:val="CommentSubject"/>
    <w:rsid w:val="009311A9"/>
    <w:rPr>
      <w:b/>
      <w:bCs/>
      <w:lang w:eastAsia="en-US"/>
    </w:rPr>
  </w:style>
  <w:style w:type="character" w:styleId="PlaceholderText">
    <w:name w:val="Placeholder Text"/>
    <w:uiPriority w:val="99"/>
    <w:semiHidden/>
    <w:rsid w:val="00500F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417">
      <w:bodyDiv w:val="1"/>
      <w:marLeft w:val="0"/>
      <w:marRight w:val="0"/>
      <w:marTop w:val="0"/>
      <w:marBottom w:val="0"/>
      <w:divBdr>
        <w:top w:val="none" w:sz="0" w:space="0" w:color="auto"/>
        <w:left w:val="none" w:sz="0" w:space="0" w:color="auto"/>
        <w:bottom w:val="none" w:sz="0" w:space="0" w:color="auto"/>
        <w:right w:val="none" w:sz="0" w:space="0" w:color="auto"/>
      </w:divBdr>
      <w:divsChild>
        <w:div w:id="171263444">
          <w:marLeft w:val="0"/>
          <w:marRight w:val="0"/>
          <w:marTop w:val="0"/>
          <w:marBottom w:val="0"/>
          <w:divBdr>
            <w:top w:val="none" w:sz="0" w:space="0" w:color="auto"/>
            <w:left w:val="none" w:sz="0" w:space="0" w:color="auto"/>
            <w:bottom w:val="none" w:sz="0" w:space="0" w:color="auto"/>
            <w:right w:val="none" w:sz="0" w:space="0" w:color="auto"/>
          </w:divBdr>
        </w:div>
      </w:divsChild>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436902460">
      <w:bodyDiv w:val="1"/>
      <w:marLeft w:val="0"/>
      <w:marRight w:val="0"/>
      <w:marTop w:val="0"/>
      <w:marBottom w:val="0"/>
      <w:divBdr>
        <w:top w:val="none" w:sz="0" w:space="0" w:color="auto"/>
        <w:left w:val="none" w:sz="0" w:space="0" w:color="auto"/>
        <w:bottom w:val="none" w:sz="0" w:space="0" w:color="auto"/>
        <w:right w:val="none" w:sz="0" w:space="0" w:color="auto"/>
      </w:divBdr>
      <w:divsChild>
        <w:div w:id="1329676081">
          <w:marLeft w:val="0"/>
          <w:marRight w:val="0"/>
          <w:marTop w:val="0"/>
          <w:marBottom w:val="0"/>
          <w:divBdr>
            <w:top w:val="none" w:sz="0" w:space="0" w:color="auto"/>
            <w:left w:val="none" w:sz="0" w:space="0" w:color="auto"/>
            <w:bottom w:val="none" w:sz="0" w:space="0" w:color="auto"/>
            <w:right w:val="none" w:sz="0" w:space="0" w:color="auto"/>
          </w:divBdr>
        </w:div>
      </w:divsChild>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476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neatlantic.ca/chapter/6.5/"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ABEB-212C-4FB9-9074-54D070B2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1174</Words>
  <Characters>5789</Characters>
  <Application>Microsoft Office Word</Application>
  <DocSecurity>0</DocSecurity>
  <Lines>222</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6821</CharactersWithSpaces>
  <SharedDoc>false</SharedDoc>
  <HLinks>
    <vt:vector size="6" baseType="variant">
      <vt:variant>
        <vt:i4>3670132</vt:i4>
      </vt:variant>
      <vt:variant>
        <vt:i4>3</vt:i4>
      </vt:variant>
      <vt:variant>
        <vt:i4>0</vt:i4>
      </vt:variant>
      <vt:variant>
        <vt:i4>5</vt:i4>
      </vt:variant>
      <vt:variant>
        <vt:lpwstr>https://www.marineatlantic.ca/chapter/6.5/</vt:lpwstr>
      </vt:variant>
      <vt:variant>
        <vt:lpwstr>6.5.5.1.5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12</cp:revision>
  <cp:lastPrinted>2018-09-07T10:02:00Z</cp:lastPrinted>
  <dcterms:created xsi:type="dcterms:W3CDTF">2018-08-30T13:57:00Z</dcterms:created>
  <dcterms:modified xsi:type="dcterms:W3CDTF">2018-09-07T10:02:00Z</dcterms:modified>
</cp:coreProperties>
</file>