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46FD6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846F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46FD6" w:rsidRPr="00846FD6" w:rsidRDefault="00846FD6" w:rsidP="00846FD6">
            <w:pPr>
              <w:jc w:val="right"/>
              <w:rPr>
                <w:lang w:val="en-US"/>
              </w:rPr>
            </w:pPr>
            <w:r w:rsidRPr="00846FD6">
              <w:rPr>
                <w:sz w:val="40"/>
                <w:lang w:val="en-US"/>
              </w:rPr>
              <w:t>ST</w:t>
            </w:r>
            <w:r w:rsidRPr="00846FD6">
              <w:rPr>
                <w:lang w:val="en-US"/>
              </w:rPr>
              <w:t>/SG/AC.10/C.3/2018/81−</w:t>
            </w:r>
            <w:r w:rsidRPr="00846FD6">
              <w:rPr>
                <w:sz w:val="40"/>
                <w:lang w:val="en-US"/>
              </w:rPr>
              <w:t>ST</w:t>
            </w:r>
            <w:r w:rsidRPr="00846FD6">
              <w:rPr>
                <w:lang w:val="en-US"/>
              </w:rPr>
              <w:t>/SG/AC.10/C.4/2018/19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846FD6" w:rsidP="00F01738">
            <w:pPr>
              <w:spacing w:before="240"/>
            </w:pPr>
            <w:r>
              <w:t>Distr. générale</w:t>
            </w:r>
          </w:p>
          <w:p w:rsidR="00846FD6" w:rsidRDefault="00846FD6" w:rsidP="00846FD6">
            <w:pPr>
              <w:spacing w:line="240" w:lineRule="exact"/>
            </w:pPr>
            <w:r>
              <w:t>4 septembre 2018</w:t>
            </w:r>
          </w:p>
          <w:p w:rsidR="00846FD6" w:rsidRDefault="00846FD6" w:rsidP="00846FD6">
            <w:pPr>
              <w:spacing w:line="240" w:lineRule="exact"/>
            </w:pPr>
            <w:r>
              <w:t>Français</w:t>
            </w:r>
          </w:p>
          <w:p w:rsidR="00846FD6" w:rsidRPr="00DB58B5" w:rsidRDefault="00846FD6" w:rsidP="00846FD6">
            <w:pPr>
              <w:spacing w:line="240" w:lineRule="exact"/>
            </w:pPr>
            <w:r>
              <w:t>Original : anglais</w:t>
            </w:r>
          </w:p>
        </w:tc>
      </w:tr>
    </w:tbl>
    <w:p w:rsidR="00846FD6" w:rsidRPr="00CA0680" w:rsidRDefault="00846FD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46FD6" w:rsidTr="009C3129">
        <w:tc>
          <w:tcPr>
            <w:tcW w:w="4820" w:type="dxa"/>
          </w:tcPr>
          <w:p w:rsidR="00846FD6" w:rsidRDefault="00846FD6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846FD6" w:rsidRDefault="00846FD6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846FD6" w:rsidTr="009C3129">
        <w:tc>
          <w:tcPr>
            <w:tcW w:w="4820" w:type="dxa"/>
          </w:tcPr>
          <w:p w:rsidR="00846FD6" w:rsidRPr="00CA0680" w:rsidRDefault="00846FD6" w:rsidP="00846FD6">
            <w:pPr>
              <w:spacing w:before="120"/>
              <w:rPr>
                <w:b/>
              </w:rPr>
            </w:pPr>
            <w:r w:rsidRPr="00615786">
              <w:rPr>
                <w:b/>
              </w:rPr>
              <w:t>Cinquante-quatrième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846FD6" w:rsidRDefault="00846FD6" w:rsidP="00846FD6">
            <w:pPr>
              <w:spacing w:before="120"/>
              <w:rPr>
                <w:b/>
              </w:rPr>
            </w:pPr>
            <w:r w:rsidRPr="00615786">
              <w:rPr>
                <w:b/>
              </w:rPr>
              <w:t xml:space="preserve">Trente-sixième </w:t>
            </w:r>
            <w:r>
              <w:rPr>
                <w:b/>
              </w:rPr>
              <w:t>session</w:t>
            </w:r>
          </w:p>
        </w:tc>
      </w:tr>
      <w:tr w:rsidR="00846FD6" w:rsidTr="009C3129">
        <w:tc>
          <w:tcPr>
            <w:tcW w:w="4820" w:type="dxa"/>
          </w:tcPr>
          <w:p w:rsidR="00846FD6" w:rsidRDefault="00846FD6" w:rsidP="009C3129">
            <w:r>
              <w:t xml:space="preserve">Genève, </w:t>
            </w:r>
            <w:r w:rsidR="006453CE" w:rsidRPr="00615786">
              <w:t xml:space="preserve">26 novembre-4 décembre </w:t>
            </w:r>
            <w:r w:rsidR="006453CE" w:rsidRPr="00615786">
              <w:rPr>
                <w:color w:val="333333"/>
              </w:rPr>
              <w:t>2018</w:t>
            </w:r>
          </w:p>
          <w:p w:rsidR="00846FD6" w:rsidRDefault="00846FD6" w:rsidP="009C3129">
            <w:r>
              <w:t xml:space="preserve">Point </w:t>
            </w:r>
            <w:r w:rsidR="006453CE">
              <w:t>2 b)</w:t>
            </w:r>
            <w:r>
              <w:t xml:space="preserve"> de l’ordre du jour provisoire</w:t>
            </w:r>
          </w:p>
          <w:p w:rsidR="00846FD6" w:rsidRPr="003B79D9" w:rsidRDefault="006453CE" w:rsidP="009C3129">
            <w:pPr>
              <w:rPr>
                <w:b/>
              </w:rPr>
            </w:pPr>
            <w:r w:rsidRPr="00615786">
              <w:rPr>
                <w:b/>
                <w:bCs/>
              </w:rPr>
              <w:t xml:space="preserve">Recommandations du Sous-Comité formulées </w:t>
            </w:r>
            <w:r>
              <w:rPr>
                <w:b/>
                <w:bCs/>
              </w:rPr>
              <w:br/>
            </w:r>
            <w:r w:rsidRPr="00615786">
              <w:rPr>
                <w:b/>
                <w:bCs/>
              </w:rPr>
              <w:t>à ses cinquante et unième, cinquante</w:t>
            </w:r>
            <w:r>
              <w:rPr>
                <w:b/>
                <w:bCs/>
              </w:rPr>
              <w:t>-</w:t>
            </w:r>
            <w:r w:rsidRPr="00615786">
              <w:rPr>
                <w:b/>
                <w:bCs/>
              </w:rPr>
              <w:t>deuxième et cinquante</w:t>
            </w:r>
            <w:r>
              <w:rPr>
                <w:b/>
                <w:bCs/>
              </w:rPr>
              <w:t>-</w:t>
            </w:r>
            <w:r w:rsidRPr="00615786">
              <w:rPr>
                <w:b/>
                <w:bCs/>
              </w:rPr>
              <w:t>troisième sessions et questions en suspens</w:t>
            </w:r>
            <w:r>
              <w:rPr>
                <w:b/>
                <w:bCs/>
              </w:rPr>
              <w:t> </w:t>
            </w:r>
            <w:r w:rsidRPr="00615786">
              <w:rPr>
                <w:b/>
                <w:bCs/>
              </w:rPr>
              <w:t>: Explosifs et questions connexes</w:t>
            </w:r>
          </w:p>
        </w:tc>
        <w:tc>
          <w:tcPr>
            <w:tcW w:w="4820" w:type="dxa"/>
          </w:tcPr>
          <w:p w:rsidR="00846FD6" w:rsidRDefault="00846FD6" w:rsidP="009C3129">
            <w:r>
              <w:t xml:space="preserve">Genève, </w:t>
            </w:r>
            <w:r w:rsidR="006453CE" w:rsidRPr="00615786">
              <w:t>5-7 décembre 2018</w:t>
            </w:r>
          </w:p>
          <w:p w:rsidR="00846FD6" w:rsidRDefault="00846FD6" w:rsidP="009C3129">
            <w:r>
              <w:t xml:space="preserve">Point </w:t>
            </w:r>
            <w:r w:rsidR="00076286">
              <w:t>3</w:t>
            </w:r>
            <w:r w:rsidR="006453CE">
              <w:t xml:space="preserve"> b)</w:t>
            </w:r>
            <w:r>
              <w:t xml:space="preserve"> de l’ordre du jour provisoire</w:t>
            </w:r>
          </w:p>
          <w:p w:rsidR="00846FD6" w:rsidRPr="003B79D9" w:rsidRDefault="006453CE" w:rsidP="009C3129">
            <w:pPr>
              <w:rPr>
                <w:b/>
              </w:rPr>
            </w:pPr>
            <w:r w:rsidRPr="00615786">
              <w:rPr>
                <w:b/>
                <w:bCs/>
              </w:rPr>
              <w:t>Critères de classification et communication des dangers y relatifs</w:t>
            </w:r>
            <w:r>
              <w:rPr>
                <w:b/>
                <w:bCs/>
              </w:rPr>
              <w:t> </w:t>
            </w:r>
            <w:r w:rsidRPr="00615786">
              <w:rPr>
                <w:b/>
                <w:bCs/>
              </w:rPr>
              <w:t>: Révision du chapitre 2.1</w:t>
            </w:r>
          </w:p>
        </w:tc>
      </w:tr>
    </w:tbl>
    <w:p w:rsidR="006453CE" w:rsidRPr="00615786" w:rsidRDefault="006453CE" w:rsidP="006453CE">
      <w:pPr>
        <w:pStyle w:val="HChG"/>
      </w:pPr>
      <w:r w:rsidRPr="00615786">
        <w:tab/>
      </w:r>
      <w:r w:rsidRPr="00615786">
        <w:tab/>
        <w:t>Utilisation incohérente de l</w:t>
      </w:r>
      <w:r>
        <w:t>’</w:t>
      </w:r>
      <w:r w:rsidRPr="00615786">
        <w:t xml:space="preserve">expression </w:t>
      </w:r>
      <w:r>
        <w:t>« </w:t>
      </w:r>
      <w:r w:rsidRPr="00615786">
        <w:t xml:space="preserve">fabriquée en vue </w:t>
      </w:r>
      <w:r w:rsidR="00076286">
        <w:br/>
      </w:r>
      <w:r w:rsidRPr="00615786">
        <w:t>de produire un effet pratique explosif ou pyrotechnique</w:t>
      </w:r>
      <w:r>
        <w:t> »</w:t>
      </w:r>
    </w:p>
    <w:p w:rsidR="006453CE" w:rsidRPr="00615786" w:rsidRDefault="006453CE" w:rsidP="006453CE">
      <w:pPr>
        <w:pStyle w:val="H1G"/>
      </w:pPr>
      <w:r w:rsidRPr="00615786">
        <w:tab/>
      </w:r>
      <w:r w:rsidRPr="00615786">
        <w:tab/>
        <w:t>Communication de l</w:t>
      </w:r>
      <w:r>
        <w:t>’</w:t>
      </w:r>
      <w:r w:rsidRPr="00615786">
        <w:rPr>
          <w:szCs w:val="24"/>
        </w:rPr>
        <w:t>expert de la Suède</w:t>
      </w:r>
      <w:r w:rsidR="00557436" w:rsidRPr="00557436">
        <w:rPr>
          <w:rStyle w:val="FootnoteReference"/>
          <w:b w:val="0"/>
          <w:sz w:val="20"/>
          <w:szCs w:val="24"/>
          <w:vertAlign w:val="baseline"/>
        </w:rPr>
        <w:footnoteReference w:customMarkFollows="1" w:id="2"/>
        <w:t>*</w:t>
      </w:r>
    </w:p>
    <w:p w:rsidR="006453CE" w:rsidRPr="00615786" w:rsidRDefault="006453CE" w:rsidP="006453CE">
      <w:pPr>
        <w:pStyle w:val="HChG"/>
        <w:rPr>
          <w:szCs w:val="28"/>
        </w:rPr>
      </w:pPr>
      <w:r w:rsidRPr="00615786">
        <w:tab/>
      </w:r>
      <w:r w:rsidRPr="00615786">
        <w:tab/>
      </w:r>
      <w:r w:rsidRPr="00615786">
        <w:rPr>
          <w:rFonts w:eastAsia="MS Mincho"/>
        </w:rPr>
        <w:t>Généralités</w:t>
      </w:r>
    </w:p>
    <w:p w:rsidR="006453CE" w:rsidRPr="00615786" w:rsidRDefault="006453CE" w:rsidP="006453CE">
      <w:pPr>
        <w:pStyle w:val="SingleTxtG"/>
      </w:pPr>
      <w:r w:rsidRPr="00615786">
        <w:t>1.</w:t>
      </w:r>
      <w:r w:rsidRPr="00615786">
        <w:tab/>
        <w:t>Un produit est susceptible d</w:t>
      </w:r>
      <w:r>
        <w:t>’</w:t>
      </w:r>
      <w:r w:rsidRPr="00615786">
        <w:t>être affecté à la classe 1 s</w:t>
      </w:r>
      <w:r>
        <w:t>’</w:t>
      </w:r>
      <w:r w:rsidRPr="00615786">
        <w:t>il répond à l</w:t>
      </w:r>
      <w:r>
        <w:t>’</w:t>
      </w:r>
      <w:r w:rsidRPr="00615786">
        <w:t>une des définitions de la classe 1</w:t>
      </w:r>
      <w:r w:rsidR="00E33240">
        <w:t>, aux 2.1.1.1 </w:t>
      </w:r>
      <w:r w:rsidRPr="00615786">
        <w:t xml:space="preserve">a), b) ou c) du Règlement type. Un produit admis à titre provisoire dans la classe 1 peut </w:t>
      </w:r>
      <w:r>
        <w:t xml:space="preserve">en </w:t>
      </w:r>
      <w:r w:rsidRPr="00615786">
        <w:t>être exclu en raison des résultats d</w:t>
      </w:r>
      <w:r>
        <w:t>’</w:t>
      </w:r>
      <w:r w:rsidRPr="00615786">
        <w:t>une épreuve.</w:t>
      </w:r>
    </w:p>
    <w:p w:rsidR="006453CE" w:rsidRPr="00615786" w:rsidRDefault="006453CE" w:rsidP="006453CE">
      <w:pPr>
        <w:pStyle w:val="SingleTxtG"/>
      </w:pPr>
      <w:r w:rsidRPr="00615786">
        <w:t>2.</w:t>
      </w:r>
      <w:r w:rsidRPr="00615786">
        <w:tab/>
        <w:t>L</w:t>
      </w:r>
      <w:r>
        <w:t>’</w:t>
      </w:r>
      <w:r w:rsidRPr="00615786">
        <w:t xml:space="preserve">expression </w:t>
      </w:r>
      <w:r>
        <w:t>« </w:t>
      </w:r>
      <w:r w:rsidRPr="00615786">
        <w:t>fabriquée en vue de produire un effet pratique explosif ou pyrotechnique</w:t>
      </w:r>
      <w:r>
        <w:t> »</w:t>
      </w:r>
      <w:r w:rsidRPr="00615786">
        <w:t xml:space="preserve"> </w:t>
      </w:r>
      <w:r>
        <w:t>a</w:t>
      </w:r>
      <w:r w:rsidR="00E33240">
        <w:t>p</w:t>
      </w:r>
      <w:r>
        <w:t xml:space="preserve">paraît </w:t>
      </w:r>
      <w:r w:rsidRPr="00615786">
        <w:t xml:space="preserve">dans le Règlement type dans la définition </w:t>
      </w:r>
      <w:r>
        <w:t>de</w:t>
      </w:r>
      <w:r w:rsidRPr="00615786">
        <w:t xml:space="preserve"> la classe 1 au 2.1.1.1 c). D</w:t>
      </w:r>
      <w:r>
        <w:t>’</w:t>
      </w:r>
      <w:r w:rsidRPr="00615786">
        <w:t>autres occurrences de cette expression sont également relevées dans d</w:t>
      </w:r>
      <w:r>
        <w:t>’</w:t>
      </w:r>
      <w:r w:rsidRPr="00615786">
        <w:t>autres parties du Règlement type et du Manuel d</w:t>
      </w:r>
      <w:r>
        <w:t>’</w:t>
      </w:r>
      <w:r w:rsidRPr="00615786">
        <w:t xml:space="preserve">épreuves et de critères, à savoir au 2.1.3.3.1 du Règlement type et dans la case 2 de la figure 10.2, dans la case 35 de la figure 10.3, aux 16.6.1.4.7 a), 16.6.1.4.7 b) </w:t>
      </w:r>
      <w:r>
        <w:t xml:space="preserve">(ces quatre occurrences sont sans objet pour la version française du texte) </w:t>
      </w:r>
      <w:r w:rsidRPr="00615786">
        <w:t>et au 3.1 de l</w:t>
      </w:r>
      <w:r>
        <w:t>’</w:t>
      </w:r>
      <w:r w:rsidRPr="00615786">
        <w:t>appendice 6 du Manuel d</w:t>
      </w:r>
      <w:r>
        <w:t>’</w:t>
      </w:r>
      <w:r w:rsidRPr="00615786">
        <w:t>épreuves et de critères.</w:t>
      </w:r>
    </w:p>
    <w:p w:rsidR="006453CE" w:rsidRPr="00615786" w:rsidRDefault="006453CE" w:rsidP="00B644E9">
      <w:pPr>
        <w:pStyle w:val="SingleTxtG"/>
      </w:pPr>
      <w:r w:rsidRPr="00615786">
        <w:br w:type="page"/>
      </w:r>
      <w:r w:rsidRPr="00615786">
        <w:lastRenderedPageBreak/>
        <w:t>3.</w:t>
      </w:r>
      <w:r w:rsidRPr="00615786">
        <w:tab/>
        <w:t xml:space="preserve">Étant donné que la majeure partie du texte du Règlement type qui porte sur la classe 1 </w:t>
      </w:r>
      <w:r>
        <w:t>est</w:t>
      </w:r>
      <w:r w:rsidRPr="00615786">
        <w:t xml:space="preserve"> plus ou moins reproduite dans le chapitre</w:t>
      </w:r>
      <w:r w:rsidR="00B644E9">
        <w:t> </w:t>
      </w:r>
      <w:r w:rsidRPr="00615786">
        <w:t xml:space="preserve">2.1 du SGH, </w:t>
      </w:r>
      <w:r>
        <w:t>on y retrouve la même</w:t>
      </w:r>
      <w:r w:rsidRPr="00615786">
        <w:t xml:space="preserve"> expression. Plus précisément, elle figure au 2.1.1.2 c) et dans les deux cases du diagramme logique des figures 2.1.2 et 2.1.3 qui correspondent</w:t>
      </w:r>
      <w:r>
        <w:t xml:space="preserve"> respectivement</w:t>
      </w:r>
      <w:r w:rsidRPr="00615786">
        <w:t xml:space="preserve"> aux cases 2 et 35 des figures</w:t>
      </w:r>
      <w:r w:rsidR="00B644E9">
        <w:t> </w:t>
      </w:r>
      <w:r w:rsidRPr="00615786">
        <w:t>10.2 et 10.3 du Manuel d</w:t>
      </w:r>
      <w:r>
        <w:t>’</w:t>
      </w:r>
      <w:r w:rsidRPr="00615786">
        <w:t>épreuves et de critères</w:t>
      </w:r>
      <w:r>
        <w:t xml:space="preserve"> (ces deux dernières occurrences sont sans objet pour la version française du texte)</w:t>
      </w:r>
      <w:r w:rsidRPr="00615786">
        <w:t>.</w:t>
      </w:r>
    </w:p>
    <w:p w:rsidR="006453CE" w:rsidRPr="00615786" w:rsidRDefault="006453CE" w:rsidP="00B644E9">
      <w:pPr>
        <w:pStyle w:val="HChG"/>
      </w:pPr>
      <w:r w:rsidRPr="00615786">
        <w:tab/>
      </w:r>
      <w:r w:rsidRPr="00615786">
        <w:tab/>
        <w:t>Problème constaté</w:t>
      </w:r>
    </w:p>
    <w:p w:rsidR="006453CE" w:rsidRPr="00615786" w:rsidRDefault="006453CE" w:rsidP="006453CE">
      <w:pPr>
        <w:pStyle w:val="SingleTxtG"/>
      </w:pPr>
      <w:r w:rsidRPr="00615786">
        <w:t>4</w:t>
      </w:r>
      <w:r w:rsidR="00B644E9">
        <w:t>.</w:t>
      </w:r>
      <w:r w:rsidRPr="00615786">
        <w:tab/>
        <w:t>Comme cela a été relevé dans le document informel INF.39 de la cinquante</w:t>
      </w:r>
      <w:r w:rsidR="00B644E9">
        <w:noBreakHyphen/>
      </w:r>
      <w:r w:rsidRPr="00615786">
        <w:t>troisième session du Sous-Comité d</w:t>
      </w:r>
      <w:r>
        <w:t>’</w:t>
      </w:r>
      <w:r w:rsidRPr="00615786">
        <w:t>experts du transport des marchandises dangereuses, le problème tient au fait que l</w:t>
      </w:r>
      <w:r>
        <w:t>’</w:t>
      </w:r>
      <w:r w:rsidRPr="00615786">
        <w:t>expression citée ci-dessus a été employée sous différentes acceptions. La deuxième phrase du 2.1.3.3.1 du Règlement type se lit comme suit :</w:t>
      </w:r>
      <w:r>
        <w:t xml:space="preserve"> « Si la matière est fabriquée en vue de produire un effet pratique explosif ou pyrotechnique</w:t>
      </w:r>
      <w:r w:rsidRPr="00615786">
        <w:t xml:space="preserve"> (2.1.1.1 c)), i</w:t>
      </w:r>
      <w:r>
        <w:t>l est superflu d’exécuter les séries d’épreuves</w:t>
      </w:r>
      <w:r w:rsidRPr="00615786">
        <w:t xml:space="preserve"> 1 </w:t>
      </w:r>
      <w:r>
        <w:t xml:space="preserve">et </w:t>
      </w:r>
      <w:r w:rsidRPr="00615786">
        <w:t>2</w:t>
      </w:r>
      <w:r>
        <w:t> »</w:t>
      </w:r>
      <w:r w:rsidRPr="00615786">
        <w:t xml:space="preserve">. </w:t>
      </w:r>
      <w:r>
        <w:t>En cela</w:t>
      </w:r>
      <w:r w:rsidRPr="00615786">
        <w:t xml:space="preserve">, </w:t>
      </w:r>
      <w:r>
        <w:t xml:space="preserve">l’expression telle qu’elle est employée dans ce </w:t>
      </w:r>
      <w:r w:rsidRPr="00615786">
        <w:t>text</w:t>
      </w:r>
      <w:r>
        <w:t>e renvoie directement à la</w:t>
      </w:r>
      <w:r w:rsidRPr="00615786">
        <w:t xml:space="preserve"> définition </w:t>
      </w:r>
      <w:r>
        <w:t xml:space="preserve">de la </w:t>
      </w:r>
      <w:r w:rsidRPr="00615786">
        <w:t xml:space="preserve">classe 1 </w:t>
      </w:r>
      <w:r>
        <w:t xml:space="preserve">donnée au </w:t>
      </w:r>
      <w:r w:rsidRPr="00615786">
        <w:t>2.1.1.1 c</w:t>
      </w:r>
      <w:r>
        <w:t>)</w:t>
      </w:r>
      <w:r w:rsidRPr="0096273C">
        <w:t xml:space="preserve"> </w:t>
      </w:r>
      <w:r w:rsidRPr="00615786">
        <w:t>du Règlement type</w:t>
      </w:r>
      <w:r w:rsidR="00F71E61">
        <w:t>.</w:t>
      </w:r>
    </w:p>
    <w:p w:rsidR="006453CE" w:rsidRPr="00615786" w:rsidRDefault="006453CE" w:rsidP="006453CE">
      <w:pPr>
        <w:pStyle w:val="SingleTxtG"/>
      </w:pPr>
      <w:r w:rsidRPr="00615786">
        <w:t>5.</w:t>
      </w:r>
      <w:r w:rsidRPr="00615786">
        <w:tab/>
      </w:r>
      <w:r>
        <w:t>Néanmoins</w:t>
      </w:r>
      <w:r w:rsidRPr="00615786">
        <w:t xml:space="preserve">, </w:t>
      </w:r>
      <w:r>
        <w:t xml:space="preserve">dans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 xml:space="preserve">elle n’a aucune </w:t>
      </w:r>
      <w:r w:rsidRPr="00615786">
        <w:t xml:space="preserve">corrélation </w:t>
      </w:r>
      <w:r>
        <w:t xml:space="preserve">avec cette </w:t>
      </w:r>
      <w:r w:rsidRPr="00615786">
        <w:t xml:space="preserve">définition. </w:t>
      </w:r>
      <w:r>
        <w:t xml:space="preserve">Dans le cadre du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l’</w:t>
      </w:r>
      <w:r w:rsidRPr="00615786">
        <w:t xml:space="preserve">expression </w:t>
      </w:r>
      <w:r>
        <w:t>en question a un sens plus large, à savoir :</w:t>
      </w:r>
      <w:r w:rsidRPr="00615786">
        <w:t xml:space="preserve"> </w:t>
      </w:r>
      <w:r w:rsidR="00F71E61">
        <w:t>« </w:t>
      </w:r>
      <w:r w:rsidRPr="00615786">
        <w:t xml:space="preserve">fabriquée en vue de produire un effet pratique explosif ou pyrotechnique, </w:t>
      </w:r>
      <w:r>
        <w:t>peu importe si l’effet en question est produit par une matière</w:t>
      </w:r>
      <w:r w:rsidRPr="00615786">
        <w:t xml:space="preserve"> </w:t>
      </w:r>
      <w:r>
        <w:t>de la</w:t>
      </w:r>
      <w:r w:rsidRPr="00615786">
        <w:t xml:space="preserve"> classe 1 </w:t>
      </w:r>
      <w:r>
        <w:t>au sens des</w:t>
      </w:r>
      <w:r w:rsidRPr="00615786">
        <w:t xml:space="preserve"> d</w:t>
      </w:r>
      <w:r>
        <w:t>é</w:t>
      </w:r>
      <w:r w:rsidRPr="00615786">
        <w:t>finition</w:t>
      </w:r>
      <w:r>
        <w:t>s</w:t>
      </w:r>
      <w:r w:rsidRPr="00615786">
        <w:t xml:space="preserve"> </w:t>
      </w:r>
      <w:r>
        <w:t>qui figurent aux 2.1.1.1 a), 2.1.1.1 b) et</w:t>
      </w:r>
      <w:r w:rsidRPr="00615786">
        <w:t xml:space="preserve"> 2.1.1.1 c).</w:t>
      </w:r>
      <w:r>
        <w:t> ».</w:t>
      </w:r>
    </w:p>
    <w:p w:rsidR="006453CE" w:rsidRPr="00615786" w:rsidRDefault="006453CE" w:rsidP="006453CE">
      <w:pPr>
        <w:pStyle w:val="SingleTxtG"/>
      </w:pPr>
      <w:r w:rsidRPr="00615786">
        <w:t>6.</w:t>
      </w:r>
      <w:r w:rsidRPr="00615786">
        <w:tab/>
      </w:r>
      <w:r>
        <w:t>Après avoir examiné l’utilisation de cette</w:t>
      </w:r>
      <w:r w:rsidRPr="00615786">
        <w:t xml:space="preserve"> expression </w:t>
      </w:r>
      <w:r>
        <w:t xml:space="preserve">dans le </w:t>
      </w:r>
      <w:r w:rsidRPr="00615786">
        <w:t xml:space="preserve">Règlement type </w:t>
      </w:r>
      <w:r>
        <w:t xml:space="preserve">et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on peut déduire que le renvoi au</w:t>
      </w:r>
      <w:r w:rsidRPr="00615786">
        <w:t xml:space="preserve"> 2.1.1.1 c) </w:t>
      </w:r>
      <w:r>
        <w:t xml:space="preserve">qui figure au </w:t>
      </w:r>
      <w:r w:rsidRPr="00615786">
        <w:t xml:space="preserve">2.1.3.3.1 </w:t>
      </w:r>
      <w:r w:rsidRPr="00EB001C">
        <w:t xml:space="preserve">du Règlement type </w:t>
      </w:r>
      <w:r>
        <w:t>e</w:t>
      </w:r>
      <w:r w:rsidRPr="00615786">
        <w:t>s</w:t>
      </w:r>
      <w:r>
        <w:t>t</w:t>
      </w:r>
      <w:r w:rsidRPr="00615786">
        <w:t xml:space="preserve"> incorrect </w:t>
      </w:r>
      <w:r>
        <w:t>et devrait être supprimé, conformément à la proposition de l’</w:t>
      </w:r>
      <w:r w:rsidRPr="00615786">
        <w:t xml:space="preserve">expert </w:t>
      </w:r>
      <w:r>
        <w:t xml:space="preserve">de la Suède, présentée dans le </w:t>
      </w:r>
      <w:r w:rsidRPr="00615786">
        <w:t xml:space="preserve">document informel INF.39 (cinquante-troisième session). </w:t>
      </w:r>
      <w:r>
        <w:t>La question a été abordée à la</w:t>
      </w:r>
      <w:r w:rsidRPr="00615786">
        <w:t xml:space="preserve"> cinquante-troisième session </w:t>
      </w:r>
      <w:r>
        <w:t>du</w:t>
      </w:r>
      <w:r w:rsidRPr="00615786">
        <w:t xml:space="preserve"> </w:t>
      </w:r>
      <w:r>
        <w:t>Groupe de travail des explosifs</w:t>
      </w:r>
      <w:r w:rsidRPr="00615786">
        <w:t xml:space="preserve"> </w:t>
      </w:r>
      <w:r>
        <w:t xml:space="preserve">et de nombreux </w:t>
      </w:r>
      <w:r w:rsidRPr="00615786">
        <w:t xml:space="preserve">experts </w:t>
      </w:r>
      <w:r>
        <w:t>se sont dits favorables à cette proposition.</w:t>
      </w:r>
    </w:p>
    <w:p w:rsidR="006453CE" w:rsidRPr="00615786" w:rsidRDefault="006453CE" w:rsidP="006453CE">
      <w:pPr>
        <w:pStyle w:val="SingleTxtG"/>
      </w:pPr>
      <w:r w:rsidRPr="00615786">
        <w:t>7.</w:t>
      </w:r>
      <w:r w:rsidRPr="00615786">
        <w:tab/>
      </w:r>
      <w:r>
        <w:t>Un autre point examiné dans le</w:t>
      </w:r>
      <w:r w:rsidRPr="00615786">
        <w:t xml:space="preserve"> document informel INF.39 </w:t>
      </w:r>
      <w:r>
        <w:t xml:space="preserve">était la </w:t>
      </w:r>
      <w:r w:rsidRPr="00615786">
        <w:t xml:space="preserve">nécessité </w:t>
      </w:r>
      <w:r>
        <w:t>du terme « pratique » dans l’expression « </w:t>
      </w:r>
      <w:r w:rsidRPr="00FD7DD3">
        <w:t>un effet pratique explosif ou pyrotechnique</w:t>
      </w:r>
      <w:r>
        <w:t> »</w:t>
      </w:r>
      <w:r w:rsidRPr="00615786">
        <w:t xml:space="preserve">. </w:t>
      </w:r>
      <w:r>
        <w:t>L’expert de la Suède</w:t>
      </w:r>
      <w:r w:rsidRPr="00615786">
        <w:t xml:space="preserve"> </w:t>
      </w:r>
      <w:r>
        <w:t xml:space="preserve">estime que, dans le cadre </w:t>
      </w:r>
      <w:r w:rsidRPr="00615786">
        <w:t xml:space="preserve">du Règlement type </w:t>
      </w:r>
      <w:r>
        <w:t xml:space="preserve">et du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le terme</w:t>
      </w:r>
      <w:r w:rsidRPr="00615786">
        <w:t xml:space="preserve"> </w:t>
      </w:r>
      <w:r>
        <w:t>« pratique » ne fait aucun sens</w:t>
      </w:r>
      <w:r w:rsidRPr="00615786">
        <w:t xml:space="preserve">. </w:t>
      </w:r>
      <w:r>
        <w:t xml:space="preserve">Cette question a aussi été examinée par le </w:t>
      </w:r>
      <w:r w:rsidRPr="00EB001C">
        <w:t>Groupe de travail des explosifs</w:t>
      </w:r>
      <w:r w:rsidRPr="00615786">
        <w:t xml:space="preserve">, </w:t>
      </w:r>
      <w:r>
        <w:t xml:space="preserve">et aucun </w:t>
      </w:r>
      <w:r w:rsidRPr="00615786">
        <w:t xml:space="preserve">expert </w:t>
      </w:r>
      <w:r>
        <w:t>n’a été en mesure de fournir la moindre justification plausible concernant l’utilisation de ce mot et un grand nombre des experts présents étaient donc favorables à sa suppression</w:t>
      </w:r>
      <w:r w:rsidRPr="00615786">
        <w:t>.</w:t>
      </w:r>
    </w:p>
    <w:p w:rsidR="006453CE" w:rsidRPr="00615786" w:rsidRDefault="006453CE" w:rsidP="006453CE">
      <w:pPr>
        <w:pStyle w:val="HChG"/>
      </w:pPr>
      <w:r w:rsidRPr="00615786">
        <w:tab/>
      </w:r>
      <w:r w:rsidRPr="00615786">
        <w:tab/>
        <w:t>Propos</w:t>
      </w:r>
      <w:r>
        <w:t>itions</w:t>
      </w:r>
    </w:p>
    <w:p w:rsidR="006453CE" w:rsidRPr="00615786" w:rsidRDefault="006453CE" w:rsidP="006453CE">
      <w:pPr>
        <w:pStyle w:val="SingleTxtG"/>
      </w:pPr>
      <w:r w:rsidRPr="00615786">
        <w:t>8.</w:t>
      </w:r>
      <w:r w:rsidRPr="00615786">
        <w:tab/>
      </w:r>
      <w:r>
        <w:t>À la lumière de ce qui précède</w:t>
      </w:r>
      <w:r w:rsidRPr="00615786">
        <w:t xml:space="preserve">, </w:t>
      </w:r>
      <w:r>
        <w:t>l’expert de la Suède propose de supprimer toutes les occurrences du mot « pratique » de l’expression « </w:t>
      </w:r>
      <w:r w:rsidRPr="00EE7B7B">
        <w:t>un effet pratique explosif ou pyrotechnique</w:t>
      </w:r>
      <w:r>
        <w:t> »,</w:t>
      </w:r>
      <w:r w:rsidRPr="00615786">
        <w:t xml:space="preserve"> </w:t>
      </w:r>
      <w:r>
        <w:t xml:space="preserve">dans le </w:t>
      </w:r>
      <w:r w:rsidRPr="00615786">
        <w:t xml:space="preserve">Règlement type </w:t>
      </w:r>
      <w:r>
        <w:t xml:space="preserve">et le </w:t>
      </w:r>
      <w:r w:rsidRPr="00615786">
        <w:t>Manuel d</w:t>
      </w:r>
      <w:r>
        <w:t>’</w:t>
      </w:r>
      <w:r w:rsidRPr="00615786">
        <w:t xml:space="preserve">épreuves et de critères, </w:t>
      </w:r>
      <w:r>
        <w:t>à l’</w:t>
      </w:r>
      <w:r w:rsidRPr="00615786">
        <w:t>except</w:t>
      </w:r>
      <w:r>
        <w:t xml:space="preserve">ion de la </w:t>
      </w:r>
      <w:r w:rsidRPr="00615786">
        <w:t>d</w:t>
      </w:r>
      <w:r>
        <w:t>é</w:t>
      </w:r>
      <w:r w:rsidRPr="00615786">
        <w:t xml:space="preserve">finition </w:t>
      </w:r>
      <w:r>
        <w:t>du 2.1.1.1 </w:t>
      </w:r>
      <w:r w:rsidRPr="00615786">
        <w:t xml:space="preserve">c) du Règlement type. </w:t>
      </w:r>
      <w:r>
        <w:t>Ainsi, la formulation resterait</w:t>
      </w:r>
      <w:r w:rsidRPr="00615786">
        <w:t xml:space="preserve"> </w:t>
      </w:r>
      <w:r>
        <w:t>« </w:t>
      </w:r>
      <w:r w:rsidRPr="00615786">
        <w:t>fabriquée en vue de produire un effet pratique explosif ou pyrotechnique</w:t>
      </w:r>
      <w:r>
        <w:t> »</w:t>
      </w:r>
      <w:r w:rsidRPr="00EE7B7B">
        <w:t xml:space="preserve"> au 2.1.1.1 c)</w:t>
      </w:r>
      <w:r w:rsidRPr="00615786">
        <w:t xml:space="preserve">, </w:t>
      </w:r>
      <w:r>
        <w:t>mais elle serait remplacée par « </w:t>
      </w:r>
      <w:r w:rsidRPr="00EE7B7B">
        <w:t>fabriquée en vue de produire un effet explosif ou pyrotechnique</w:t>
      </w:r>
      <w:r>
        <w:t> » partout ailleurs</w:t>
      </w:r>
      <w:r w:rsidRPr="00615786">
        <w:t xml:space="preserve">. </w:t>
      </w:r>
      <w:r>
        <w:t>Partant, il devient clair que la nouvelle</w:t>
      </w:r>
      <w:r w:rsidRPr="00615786">
        <w:t xml:space="preserve"> expression </w:t>
      </w:r>
      <w:r>
        <w:t>« </w:t>
      </w:r>
      <w:r w:rsidRPr="00EE7B7B">
        <w:t>fabriquée en vue de produire un effet explosif ou pyrotechnique</w:t>
      </w:r>
      <w:r>
        <w:t> »</w:t>
      </w:r>
      <w:r w:rsidRPr="00615786">
        <w:t xml:space="preserve"> </w:t>
      </w:r>
      <w:r>
        <w:t xml:space="preserve">ne renvoie pas au </w:t>
      </w:r>
      <w:r w:rsidRPr="00615786">
        <w:t xml:space="preserve">2.1.1.1 c) du Règlement type. </w:t>
      </w:r>
    </w:p>
    <w:p w:rsidR="006453CE" w:rsidRPr="00615786" w:rsidRDefault="006453CE" w:rsidP="006453CE">
      <w:pPr>
        <w:pStyle w:val="SingleTxtG"/>
      </w:pPr>
      <w:r w:rsidRPr="00615786">
        <w:t>9.</w:t>
      </w:r>
      <w:r w:rsidRPr="00615786">
        <w:tab/>
      </w:r>
      <w:r>
        <w:t>On trouvera ci-après un résumé des propositions susmentionnées</w:t>
      </w:r>
      <w:r w:rsidRPr="00615786">
        <w:t xml:space="preserve">. </w:t>
      </w:r>
      <w:r>
        <w:t>Toutes les modifications qu’il est proposé d’apporter sont indiquées : les parties nouvelles figurent en caractères soulignés (</w:t>
      </w:r>
      <w:r w:rsidRPr="00EE7B7B">
        <w:rPr>
          <w:u w:val="single"/>
        </w:rPr>
        <w:t>ajout</w:t>
      </w:r>
      <w:r>
        <w:t>) et les parties supprimées en caractères biffés (</w:t>
      </w:r>
      <w:r w:rsidRPr="00EE7B7B">
        <w:rPr>
          <w:strike/>
        </w:rPr>
        <w:t>suppression</w:t>
      </w:r>
      <w:r>
        <w:t>)</w:t>
      </w:r>
      <w:r w:rsidRPr="00615786">
        <w:t>.</w:t>
      </w:r>
    </w:p>
    <w:p w:rsidR="006453CE" w:rsidRPr="00615786" w:rsidRDefault="006453CE" w:rsidP="006453CE">
      <w:pPr>
        <w:pStyle w:val="SingleTxtG"/>
      </w:pPr>
      <w:r w:rsidRPr="00615786">
        <w:t>10.</w:t>
      </w:r>
      <w:r w:rsidRPr="00615786">
        <w:tab/>
      </w:r>
      <w:r>
        <w:t>Modifier la deuxième phrase du</w:t>
      </w:r>
      <w:r w:rsidRPr="00615786">
        <w:t xml:space="preserve"> 2.1.3.3.1 du Règlement type </w:t>
      </w:r>
      <w:r>
        <w:t>comme suit </w:t>
      </w:r>
      <w:r w:rsidRPr="00615786">
        <w:t>:</w:t>
      </w:r>
    </w:p>
    <w:p w:rsidR="006453CE" w:rsidRPr="00615786" w:rsidRDefault="000736AF" w:rsidP="006453CE">
      <w:pPr>
        <w:pStyle w:val="SingleTxtG"/>
        <w:ind w:left="1701"/>
      </w:pPr>
      <w:r>
        <w:tab/>
      </w:r>
      <w:r w:rsidR="006453CE">
        <w:t>« Si la matière est fabriquée en vue de produire un effet</w:t>
      </w:r>
      <w:r w:rsidR="006453CE" w:rsidRPr="00615786">
        <w:t xml:space="preserve"> </w:t>
      </w:r>
      <w:r w:rsidR="006453CE">
        <w:rPr>
          <w:strike/>
          <w:color w:val="000000" w:themeColor="text1"/>
        </w:rPr>
        <w:t>pra</w:t>
      </w:r>
      <w:r w:rsidR="006453CE" w:rsidRPr="00615786">
        <w:rPr>
          <w:strike/>
          <w:color w:val="000000" w:themeColor="text1"/>
        </w:rPr>
        <w:t>ti</w:t>
      </w:r>
      <w:r w:rsidR="006453CE">
        <w:rPr>
          <w:strike/>
          <w:color w:val="000000" w:themeColor="text1"/>
        </w:rPr>
        <w:t>que</w:t>
      </w:r>
      <w:r w:rsidR="006453CE" w:rsidRPr="002C192E">
        <w:rPr>
          <w:strike/>
          <w:color w:val="000000" w:themeColor="text1"/>
        </w:rPr>
        <w:t xml:space="preserve"> </w:t>
      </w:r>
      <w:r w:rsidR="006453CE">
        <w:t>explosif ou</w:t>
      </w:r>
      <w:r w:rsidR="006453CE" w:rsidRPr="00615786">
        <w:t xml:space="preserve"> pyrotechnique</w:t>
      </w:r>
      <w:r w:rsidR="006453CE" w:rsidRPr="002C192E">
        <w:rPr>
          <w:strike/>
        </w:rPr>
        <w:t xml:space="preserve"> </w:t>
      </w:r>
      <w:r w:rsidR="006453CE" w:rsidRPr="00615786">
        <w:rPr>
          <w:strike/>
          <w:color w:val="000000" w:themeColor="text1"/>
        </w:rPr>
        <w:t>(2.1.1.1 c))</w:t>
      </w:r>
      <w:r w:rsidR="006453CE" w:rsidRPr="00615786">
        <w:rPr>
          <w:color w:val="000000" w:themeColor="text1"/>
        </w:rPr>
        <w:t xml:space="preserve">, </w:t>
      </w:r>
      <w:r w:rsidR="006453CE">
        <w:t>il est superflu d’exécuter les séries d’épreuves</w:t>
      </w:r>
      <w:r w:rsidR="006453CE" w:rsidRPr="00615786">
        <w:t xml:space="preserve"> 1 </w:t>
      </w:r>
      <w:r w:rsidR="006453CE">
        <w:t xml:space="preserve">et </w:t>
      </w:r>
      <w:r w:rsidR="006453CE" w:rsidRPr="00615786">
        <w:t>2</w:t>
      </w:r>
      <w:r w:rsidR="006453CE">
        <w:t>. »</w:t>
      </w:r>
      <w:r w:rsidR="006453CE" w:rsidRPr="00615786">
        <w:t>.</w:t>
      </w:r>
    </w:p>
    <w:p w:rsidR="006453CE" w:rsidRPr="00615786" w:rsidRDefault="006453CE" w:rsidP="006453CE">
      <w:pPr>
        <w:pStyle w:val="SingleTxtG"/>
        <w:spacing w:before="240"/>
      </w:pPr>
      <w:r w:rsidRPr="00615786">
        <w:lastRenderedPageBreak/>
        <w:t>11.</w:t>
      </w:r>
      <w:r w:rsidRPr="00615786">
        <w:tab/>
      </w:r>
      <w:r>
        <w:t>Dans les parties du</w:t>
      </w:r>
      <w:r w:rsidRPr="00615786">
        <w:t xml:space="preserve"> Manuel d</w:t>
      </w:r>
      <w:r>
        <w:t>’</w:t>
      </w:r>
      <w:r w:rsidRPr="00615786">
        <w:t>épreuves et de critères</w:t>
      </w:r>
      <w:r>
        <w:t xml:space="preserve"> citées ci-dessous</w:t>
      </w:r>
      <w:r w:rsidRPr="00615786">
        <w:t xml:space="preserve">, </w:t>
      </w:r>
      <w:r>
        <w:t>modifier l’expression de sorte qu’elle se lise « un effet</w:t>
      </w:r>
      <w:r w:rsidR="000736AF">
        <w:t xml:space="preserve"> </w:t>
      </w:r>
      <w:r w:rsidRPr="00615786">
        <w:rPr>
          <w:strike/>
          <w:color w:val="000000" w:themeColor="text1"/>
        </w:rPr>
        <w:t>prati</w:t>
      </w:r>
      <w:r>
        <w:rPr>
          <w:strike/>
          <w:color w:val="000000" w:themeColor="text1"/>
        </w:rPr>
        <w:t>que</w:t>
      </w:r>
      <w:r w:rsidRPr="000736AF">
        <w:rPr>
          <w:strike/>
          <w:color w:val="000000" w:themeColor="text1"/>
        </w:rPr>
        <w:t xml:space="preserve"> </w:t>
      </w:r>
      <w:r>
        <w:t>explosif ou</w:t>
      </w:r>
      <w:r w:rsidRPr="00615786">
        <w:t xml:space="preserve"> pyrotechnique</w:t>
      </w:r>
      <w:r>
        <w:t> » </w:t>
      </w:r>
      <w:r w:rsidRPr="00615786">
        <w:t>: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Case</w:t>
      </w:r>
      <w:r w:rsidRPr="00615786">
        <w:t xml:space="preserve"> 2 </w:t>
      </w:r>
      <w:r>
        <w:t>à la</w:t>
      </w:r>
      <w:r w:rsidRPr="00615786">
        <w:t xml:space="preserve"> </w:t>
      </w:r>
      <w:r>
        <w:t>figure</w:t>
      </w:r>
      <w:r w:rsidRPr="00615786">
        <w:t xml:space="preserve"> 10.2, </w:t>
      </w:r>
      <w:r>
        <w:t>section</w:t>
      </w:r>
      <w:r w:rsidRPr="00615786">
        <w:t xml:space="preserve"> 10</w:t>
      </w:r>
      <w:r>
        <w:t xml:space="preserve"> 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Case</w:t>
      </w:r>
      <w:r w:rsidRPr="00615786">
        <w:t xml:space="preserve"> 35 </w:t>
      </w:r>
      <w:r>
        <w:t>à la figure</w:t>
      </w:r>
      <w:r w:rsidRPr="00615786">
        <w:t xml:space="preserve"> 10.3, </w:t>
      </w:r>
      <w:r>
        <w:t>section</w:t>
      </w:r>
      <w:r w:rsidRPr="00615786">
        <w:t xml:space="preserve"> 10</w:t>
      </w:r>
      <w:r>
        <w:t xml:space="preserve"> 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Section</w:t>
      </w:r>
      <w:r w:rsidRPr="00615786">
        <w:t xml:space="preserve"> 16.6.1.4.7 </w:t>
      </w:r>
      <w:r>
        <w:t>a)</w:t>
      </w:r>
      <w:r w:rsidRPr="00615786">
        <w:t xml:space="preserve"> </w:t>
      </w:r>
      <w:r>
        <w:t>(sans objet en français)</w:t>
      </w:r>
      <w:r w:rsidR="006632E9">
        <w:t> ;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</w:r>
      <w:r>
        <w:t>Section</w:t>
      </w:r>
      <w:r w:rsidRPr="00615786">
        <w:t xml:space="preserve"> </w:t>
      </w:r>
      <w:r>
        <w:t>16.6.1.4.7 b) (sans objet en français)</w:t>
      </w:r>
      <w:r w:rsidR="006632E9">
        <w:t> ;</w:t>
      </w:r>
      <w:r>
        <w:t xml:space="preserve"> et</w:t>
      </w:r>
    </w:p>
    <w:p w:rsidR="006453CE" w:rsidRPr="00615786" w:rsidRDefault="006453CE" w:rsidP="006453C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15786">
        <w:t>•</w:t>
      </w:r>
      <w:r w:rsidRPr="00615786">
        <w:tab/>
        <w:t xml:space="preserve">Point 3.1 </w:t>
      </w:r>
      <w:r>
        <w:t>de l’appendice </w:t>
      </w:r>
      <w:r w:rsidRPr="00615786">
        <w:t>6.</w:t>
      </w:r>
    </w:p>
    <w:p w:rsidR="006453CE" w:rsidRPr="00615786" w:rsidRDefault="006453CE" w:rsidP="006453CE">
      <w:pPr>
        <w:pStyle w:val="HChG"/>
      </w:pPr>
      <w:r w:rsidRPr="00615786">
        <w:tab/>
      </w:r>
      <w:r w:rsidRPr="00615786">
        <w:tab/>
      </w:r>
      <w:r>
        <w:t>A</w:t>
      </w:r>
      <w:r w:rsidRPr="00615786">
        <w:t xml:space="preserve">mendements </w:t>
      </w:r>
      <w:r>
        <w:t>à apporter au</w:t>
      </w:r>
      <w:r w:rsidRPr="00615786">
        <w:t xml:space="preserve"> </w:t>
      </w:r>
      <w:r>
        <w:t>SGH en conséquence</w:t>
      </w:r>
    </w:p>
    <w:p w:rsidR="006453CE" w:rsidRPr="00615786" w:rsidRDefault="006453CE" w:rsidP="006453CE">
      <w:pPr>
        <w:pStyle w:val="SingleTxtG"/>
        <w:spacing w:before="240"/>
      </w:pPr>
      <w:r w:rsidRPr="00615786">
        <w:t>12.</w:t>
      </w:r>
      <w:r w:rsidRPr="00615786">
        <w:tab/>
      </w:r>
      <w:r>
        <w:t xml:space="preserve">Il convient d’apporter les modifications correspondantes aux cases concernées des </w:t>
      </w:r>
      <w:r w:rsidRPr="00615786">
        <w:t>figures</w:t>
      </w:r>
      <w:r w:rsidR="006632E9">
        <w:t> </w:t>
      </w:r>
      <w:r w:rsidRPr="00615786">
        <w:t xml:space="preserve">2.1.2 </w:t>
      </w:r>
      <w:r>
        <w:t xml:space="preserve">et </w:t>
      </w:r>
      <w:r w:rsidRPr="00615786">
        <w:t>2.1.3</w:t>
      </w:r>
      <w:r>
        <w:t xml:space="preserve">, au </w:t>
      </w:r>
      <w:r w:rsidRPr="00615786">
        <w:t>chapitre</w:t>
      </w:r>
      <w:r w:rsidR="006632E9">
        <w:t> </w:t>
      </w:r>
      <w:r w:rsidRPr="00615786">
        <w:t xml:space="preserve">2.1 </w:t>
      </w:r>
      <w:r>
        <w:t>du SGH</w:t>
      </w:r>
      <w:r w:rsidRPr="00615786">
        <w:t xml:space="preserve"> (</w:t>
      </w:r>
      <w:r>
        <w:t>trois case</w:t>
      </w:r>
      <w:r w:rsidRPr="00615786">
        <w:t xml:space="preserve">s </w:t>
      </w:r>
      <w:r>
        <w:t>correspondant respectivement aux cases </w:t>
      </w:r>
      <w:r w:rsidRPr="00615786">
        <w:t xml:space="preserve">2 </w:t>
      </w:r>
      <w:r>
        <w:t xml:space="preserve">et </w:t>
      </w:r>
      <w:r w:rsidRPr="00615786">
        <w:t xml:space="preserve">35 </w:t>
      </w:r>
      <w:r>
        <w:t xml:space="preserve">des </w:t>
      </w:r>
      <w:r w:rsidRPr="00615786">
        <w:t>figures</w:t>
      </w:r>
      <w:r w:rsidR="006632E9">
        <w:t> </w:t>
      </w:r>
      <w:r w:rsidRPr="00615786">
        <w:t xml:space="preserve">10.2 </w:t>
      </w:r>
      <w:r>
        <w:t xml:space="preserve">et </w:t>
      </w:r>
      <w:r w:rsidRPr="00615786">
        <w:t xml:space="preserve">10.3 </w:t>
      </w:r>
      <w:r>
        <w:t xml:space="preserve">du </w:t>
      </w:r>
      <w:r w:rsidRPr="00615786">
        <w:t>Manuel d</w:t>
      </w:r>
      <w:r>
        <w:t>’</w:t>
      </w:r>
      <w:r w:rsidRPr="00615786">
        <w:t>épreuves et de critères)</w:t>
      </w:r>
      <w:r>
        <w:t xml:space="preserve"> (cette modification est sans objet pour la version française du texte)</w:t>
      </w:r>
      <w:r w:rsidRPr="00615786">
        <w:t>.</w:t>
      </w:r>
    </w:p>
    <w:p w:rsidR="00446FE5" w:rsidRPr="006453CE" w:rsidRDefault="006453CE" w:rsidP="006453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453CE" w:rsidSect="00846F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57" w:rsidRDefault="00460657" w:rsidP="00F95C08">
      <w:pPr>
        <w:spacing w:line="240" w:lineRule="auto"/>
      </w:pPr>
    </w:p>
  </w:endnote>
  <w:endnote w:type="continuationSeparator" w:id="0">
    <w:p w:rsidR="00460657" w:rsidRPr="00AC3823" w:rsidRDefault="00460657" w:rsidP="00AC3823">
      <w:pPr>
        <w:pStyle w:val="Footer"/>
      </w:pPr>
    </w:p>
  </w:endnote>
  <w:endnote w:type="continuationNotice" w:id="1">
    <w:p w:rsidR="00460657" w:rsidRDefault="004606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Footer"/>
      <w:tabs>
        <w:tab w:val="right" w:pos="9638"/>
      </w:tabs>
    </w:pPr>
    <w:r w:rsidRPr="00846FD6">
      <w:rPr>
        <w:b/>
        <w:sz w:val="18"/>
      </w:rPr>
      <w:fldChar w:fldCharType="begin"/>
    </w:r>
    <w:r w:rsidRPr="00846FD6">
      <w:rPr>
        <w:b/>
        <w:sz w:val="18"/>
      </w:rPr>
      <w:instrText xml:space="preserve"> PAGE  \* MERGEFORMAT </w:instrText>
    </w:r>
    <w:r w:rsidRPr="00846FD6">
      <w:rPr>
        <w:b/>
        <w:sz w:val="18"/>
      </w:rPr>
      <w:fldChar w:fldCharType="separate"/>
    </w:r>
    <w:r w:rsidR="00BC075B">
      <w:rPr>
        <w:b/>
        <w:noProof/>
        <w:sz w:val="18"/>
      </w:rPr>
      <w:t>2</w:t>
    </w:r>
    <w:r w:rsidRPr="00846FD6">
      <w:rPr>
        <w:b/>
        <w:sz w:val="18"/>
      </w:rPr>
      <w:fldChar w:fldCharType="end"/>
    </w:r>
    <w:r>
      <w:rPr>
        <w:b/>
        <w:sz w:val="18"/>
      </w:rPr>
      <w:tab/>
    </w:r>
    <w:r>
      <w:t>GE.18-14607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Footer"/>
      <w:tabs>
        <w:tab w:val="right" w:pos="9638"/>
      </w:tabs>
      <w:rPr>
        <w:b/>
        <w:sz w:val="18"/>
      </w:rPr>
    </w:pPr>
    <w:r>
      <w:t>GE.18-14607</w:t>
    </w:r>
    <w:r>
      <w:tab/>
    </w:r>
    <w:r w:rsidRPr="00846FD6">
      <w:rPr>
        <w:b/>
        <w:sz w:val="18"/>
      </w:rPr>
      <w:fldChar w:fldCharType="begin"/>
    </w:r>
    <w:r w:rsidRPr="00846FD6">
      <w:rPr>
        <w:b/>
        <w:sz w:val="18"/>
      </w:rPr>
      <w:instrText xml:space="preserve"> PAGE  \* MERGEFORMAT </w:instrText>
    </w:r>
    <w:r w:rsidRPr="00846FD6">
      <w:rPr>
        <w:b/>
        <w:sz w:val="18"/>
      </w:rPr>
      <w:fldChar w:fldCharType="separate"/>
    </w:r>
    <w:r w:rsidR="00BC075B">
      <w:rPr>
        <w:b/>
        <w:noProof/>
        <w:sz w:val="18"/>
      </w:rPr>
      <w:t>3</w:t>
    </w:r>
    <w:r w:rsidRPr="00846F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846FD6" w:rsidRDefault="00846FD6" w:rsidP="00846FD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18-14607  (F)    081018    091018</w:t>
    </w:r>
    <w:r>
      <w:rPr>
        <w:sz w:val="20"/>
      </w:rPr>
      <w:br/>
    </w:r>
    <w:r w:rsidRPr="00846FD6">
      <w:rPr>
        <w:rFonts w:ascii="C39T30Lfz" w:hAnsi="C39T30Lfz"/>
        <w:sz w:val="56"/>
      </w:rPr>
      <w:t></w:t>
    </w:r>
    <w:r w:rsidRPr="00846FD6">
      <w:rPr>
        <w:rFonts w:ascii="C39T30Lfz" w:hAnsi="C39T30Lfz"/>
        <w:sz w:val="56"/>
      </w:rPr>
      <w:t></w:t>
    </w:r>
    <w:r w:rsidRPr="00846FD6">
      <w:rPr>
        <w:rFonts w:ascii="C39T30Lfz" w:hAnsi="C39T30Lfz"/>
        <w:sz w:val="56"/>
      </w:rPr>
      <w:t></w:t>
    </w:r>
    <w:r w:rsidRPr="00846FD6">
      <w:rPr>
        <w:rFonts w:ascii="C39T30Lfz" w:hAnsi="C39T30Lfz"/>
        <w:sz w:val="56"/>
      </w:rPr>
      <w:t></w:t>
    </w:r>
    <w:r w:rsidRPr="00846FD6">
      <w:rPr>
        <w:rFonts w:ascii="C39T30Lfz" w:hAnsi="C39T30Lfz"/>
        <w:sz w:val="56"/>
      </w:rPr>
      <w:t></w:t>
    </w:r>
    <w:r w:rsidRPr="00846FD6">
      <w:rPr>
        <w:rFonts w:ascii="C39T30Lfz" w:hAnsi="C39T30Lfz"/>
        <w:sz w:val="56"/>
      </w:rPr>
      <w:t></w:t>
    </w:r>
    <w:r w:rsidRPr="00846FD6">
      <w:rPr>
        <w:rFonts w:ascii="C39T30Lfz" w:hAnsi="C39T30Lfz"/>
        <w:sz w:val="56"/>
      </w:rPr>
      <w:t></w:t>
    </w:r>
    <w:r w:rsidRPr="00846FD6">
      <w:rPr>
        <w:rFonts w:ascii="C39T30Lfz" w:hAnsi="C39T30Lfz"/>
        <w:sz w:val="56"/>
      </w:rPr>
      <w:t></w:t>
    </w:r>
    <w:r w:rsidRPr="00846FD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57" w:rsidRPr="00AC3823" w:rsidRDefault="004606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0657" w:rsidRPr="00AC3823" w:rsidRDefault="004606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0657" w:rsidRPr="00AC3823" w:rsidRDefault="00460657">
      <w:pPr>
        <w:spacing w:line="240" w:lineRule="auto"/>
        <w:rPr>
          <w:sz w:val="2"/>
          <w:szCs w:val="2"/>
        </w:rPr>
      </w:pPr>
    </w:p>
  </w:footnote>
  <w:footnote w:id="2">
    <w:p w:rsidR="00557436" w:rsidRPr="00557436" w:rsidRDefault="00557436" w:rsidP="00557436">
      <w:pPr>
        <w:pStyle w:val="FootnoteText"/>
      </w:pPr>
      <w:r>
        <w:rPr>
          <w:rStyle w:val="FootnoteReference"/>
        </w:rPr>
        <w:tab/>
      </w:r>
      <w:r w:rsidRPr="005574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B085D">
        <w:t xml:space="preserve">Conformément au programme de travail du Sous-Comité pour la période 2017-2018, approuvé </w:t>
      </w:r>
      <w:r w:rsidRPr="00557436">
        <w:t>par</w:t>
      </w:r>
      <w:r w:rsidRPr="00CB085D">
        <w:t xml:space="preserve"> le Comité à sa huitième session </w:t>
      </w:r>
      <w:r w:rsidR="00E33240">
        <w:t>(voir ST/SG/AC.10/C.3/100, par. </w:t>
      </w:r>
      <w:r w:rsidRPr="00CB085D">
        <w:t>98 et ST/SG/AC.10/44, par. 14</w:t>
      </w:r>
      <w:r w:rsidRPr="00E75CC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>
    <w:pPr>
      <w:pStyle w:val="Header"/>
      <w:rPr>
        <w:lang w:val="en-US"/>
      </w:rPr>
    </w:pPr>
    <w:r>
      <w:fldChar w:fldCharType="begin"/>
    </w:r>
    <w:r w:rsidRPr="00846FD6">
      <w:rPr>
        <w:lang w:val="en-US"/>
      </w:rPr>
      <w:instrText xml:space="preserve"> TITLE  \* MERGEFORMAT </w:instrText>
    </w:r>
    <w:r>
      <w:fldChar w:fldCharType="separate"/>
    </w:r>
    <w:r w:rsidR="00974D58">
      <w:rPr>
        <w:lang w:val="en-US"/>
      </w:rPr>
      <w:t>ST/SG/AC.10/C.3/2018/81</w:t>
    </w:r>
    <w:r>
      <w:fldChar w:fldCharType="end"/>
    </w:r>
    <w:r w:rsidRPr="00846FD6">
      <w:rPr>
        <w:lang w:val="en-US"/>
      </w:rPr>
      <w:br/>
    </w:r>
    <w:r>
      <w:fldChar w:fldCharType="begin"/>
    </w:r>
    <w:r w:rsidRPr="00846FD6">
      <w:rPr>
        <w:lang w:val="en-US"/>
      </w:rPr>
      <w:instrText xml:space="preserve"> KEYWORDS  \* MERGEFORMAT </w:instrText>
    </w:r>
    <w:r>
      <w:fldChar w:fldCharType="separate"/>
    </w:r>
    <w:r w:rsidR="00974D58">
      <w:rPr>
        <w:lang w:val="en-US"/>
      </w:rPr>
      <w:t>ST/SG/AC.10/C.4/2018/19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D6" w:rsidRPr="00846FD6" w:rsidRDefault="00846FD6" w:rsidP="00846FD6">
    <w:pPr>
      <w:pStyle w:val="Header"/>
      <w:jc w:val="right"/>
      <w:rPr>
        <w:lang w:val="en-US"/>
      </w:rPr>
    </w:pPr>
    <w:r>
      <w:fldChar w:fldCharType="begin"/>
    </w:r>
    <w:r w:rsidRPr="00846FD6">
      <w:rPr>
        <w:lang w:val="en-US"/>
      </w:rPr>
      <w:instrText xml:space="preserve"> TITLE  \* MERGEFORMAT </w:instrText>
    </w:r>
    <w:r>
      <w:fldChar w:fldCharType="separate"/>
    </w:r>
    <w:r w:rsidR="00974D58">
      <w:rPr>
        <w:lang w:val="en-US"/>
      </w:rPr>
      <w:t>ST/SG/AC.10/C.3/2018/81</w:t>
    </w:r>
    <w:r>
      <w:fldChar w:fldCharType="end"/>
    </w:r>
    <w:r w:rsidRPr="00846FD6">
      <w:rPr>
        <w:lang w:val="en-US"/>
      </w:rPr>
      <w:br/>
    </w:r>
    <w:r>
      <w:fldChar w:fldCharType="begin"/>
    </w:r>
    <w:r w:rsidRPr="00846FD6">
      <w:rPr>
        <w:lang w:val="en-US"/>
      </w:rPr>
      <w:instrText xml:space="preserve"> KEYWORDS  \* MERGEFORMAT </w:instrText>
    </w:r>
    <w:r>
      <w:fldChar w:fldCharType="separate"/>
    </w:r>
    <w:r w:rsidR="00974D58">
      <w:rPr>
        <w:lang w:val="en-US"/>
      </w:rPr>
      <w:t>ST/SG/AC.10/C.4/2018/19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57"/>
    <w:rsid w:val="00017F94"/>
    <w:rsid w:val="00023842"/>
    <w:rsid w:val="000305D3"/>
    <w:rsid w:val="000334F9"/>
    <w:rsid w:val="000736AF"/>
    <w:rsid w:val="00076286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34696"/>
    <w:rsid w:val="00441C3B"/>
    <w:rsid w:val="00446FE5"/>
    <w:rsid w:val="00452396"/>
    <w:rsid w:val="00460657"/>
    <w:rsid w:val="004E468C"/>
    <w:rsid w:val="005505B7"/>
    <w:rsid w:val="00557436"/>
    <w:rsid w:val="00573BE5"/>
    <w:rsid w:val="00584DC4"/>
    <w:rsid w:val="00586ED3"/>
    <w:rsid w:val="00596AA9"/>
    <w:rsid w:val="006453CE"/>
    <w:rsid w:val="006632E9"/>
    <w:rsid w:val="0068456F"/>
    <w:rsid w:val="0071601D"/>
    <w:rsid w:val="007A62E6"/>
    <w:rsid w:val="0080684C"/>
    <w:rsid w:val="00846FD6"/>
    <w:rsid w:val="00871C75"/>
    <w:rsid w:val="008776DC"/>
    <w:rsid w:val="008B40CD"/>
    <w:rsid w:val="009705C8"/>
    <w:rsid w:val="00974D58"/>
    <w:rsid w:val="009C1CF4"/>
    <w:rsid w:val="00A20516"/>
    <w:rsid w:val="00A30353"/>
    <w:rsid w:val="00AC3823"/>
    <w:rsid w:val="00AE323C"/>
    <w:rsid w:val="00B00181"/>
    <w:rsid w:val="00B00B0D"/>
    <w:rsid w:val="00B644E9"/>
    <w:rsid w:val="00B765F7"/>
    <w:rsid w:val="00BA0CA9"/>
    <w:rsid w:val="00BC075B"/>
    <w:rsid w:val="00C02897"/>
    <w:rsid w:val="00D3439C"/>
    <w:rsid w:val="00DB1831"/>
    <w:rsid w:val="00DD3BFD"/>
    <w:rsid w:val="00DF6678"/>
    <w:rsid w:val="00E33240"/>
    <w:rsid w:val="00EF2E22"/>
    <w:rsid w:val="00F01738"/>
    <w:rsid w:val="00F660DF"/>
    <w:rsid w:val="00F71E61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EBD323-1EF0-43C7-956E-F374DBF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453C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6453C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6453CE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ST/SG/AC.10/C.3/2018/81</vt:lpstr>
      <vt:lpstr>ST/SG/AC.10/C.3/2018/81</vt:lpstr>
    </vt:vector>
  </TitlesOfParts>
  <Company>DCM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ST/SG/AC.10/C.3/2018/81</dc:title>
  <dc:creator>Sandrine CLERE</dc:creator>
  <cp:keywords>ST/SG/AC.10/C.4/2018/19</cp:keywords>
  <cp:lastModifiedBy>Laurence Berthet</cp:lastModifiedBy>
  <cp:revision>2</cp:revision>
  <cp:lastPrinted>2018-10-09T12:58:00Z</cp:lastPrinted>
  <dcterms:created xsi:type="dcterms:W3CDTF">2018-10-09T12:58:00Z</dcterms:created>
  <dcterms:modified xsi:type="dcterms:W3CDTF">2018-10-09T12:58:00Z</dcterms:modified>
</cp:coreProperties>
</file>