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662C" w14:paraId="02ABD176" w14:textId="77777777" w:rsidTr="006D12B1">
        <w:trPr>
          <w:trHeight w:val="851"/>
        </w:trPr>
        <w:tc>
          <w:tcPr>
            <w:tcW w:w="1259" w:type="dxa"/>
            <w:tcBorders>
              <w:top w:val="nil"/>
              <w:left w:val="nil"/>
              <w:bottom w:val="single" w:sz="4" w:space="0" w:color="auto"/>
              <w:right w:val="nil"/>
            </w:tcBorders>
            <w:shd w:val="clear" w:color="auto" w:fill="auto"/>
          </w:tcPr>
          <w:p w14:paraId="0D4C623B"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46612895" w14:textId="77777777" w:rsidR="00446DE4" w:rsidRPr="00262393" w:rsidRDefault="00B3317B" w:rsidP="006D12B1">
            <w:pPr>
              <w:spacing w:after="80" w:line="340" w:lineRule="exact"/>
              <w:rPr>
                <w:sz w:val="28"/>
                <w:szCs w:val="28"/>
              </w:rPr>
            </w:pPr>
            <w:r w:rsidRPr="00262393">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185EA9FB" w14:textId="625E89C5" w:rsidR="006D12B1" w:rsidRPr="00283454" w:rsidRDefault="006D12B1" w:rsidP="00D905CF">
            <w:pPr>
              <w:jc w:val="right"/>
            </w:pPr>
            <w:r w:rsidRPr="00283454">
              <w:rPr>
                <w:sz w:val="40"/>
              </w:rPr>
              <w:t>ST</w:t>
            </w:r>
            <w:r w:rsidRPr="00283454">
              <w:t>/SG/AC.10/C.3/201</w:t>
            </w:r>
            <w:r w:rsidR="00851446" w:rsidRPr="00283454">
              <w:t>8</w:t>
            </w:r>
            <w:r w:rsidRPr="00283454">
              <w:t>/</w:t>
            </w:r>
            <w:r w:rsidR="00D2000F">
              <w:t>53</w:t>
            </w:r>
          </w:p>
        </w:tc>
      </w:tr>
      <w:tr w:rsidR="003107FA" w:rsidRPr="00262393" w14:paraId="1D7585EA"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148F5617" w14:textId="77777777" w:rsidR="003107FA" w:rsidRPr="00262393" w:rsidRDefault="00A9451B" w:rsidP="006D12B1">
            <w:pPr>
              <w:spacing w:before="120"/>
              <w:jc w:val="center"/>
            </w:pPr>
            <w:r w:rsidRPr="00262393">
              <w:rPr>
                <w:noProof/>
                <w:lang w:val="en-US"/>
              </w:rPr>
              <w:drawing>
                <wp:inline distT="0" distB="0" distL="0" distR="0" wp14:anchorId="6793C430" wp14:editId="2ADA55AF">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9E66901" w14:textId="77777777" w:rsidR="003107FA" w:rsidRPr="00262393" w:rsidRDefault="00922550" w:rsidP="006D12B1">
            <w:pPr>
              <w:spacing w:before="120" w:line="420" w:lineRule="exact"/>
              <w:rPr>
                <w:b/>
                <w:sz w:val="40"/>
                <w:szCs w:val="40"/>
              </w:rPr>
            </w:pPr>
            <w:r w:rsidRPr="00262393">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77572221" w14:textId="77777777" w:rsidR="003107FA" w:rsidRPr="00283454" w:rsidRDefault="006D12B1" w:rsidP="006D12B1">
            <w:pPr>
              <w:spacing w:before="240" w:line="240" w:lineRule="exact"/>
            </w:pPr>
            <w:r w:rsidRPr="00283454">
              <w:t>Distr.: General</w:t>
            </w:r>
          </w:p>
          <w:p w14:paraId="64C532DD" w14:textId="626F4B4B" w:rsidR="006D12B1" w:rsidRPr="00283454" w:rsidRDefault="00D2000F" w:rsidP="006D12B1">
            <w:pPr>
              <w:spacing w:line="240" w:lineRule="exact"/>
            </w:pPr>
            <w:r>
              <w:t>4 April</w:t>
            </w:r>
            <w:r w:rsidR="00CE1125" w:rsidRPr="00283454">
              <w:t xml:space="preserve"> </w:t>
            </w:r>
            <w:r w:rsidR="00AA6ADE" w:rsidRPr="00283454">
              <w:t>201</w:t>
            </w:r>
            <w:r w:rsidR="007D662C" w:rsidRPr="00283454">
              <w:t>8</w:t>
            </w:r>
          </w:p>
          <w:p w14:paraId="7C3D3142" w14:textId="77777777" w:rsidR="006D12B1" w:rsidRPr="00283454" w:rsidRDefault="006D12B1" w:rsidP="006D12B1">
            <w:pPr>
              <w:spacing w:line="240" w:lineRule="exact"/>
            </w:pPr>
          </w:p>
          <w:p w14:paraId="52979D2C" w14:textId="77777777" w:rsidR="006D12B1" w:rsidRPr="00283454" w:rsidRDefault="006D12B1" w:rsidP="006D12B1">
            <w:pPr>
              <w:spacing w:line="240" w:lineRule="exact"/>
            </w:pPr>
            <w:r w:rsidRPr="00283454">
              <w:t>Original: English</w:t>
            </w:r>
          </w:p>
        </w:tc>
      </w:tr>
    </w:tbl>
    <w:p w14:paraId="409F2F2F" w14:textId="77777777" w:rsidR="009F0F06" w:rsidRPr="00283454" w:rsidRDefault="009F0F06" w:rsidP="009F0F06">
      <w:pPr>
        <w:spacing w:before="120"/>
        <w:rPr>
          <w:b/>
          <w:sz w:val="24"/>
          <w:szCs w:val="24"/>
        </w:rPr>
      </w:pPr>
      <w:r w:rsidRPr="00262393">
        <w:rPr>
          <w:b/>
          <w:sz w:val="24"/>
          <w:szCs w:val="24"/>
        </w:rPr>
        <w:t>Committee of Experts on the Transport of Dangerous Goods</w:t>
      </w:r>
      <w:r w:rsidRPr="00262393">
        <w:rPr>
          <w:b/>
          <w:sz w:val="24"/>
          <w:szCs w:val="24"/>
        </w:rPr>
        <w:br/>
        <w:t xml:space="preserve">and on the </w:t>
      </w:r>
      <w:r w:rsidRPr="00283454">
        <w:rPr>
          <w:b/>
          <w:sz w:val="24"/>
          <w:szCs w:val="24"/>
        </w:rPr>
        <w:t>Globally Harmonized System of Classification</w:t>
      </w:r>
      <w:r w:rsidRPr="00283454">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RPr="00283454" w14:paraId="3974D7BB" w14:textId="77777777" w:rsidTr="009B371C">
        <w:tc>
          <w:tcPr>
            <w:tcW w:w="9639" w:type="dxa"/>
            <w:shd w:val="clear" w:color="auto" w:fill="auto"/>
          </w:tcPr>
          <w:p w14:paraId="35E1FB5C" w14:textId="77777777" w:rsidR="009B371C" w:rsidRPr="00283454" w:rsidRDefault="009B371C" w:rsidP="00963F4E">
            <w:pPr>
              <w:spacing w:before="120" w:after="120"/>
              <w:ind w:right="57"/>
              <w:rPr>
                <w:b/>
              </w:rPr>
            </w:pPr>
            <w:r w:rsidRPr="00283454">
              <w:rPr>
                <w:b/>
              </w:rPr>
              <w:t xml:space="preserve">Sub-Committee of Experts on the Transport of Dangerous Goods </w:t>
            </w:r>
          </w:p>
        </w:tc>
      </w:tr>
      <w:tr w:rsidR="009B371C" w:rsidRPr="00283454" w14:paraId="52DA4C7F" w14:textId="77777777" w:rsidTr="009B371C">
        <w:tc>
          <w:tcPr>
            <w:tcW w:w="9639" w:type="dxa"/>
            <w:shd w:val="clear" w:color="auto" w:fill="auto"/>
          </w:tcPr>
          <w:p w14:paraId="5284FC92" w14:textId="77777777" w:rsidR="009B371C" w:rsidRPr="00283454" w:rsidRDefault="009B371C" w:rsidP="005E3071">
            <w:pPr>
              <w:spacing w:after="120"/>
              <w:ind w:right="57"/>
              <w:rPr>
                <w:b/>
              </w:rPr>
            </w:pPr>
            <w:r w:rsidRPr="00283454">
              <w:rPr>
                <w:b/>
              </w:rPr>
              <w:t>F</w:t>
            </w:r>
            <w:r w:rsidR="001F2D80" w:rsidRPr="00283454">
              <w:rPr>
                <w:b/>
              </w:rPr>
              <w:t>ifty-</w:t>
            </w:r>
            <w:r w:rsidR="007D662C" w:rsidRPr="00283454">
              <w:rPr>
                <w:b/>
              </w:rPr>
              <w:t>third</w:t>
            </w:r>
            <w:r w:rsidRPr="00283454">
              <w:rPr>
                <w:b/>
              </w:rPr>
              <w:t xml:space="preserve"> session</w:t>
            </w:r>
          </w:p>
        </w:tc>
      </w:tr>
      <w:tr w:rsidR="009B371C" w:rsidRPr="00283454" w14:paraId="6CCBCC10" w14:textId="77777777" w:rsidTr="009B371C">
        <w:tc>
          <w:tcPr>
            <w:tcW w:w="9639" w:type="dxa"/>
            <w:shd w:val="clear" w:color="auto" w:fill="auto"/>
          </w:tcPr>
          <w:p w14:paraId="1BB58DB7" w14:textId="77777777" w:rsidR="009B371C" w:rsidRPr="00283454" w:rsidRDefault="009B371C" w:rsidP="004E05DD">
            <w:pPr>
              <w:ind w:right="57"/>
            </w:pPr>
            <w:r w:rsidRPr="00283454">
              <w:t xml:space="preserve">Geneva, </w:t>
            </w:r>
            <w:r w:rsidR="007D662C" w:rsidRPr="00283454">
              <w:t>25 June</w:t>
            </w:r>
            <w:r w:rsidRPr="00283454">
              <w:t>-</w:t>
            </w:r>
            <w:r w:rsidR="007D662C" w:rsidRPr="00283454">
              <w:t>4</w:t>
            </w:r>
            <w:r w:rsidR="001F2D80" w:rsidRPr="00283454">
              <w:t xml:space="preserve"> </w:t>
            </w:r>
            <w:r w:rsidR="007D662C" w:rsidRPr="00283454">
              <w:t>July</w:t>
            </w:r>
            <w:r w:rsidR="001F2D80" w:rsidRPr="00283454">
              <w:t xml:space="preserve"> 201</w:t>
            </w:r>
            <w:r w:rsidR="007D662C" w:rsidRPr="00283454">
              <w:t>8</w:t>
            </w:r>
          </w:p>
          <w:p w14:paraId="1F0A5656" w14:textId="77777777" w:rsidR="00CE1125" w:rsidRPr="00283454" w:rsidRDefault="00CE1125" w:rsidP="00CE1125">
            <w:pPr>
              <w:rPr>
                <w:b/>
              </w:rPr>
            </w:pPr>
            <w:r w:rsidRPr="00283454">
              <w:t>Item 2 (</w:t>
            </w:r>
            <w:r w:rsidR="00D905CF" w:rsidRPr="00283454">
              <w:t>j</w:t>
            </w:r>
            <w:r w:rsidRPr="00283454">
              <w:t>) of the provisional agenda</w:t>
            </w:r>
            <w:r w:rsidRPr="00283454">
              <w:rPr>
                <w:b/>
              </w:rPr>
              <w:t xml:space="preserve"> </w:t>
            </w:r>
            <w:r w:rsidRPr="00283454">
              <w:rPr>
                <w:b/>
              </w:rPr>
              <w:br/>
            </w:r>
            <w:r w:rsidR="005E3071" w:rsidRPr="00283454">
              <w:rPr>
                <w:b/>
              </w:rPr>
              <w:t xml:space="preserve">Explosives and related matters: </w:t>
            </w:r>
            <w:r w:rsidR="005E3071" w:rsidRPr="00283454">
              <w:rPr>
                <w:b/>
              </w:rPr>
              <w:br/>
            </w:r>
            <w:r w:rsidR="00D905CF" w:rsidRPr="00283454">
              <w:rPr>
                <w:b/>
              </w:rPr>
              <w:t>miscellaneous</w:t>
            </w:r>
          </w:p>
          <w:p w14:paraId="6A9EE533" w14:textId="77777777" w:rsidR="009B371C" w:rsidRPr="00283454" w:rsidRDefault="009B371C" w:rsidP="004A7D33">
            <w:pPr>
              <w:rPr>
                <w:b/>
              </w:rPr>
            </w:pPr>
          </w:p>
        </w:tc>
      </w:tr>
    </w:tbl>
    <w:p w14:paraId="61606949" w14:textId="77777777" w:rsidR="00D905CF" w:rsidRPr="00283454" w:rsidRDefault="00D905CF" w:rsidP="00D905CF">
      <w:pPr>
        <w:pStyle w:val="HChG"/>
      </w:pPr>
      <w:r w:rsidRPr="00283454">
        <w:tab/>
      </w:r>
      <w:r w:rsidRPr="00283454">
        <w:tab/>
      </w:r>
      <w:r w:rsidR="006737B3" w:rsidRPr="00283454">
        <w:t>A m</w:t>
      </w:r>
      <w:r w:rsidRPr="00283454">
        <w:t xml:space="preserve">ethod for </w:t>
      </w:r>
      <w:r w:rsidR="006737B3" w:rsidRPr="00283454">
        <w:t>t</w:t>
      </w:r>
      <w:r w:rsidRPr="00283454">
        <w:t xml:space="preserve">ransporting </w:t>
      </w:r>
      <w:r w:rsidR="006737B3" w:rsidRPr="00283454">
        <w:t>c</w:t>
      </w:r>
      <w:r w:rsidRPr="00283454">
        <w:t xml:space="preserve">ontrolled </w:t>
      </w:r>
      <w:r w:rsidR="006737B3" w:rsidRPr="00283454">
        <w:t>s</w:t>
      </w:r>
      <w:r w:rsidRPr="00283454">
        <w:t>hipments</w:t>
      </w:r>
      <w:r w:rsidR="006737B3" w:rsidRPr="00283454">
        <w:t xml:space="preserve"> of explosives </w:t>
      </w:r>
      <w:r w:rsidR="007B0965" w:rsidRPr="00283454">
        <w:t>that are not yet classified</w:t>
      </w:r>
      <w:r w:rsidRPr="00283454">
        <w:t xml:space="preserve"> (</w:t>
      </w:r>
      <w:r w:rsidRPr="00283454">
        <w:sym w:font="Symbol" w:char="F0A3"/>
      </w:r>
      <w:r w:rsidRPr="00283454">
        <w:t xml:space="preserve"> </w:t>
      </w:r>
      <w:r w:rsidR="006737B3" w:rsidRPr="00283454">
        <w:t>25 g</w:t>
      </w:r>
      <w:r w:rsidRPr="00283454">
        <w:t>rams)</w:t>
      </w:r>
    </w:p>
    <w:p w14:paraId="4AB40FE1" w14:textId="77777777" w:rsidR="00D905CF" w:rsidRPr="00283454" w:rsidRDefault="00D905CF" w:rsidP="00D905CF">
      <w:pPr>
        <w:pStyle w:val="H1G"/>
      </w:pPr>
      <w:r w:rsidRPr="00283454">
        <w:tab/>
      </w:r>
      <w:r w:rsidRPr="00283454">
        <w:tab/>
        <w:t xml:space="preserve">Transmitted by the Sporting Arms </w:t>
      </w:r>
      <w:r w:rsidR="003B6FA7" w:rsidRPr="00283454">
        <w:t>and</w:t>
      </w:r>
      <w:r w:rsidRPr="00283454">
        <w:t xml:space="preserve"> Ammunition Manufacturers’ Institute (SAAMI)</w:t>
      </w:r>
      <w:r w:rsidRPr="00283454">
        <w:rPr>
          <w:rStyle w:val="FootnoteReference"/>
        </w:rPr>
        <w:footnoteReference w:id="2"/>
      </w:r>
    </w:p>
    <w:p w14:paraId="78D1F5F7" w14:textId="77777777" w:rsidR="00D905CF" w:rsidRPr="00283454" w:rsidRDefault="00D905CF" w:rsidP="00D905CF">
      <w:pPr>
        <w:pStyle w:val="HChG"/>
      </w:pPr>
      <w:r w:rsidRPr="00283454">
        <w:tab/>
      </w:r>
      <w:r w:rsidRPr="00283454">
        <w:tab/>
        <w:t>Introduction</w:t>
      </w:r>
    </w:p>
    <w:p w14:paraId="29D5ECA8" w14:textId="33FC3C9B" w:rsidR="00DD44E3" w:rsidRPr="00283454" w:rsidRDefault="0025255C" w:rsidP="00D2000F">
      <w:pPr>
        <w:pStyle w:val="SingleTxtG"/>
        <w:numPr>
          <w:ilvl w:val="0"/>
          <w:numId w:val="30"/>
        </w:numPr>
        <w:ind w:left="1124" w:firstLine="10"/>
      </w:pPr>
      <w:r w:rsidRPr="00283454">
        <w:t xml:space="preserve">This working paper is a follow-up to </w:t>
      </w:r>
      <w:r w:rsidR="007D662C" w:rsidRPr="00283454">
        <w:t>working paper S</w:t>
      </w:r>
      <w:r w:rsidR="00ED4249">
        <w:t>T/SG/AC.10/C.3/2017/51</w:t>
      </w:r>
      <w:r w:rsidR="007D662C" w:rsidRPr="00283454">
        <w:t xml:space="preserve"> </w:t>
      </w:r>
      <w:r w:rsidRPr="00283454">
        <w:t>which was endorsed by the Explosives Working Group</w:t>
      </w:r>
      <w:r w:rsidR="007B0965" w:rsidRPr="00283454">
        <w:t xml:space="preserve"> (EWG)</w:t>
      </w:r>
      <w:r w:rsidRPr="00283454">
        <w:t xml:space="preserve"> with recommendations for consideration.</w:t>
      </w:r>
      <w:r w:rsidR="007B0965" w:rsidRPr="00283454">
        <w:t xml:space="preserve">  </w:t>
      </w:r>
      <w:r w:rsidR="00DD44E3" w:rsidRPr="00283454">
        <w:t>There was general agreement of the EWG that these proposed shipping methods would be of value for those that are involved in international round robin testing and their adoption into the Mo</w:t>
      </w:r>
      <w:r w:rsidR="003D2B60">
        <w:t xml:space="preserve">del Regulations was desirable. </w:t>
      </w:r>
      <w:r w:rsidR="00DD44E3" w:rsidRPr="00283454">
        <w:t xml:space="preserve">It was also noted by the EWG that the shipping methods described in </w:t>
      </w:r>
      <w:r w:rsidR="00ED4249">
        <w:t>ST/SG/AC.10/C.3/</w:t>
      </w:r>
      <w:r w:rsidR="00DD44E3" w:rsidRPr="00283454">
        <w:t xml:space="preserve">2017/51 provide a safe way to transport </w:t>
      </w:r>
      <w:proofErr w:type="gramStart"/>
      <w:r w:rsidR="00DD44E3" w:rsidRPr="00283454">
        <w:t>as yet</w:t>
      </w:r>
      <w:proofErr w:type="gramEnd"/>
      <w:r w:rsidR="00DD44E3" w:rsidRPr="00283454">
        <w:t xml:space="preserve"> unclassified explosives for testing and product development (Refer to </w:t>
      </w:r>
      <w:r w:rsidR="00D2000F">
        <w:t xml:space="preserve">informal document </w:t>
      </w:r>
      <w:r w:rsidR="00DD44E3" w:rsidRPr="00283454">
        <w:t>INF</w:t>
      </w:r>
      <w:r w:rsidR="00C22483" w:rsidRPr="00283454">
        <w:t>.53</w:t>
      </w:r>
      <w:r w:rsidR="00D2000F">
        <w:t xml:space="preserve"> (52</w:t>
      </w:r>
      <w:r w:rsidR="00D2000F" w:rsidRPr="00D2000F">
        <w:rPr>
          <w:vertAlign w:val="superscript"/>
        </w:rPr>
        <w:t>nd</w:t>
      </w:r>
      <w:r w:rsidR="00D2000F">
        <w:t xml:space="preserve"> session)). </w:t>
      </w:r>
      <w:r w:rsidR="00C22483" w:rsidRPr="00283454">
        <w:t>The proposal below reflects the recommendations of the EWG.</w:t>
      </w:r>
    </w:p>
    <w:p w14:paraId="0EE4C07A" w14:textId="333005F0" w:rsidR="005219D1" w:rsidRPr="00283454" w:rsidRDefault="00B66672" w:rsidP="00D2000F">
      <w:pPr>
        <w:pStyle w:val="SingleTxtG"/>
        <w:numPr>
          <w:ilvl w:val="0"/>
          <w:numId w:val="30"/>
        </w:numPr>
        <w:ind w:left="1124" w:firstLine="10"/>
      </w:pPr>
      <w:r w:rsidRPr="00283454">
        <w:t xml:space="preserve">The description of the specialized container </w:t>
      </w:r>
      <w:r w:rsidR="005219D1" w:rsidRPr="00283454">
        <w:t xml:space="preserve">has been augmented with additional design specification, </w:t>
      </w:r>
      <w:r w:rsidR="005219D1" w:rsidRPr="00D2000F">
        <w:t>technical</w:t>
      </w:r>
      <w:r w:rsidR="005219D1" w:rsidRPr="00283454">
        <w:t xml:space="preserve"> references, and pictorial engineering control options for ensuring the explosives </w:t>
      </w:r>
      <w:r w:rsidR="00E253A4" w:rsidRPr="00283454">
        <w:t>are</w:t>
      </w:r>
      <w:r w:rsidR="005219D1" w:rsidRPr="00283454">
        <w:t xml:space="preserve"> </w:t>
      </w:r>
      <w:r w:rsidR="00283454" w:rsidRPr="00283454">
        <w:t>cantered</w:t>
      </w:r>
      <w:r w:rsidR="005219D1" w:rsidRPr="00283454">
        <w:t xml:space="preserve"> in the container.</w:t>
      </w:r>
    </w:p>
    <w:p w14:paraId="78B8BAD2" w14:textId="77777777" w:rsidR="00E253A4" w:rsidRPr="00283454" w:rsidRDefault="00D81742" w:rsidP="00D2000F">
      <w:pPr>
        <w:pStyle w:val="SingleTxtG"/>
        <w:numPr>
          <w:ilvl w:val="0"/>
          <w:numId w:val="30"/>
        </w:numPr>
        <w:ind w:left="1124" w:firstLine="10"/>
      </w:pPr>
      <w:r w:rsidRPr="00283454">
        <w:lastRenderedPageBreak/>
        <w:t xml:space="preserve">In addition to the 2014 test </w:t>
      </w:r>
      <w:r w:rsidR="00E6102D" w:rsidRPr="00283454">
        <w:t>results</w:t>
      </w:r>
      <w:r w:rsidRPr="00283454">
        <w:t xml:space="preserve"> for these containers provided in the</w:t>
      </w:r>
      <w:r w:rsidR="007A5A16" w:rsidRPr="00283454">
        <w:t xml:space="preserve"> previous paper</w:t>
      </w:r>
      <w:r w:rsidRPr="00283454">
        <w:t xml:space="preserve">, this paper has been updated to include a summary of the test </w:t>
      </w:r>
      <w:r w:rsidR="00E6102D" w:rsidRPr="00283454">
        <w:t>results</w:t>
      </w:r>
      <w:r w:rsidRPr="00283454">
        <w:t xml:space="preserve"> from </w:t>
      </w:r>
      <w:r w:rsidR="00E253A4" w:rsidRPr="00283454">
        <w:t>2014</w:t>
      </w:r>
      <w:r w:rsidR="007A5A16" w:rsidRPr="00283454">
        <w:t xml:space="preserve">, 1983, and 1977 which </w:t>
      </w:r>
      <w:r w:rsidRPr="00283454">
        <w:t>form the technical basis for this proposal.</w:t>
      </w:r>
    </w:p>
    <w:p w14:paraId="61E3F476" w14:textId="77777777" w:rsidR="00C22483" w:rsidRPr="00283454" w:rsidRDefault="00D905CF" w:rsidP="00E253A4">
      <w:pPr>
        <w:pStyle w:val="H1G"/>
      </w:pPr>
      <w:r w:rsidRPr="00283454">
        <w:tab/>
      </w:r>
      <w:r w:rsidR="00E253A4" w:rsidRPr="00283454">
        <w:tab/>
      </w:r>
      <w:r w:rsidR="00C22483" w:rsidRPr="00283454">
        <w:t xml:space="preserve">Description of a specialized </w:t>
      </w:r>
      <w:r w:rsidR="00B66672" w:rsidRPr="00283454">
        <w:t xml:space="preserve">container </w:t>
      </w:r>
      <w:r w:rsidR="00C22483" w:rsidRPr="00283454">
        <w:t>for solids</w:t>
      </w:r>
    </w:p>
    <w:p w14:paraId="01263B8C" w14:textId="63F9858A" w:rsidR="00D905CF" w:rsidRPr="00262393" w:rsidRDefault="00E253A4" w:rsidP="00D905CF">
      <w:pPr>
        <w:pStyle w:val="SingleTxtG"/>
      </w:pPr>
      <w:r w:rsidRPr="00283454">
        <w:t>4</w:t>
      </w:r>
      <w:r w:rsidR="00D905CF" w:rsidRPr="00283454">
        <w:t>.</w:t>
      </w:r>
      <w:r w:rsidR="00D905CF" w:rsidRPr="00283454">
        <w:tab/>
        <w:t xml:space="preserve">The </w:t>
      </w:r>
      <w:r w:rsidR="00D905CF" w:rsidRPr="00ED4249">
        <w:t>US</w:t>
      </w:r>
      <w:r w:rsidR="00D905CF" w:rsidRPr="00283454">
        <w:t xml:space="preserve"> Special Permit 8451 (DOT-SP 8451 38</w:t>
      </w:r>
      <w:r w:rsidR="003B6FA7" w:rsidRPr="00283454">
        <w:t>th</w:t>
      </w:r>
      <w:r w:rsidR="00D905CF" w:rsidRPr="00283454">
        <w:t xml:space="preserve"> Revision) describes the currently approved shipping </w:t>
      </w:r>
      <w:r w:rsidR="00283454" w:rsidRPr="00283454">
        <w:t xml:space="preserve">containers </w:t>
      </w:r>
      <w:r w:rsidR="00D905CF" w:rsidRPr="00283454">
        <w:t>and configurations that can</w:t>
      </w:r>
      <w:r w:rsidR="00D905CF" w:rsidRPr="00262393">
        <w:t xml:space="preserve"> be used to safely transport up to 25 grams of solid or powdered explosives comparable to the energy of </w:t>
      </w:r>
      <w:r w:rsidR="00ED4249">
        <w:t>Pentaerythritol tetranitrate (</w:t>
      </w:r>
      <w:r w:rsidR="00D905CF" w:rsidRPr="00262393">
        <w:t>PETN</w:t>
      </w:r>
      <w:r w:rsidR="00ED4249">
        <w:t>)</w:t>
      </w:r>
      <w:r w:rsidR="00D905CF" w:rsidRPr="00262393">
        <w:t>. These include the following inner packagings:</w:t>
      </w:r>
    </w:p>
    <w:p w14:paraId="32C713D2" w14:textId="77777777" w:rsidR="00D905CF" w:rsidRPr="00E253A4" w:rsidRDefault="00D905CF" w:rsidP="00CD45E4">
      <w:pPr>
        <w:pStyle w:val="SingleTxtG"/>
        <w:ind w:left="2248" w:hanging="547"/>
      </w:pPr>
      <w:r w:rsidRPr="00262393">
        <w:t>(a)</w:t>
      </w:r>
      <w:r w:rsidRPr="00262393">
        <w:tab/>
        <w:t>Design Type 1: A 4-inch x 14-inch Schedule 80 seamless steel</w:t>
      </w:r>
      <w:r w:rsidR="00CD5C51" w:rsidRPr="00262393">
        <w:t xml:space="preserve"> </w:t>
      </w:r>
      <w:r w:rsidRPr="00262393">
        <w:t xml:space="preserve">pipe </w:t>
      </w:r>
      <w:r w:rsidRPr="00E253A4">
        <w:t xml:space="preserve">nipple </w:t>
      </w:r>
      <w:r w:rsidR="00CD5C51" w:rsidRPr="00E253A4">
        <w:t xml:space="preserve">(per ASTM A106 Grade B) </w:t>
      </w:r>
      <w:r w:rsidRPr="00E253A4">
        <w:t>closed at both ends with 4-inch diameter forged steel end caps</w:t>
      </w:r>
      <w:r w:rsidR="00CD5C51" w:rsidRPr="00E253A4">
        <w:t xml:space="preserve"> (</w:t>
      </w:r>
      <w:r w:rsidR="005427CF" w:rsidRPr="00E253A4">
        <w:t>3,000 psi per ASTM 105</w:t>
      </w:r>
      <w:r w:rsidR="00CD5C51" w:rsidRPr="00E253A4">
        <w:t>)</w:t>
      </w:r>
      <w:r w:rsidRPr="00E253A4">
        <w:t>; or</w:t>
      </w:r>
    </w:p>
    <w:p w14:paraId="1A502E58" w14:textId="77777777" w:rsidR="00D905CF" w:rsidRPr="00E253A4" w:rsidRDefault="00D905CF" w:rsidP="00CD45E4">
      <w:pPr>
        <w:pStyle w:val="SingleTxtG"/>
        <w:ind w:left="2248" w:hanging="547"/>
      </w:pPr>
      <w:r w:rsidRPr="00E253A4">
        <w:t>(b)</w:t>
      </w:r>
      <w:r w:rsidRPr="00E253A4">
        <w:tab/>
        <w:t xml:space="preserve">Design Type 2: A 6-inch x 12 to 14-inch Schedule 80 seamless steel pipe nipple </w:t>
      </w:r>
      <w:r w:rsidR="00CD5C51" w:rsidRPr="00E253A4">
        <w:t xml:space="preserve">(per ASTM A106 Grade B) </w:t>
      </w:r>
      <w:r w:rsidRPr="00E253A4">
        <w:t xml:space="preserve">closed at both ends with 6-inch diameter </w:t>
      </w:r>
      <w:r w:rsidR="00CD5C51" w:rsidRPr="00E253A4">
        <w:t>forged steel end caps (3,000 psi per ASTM 105)</w:t>
      </w:r>
      <w:r w:rsidRPr="00E253A4">
        <w:t>; or</w:t>
      </w:r>
    </w:p>
    <w:p w14:paraId="110E96CA" w14:textId="77777777" w:rsidR="00D905CF" w:rsidRPr="00E253A4" w:rsidRDefault="00D905CF" w:rsidP="00CD45E4">
      <w:pPr>
        <w:pStyle w:val="SingleTxtG"/>
        <w:ind w:left="2248" w:hanging="547"/>
      </w:pPr>
      <w:r w:rsidRPr="00E253A4">
        <w:t>(c)</w:t>
      </w:r>
      <w:r w:rsidRPr="00E253A4">
        <w:tab/>
        <w:t>Design Type 3: A 8-inch x 30-inch Schedule 80 seamless steel</w:t>
      </w:r>
      <w:r w:rsidR="00CD5C51" w:rsidRPr="00E253A4">
        <w:t xml:space="preserve"> </w:t>
      </w:r>
      <w:r w:rsidRPr="00E253A4">
        <w:t xml:space="preserve">pipe nipple </w:t>
      </w:r>
      <w:r w:rsidR="00CD5C51" w:rsidRPr="00E253A4">
        <w:t xml:space="preserve">(per ASTM A106 Grade B) </w:t>
      </w:r>
      <w:r w:rsidRPr="00E253A4">
        <w:t>closed at both ends with 8-inch diameter forged steel end caps</w:t>
      </w:r>
      <w:r w:rsidR="00CD5C51" w:rsidRPr="00E253A4">
        <w:t xml:space="preserve"> (3,000 psi per ASTM 105)</w:t>
      </w:r>
      <w:r w:rsidRPr="00E253A4">
        <w:t>; or</w:t>
      </w:r>
    </w:p>
    <w:p w14:paraId="77BB70AD" w14:textId="77777777" w:rsidR="00D905CF" w:rsidRPr="00E253A4" w:rsidRDefault="00D905CF" w:rsidP="00D905CF">
      <w:pPr>
        <w:pStyle w:val="SingleTxtG"/>
        <w:ind w:left="1701"/>
      </w:pPr>
      <w:r w:rsidRPr="00E253A4">
        <w:t>(d)</w:t>
      </w:r>
      <w:r w:rsidRPr="00E253A4">
        <w:tab/>
        <w:t>Design Type 4: Bartle’s device; or</w:t>
      </w:r>
    </w:p>
    <w:p w14:paraId="6CDE8243" w14:textId="77777777" w:rsidR="00D905CF" w:rsidRPr="00262393" w:rsidRDefault="00D905CF" w:rsidP="00CD45E4">
      <w:pPr>
        <w:pStyle w:val="SingleTxtG"/>
        <w:ind w:left="2248" w:hanging="547"/>
      </w:pPr>
      <w:r w:rsidRPr="00E253A4">
        <w:t>(e)</w:t>
      </w:r>
      <w:r w:rsidRPr="00E253A4">
        <w:tab/>
        <w:t>Design Type 5: Los Alamos Model LD-2250” (may only be used if the net mass of explosives contained within does not exceed 15 grams).</w:t>
      </w:r>
    </w:p>
    <w:p w14:paraId="2F382BAB" w14:textId="7207BF24" w:rsidR="00D905CF" w:rsidRPr="007A5A16" w:rsidRDefault="007A5A16" w:rsidP="00D2000F">
      <w:pPr>
        <w:pStyle w:val="SingleTxtG"/>
        <w:rPr>
          <w:b/>
        </w:rPr>
      </w:pPr>
      <w:r>
        <w:t>5</w:t>
      </w:r>
      <w:r w:rsidR="00D905CF" w:rsidRPr="00E253A4">
        <w:t>.</w:t>
      </w:r>
      <w:r w:rsidR="00D905CF" w:rsidRPr="00E253A4">
        <w:tab/>
        <w:t xml:space="preserve">The explosive sample is sealed in a bag or other leak-proof receptacle and </w:t>
      </w:r>
      <w:r w:rsidR="00283454" w:rsidRPr="00E253A4">
        <w:t>c</w:t>
      </w:r>
      <w:r w:rsidR="00AD2EE4">
        <w:t>en</w:t>
      </w:r>
      <w:r w:rsidR="00283454" w:rsidRPr="00E253A4">
        <w:t>tered</w:t>
      </w:r>
      <w:r w:rsidR="00D905CF" w:rsidRPr="00E253A4">
        <w:t xml:space="preserve"> inside the </w:t>
      </w:r>
      <w:r w:rsidR="00283454">
        <w:t>container</w:t>
      </w:r>
      <w:r w:rsidR="00283454" w:rsidRPr="00E253A4">
        <w:t xml:space="preserve"> </w:t>
      </w:r>
      <w:proofErr w:type="gramStart"/>
      <w:r w:rsidR="00D905CF" w:rsidRPr="00E253A4">
        <w:t>so as to</w:t>
      </w:r>
      <w:proofErr w:type="gramEnd"/>
      <w:r w:rsidR="00D905CF" w:rsidRPr="00E253A4">
        <w:t xml:space="preserve"> not be next to the walls or caps</w:t>
      </w:r>
      <w:r w:rsidR="00D905CF" w:rsidRPr="007A5A16">
        <w:t xml:space="preserve">. The </w:t>
      </w:r>
      <w:r w:rsidR="00283454">
        <w:t>container</w:t>
      </w:r>
      <w:r w:rsidR="00D905CF" w:rsidRPr="007A5A16">
        <w:t xml:space="preserve"> is then placed </w:t>
      </w:r>
      <w:r w:rsidR="00614C90" w:rsidRPr="007A5A16">
        <w:t>in an outer package comprised of fiberboard</w:t>
      </w:r>
      <w:r w:rsidR="00D905CF" w:rsidRPr="007A5A16">
        <w:t>, plywood, or metal.</w:t>
      </w:r>
      <w:r w:rsidR="00614C90" w:rsidRPr="007A5A16">
        <w:t xml:space="preserve">  The outer package is to facilitate handling and has no bearing on the containment of an explosive event in the </w:t>
      </w:r>
      <w:r w:rsidR="00283454">
        <w:t>container</w:t>
      </w:r>
      <w:r w:rsidR="00614C90" w:rsidRPr="007A5A16">
        <w:t>.</w:t>
      </w:r>
    </w:p>
    <w:p w14:paraId="18F0052F" w14:textId="5BA2CBED" w:rsidR="00B56722" w:rsidRPr="00262393" w:rsidRDefault="00B56722" w:rsidP="00CD45E4">
      <w:pPr>
        <w:pStyle w:val="SingleTxtG"/>
      </w:pPr>
      <w:bookmarkStart w:id="0" w:name="_GoBack"/>
      <w:bookmarkEnd w:id="0"/>
      <w:r w:rsidRPr="007A5A16">
        <w:t xml:space="preserve">It is suggested that engineering controls are instituted to ensure that the leak-proof receptacles are </w:t>
      </w:r>
      <w:r w:rsidR="00283454" w:rsidRPr="007A5A16">
        <w:t>cantered</w:t>
      </w:r>
      <w:r w:rsidRPr="007A5A16">
        <w:t xml:space="preserve"> in the </w:t>
      </w:r>
      <w:r w:rsidR="00283454">
        <w:t>container</w:t>
      </w:r>
      <w:r w:rsidRPr="007A5A16">
        <w:t>.  The following photos are visual representations of possible engineering controls.</w:t>
      </w:r>
    </w:p>
    <w:p w14:paraId="4B03892E" w14:textId="77777777" w:rsidR="00B56722" w:rsidRPr="00262393" w:rsidRDefault="00B56722" w:rsidP="00B56722">
      <w:pPr>
        <w:pStyle w:val="SingleTxtG"/>
        <w:ind w:left="1674" w:right="549"/>
      </w:pPr>
      <w:r w:rsidRPr="00262393">
        <w:rPr>
          <w:noProof/>
          <w:lang w:val="en-US"/>
        </w:rPr>
        <w:drawing>
          <wp:inline distT="0" distB="0" distL="0" distR="0" wp14:anchorId="422043AC" wp14:editId="6AD0FDEA">
            <wp:extent cx="1542972" cy="1160219"/>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0804" cy="1181147"/>
                    </a:xfrm>
                    <a:prstGeom prst="rect">
                      <a:avLst/>
                    </a:prstGeom>
                    <a:ln>
                      <a:noFill/>
                    </a:ln>
                  </pic:spPr>
                </pic:pic>
              </a:graphicData>
            </a:graphic>
          </wp:inline>
        </w:drawing>
      </w:r>
      <w:r w:rsidRPr="00262393">
        <w:t xml:space="preserve"> </w:t>
      </w:r>
      <w:r w:rsidRPr="00262393">
        <w:rPr>
          <w:noProof/>
          <w:lang w:val="en-US"/>
        </w:rPr>
        <w:drawing>
          <wp:inline distT="0" distB="0" distL="0" distR="0" wp14:anchorId="6EA9F171" wp14:editId="08A06A93">
            <wp:extent cx="1276526" cy="115905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6243" cy="1186040"/>
                    </a:xfrm>
                    <a:prstGeom prst="rect">
                      <a:avLst/>
                    </a:prstGeom>
                    <a:ln>
                      <a:noFill/>
                    </a:ln>
                  </pic:spPr>
                </pic:pic>
              </a:graphicData>
            </a:graphic>
          </wp:inline>
        </w:drawing>
      </w:r>
      <w:r w:rsidRPr="00262393">
        <w:rPr>
          <w:noProof/>
          <w:lang w:val="en-US"/>
        </w:rPr>
        <w:drawing>
          <wp:inline distT="0" distB="0" distL="0" distR="0" wp14:anchorId="0D2539E2" wp14:editId="682A5A95">
            <wp:extent cx="1548383" cy="11612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383" cy="1161288"/>
                    </a:xfrm>
                    <a:prstGeom prst="rect">
                      <a:avLst/>
                    </a:prstGeom>
                    <a:noFill/>
                    <a:ln>
                      <a:noFill/>
                    </a:ln>
                  </pic:spPr>
                </pic:pic>
              </a:graphicData>
            </a:graphic>
          </wp:inline>
        </w:drawing>
      </w:r>
    </w:p>
    <w:p w14:paraId="61B290E3" w14:textId="77777777" w:rsidR="00D905CF" w:rsidRPr="00262393" w:rsidRDefault="007A5A16" w:rsidP="005E69F4">
      <w:pPr>
        <w:pStyle w:val="SingleTxtG"/>
      </w:pPr>
      <w:r>
        <w:t>6</w:t>
      </w:r>
      <w:r w:rsidR="005E69F4" w:rsidRPr="00262393">
        <w:t>.</w:t>
      </w:r>
      <w:r w:rsidR="005E69F4" w:rsidRPr="00262393">
        <w:tab/>
      </w:r>
      <w:r w:rsidR="00D905CF" w:rsidRPr="00262393">
        <w:t xml:space="preserve">The suggested </w:t>
      </w:r>
      <w:r w:rsidR="00283454">
        <w:t>container</w:t>
      </w:r>
      <w:r w:rsidR="00283454" w:rsidRPr="00262393">
        <w:t xml:space="preserve"> </w:t>
      </w:r>
      <w:r w:rsidR="00D905CF" w:rsidRPr="00262393">
        <w:t>to be used for transport of solid or powdered explosive samples is the same as that outlined in DOT-SP 8451, 38</w:t>
      </w:r>
      <w:r w:rsidR="003B6FA7" w:rsidRPr="00262393">
        <w:t>th</w:t>
      </w:r>
      <w:r w:rsidR="00D905CF" w:rsidRPr="00262393">
        <w:t xml:space="preserve"> Revision, Design Type 1</w:t>
      </w:r>
      <w:r w:rsidR="005E69F4" w:rsidRPr="00262393">
        <w:t xml:space="preserve">. </w:t>
      </w:r>
      <w:r w:rsidR="00D905CF" w:rsidRPr="00262393">
        <w:t>A 4-inch shipping pipe and example outer packaging is pictured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1"/>
        <w:gridCol w:w="2430"/>
      </w:tblGrid>
      <w:tr w:rsidR="00D905CF" w:rsidRPr="00262393" w14:paraId="09B6B973" w14:textId="77777777" w:rsidTr="005514FA">
        <w:trPr>
          <w:jc w:val="center"/>
        </w:trPr>
        <w:tc>
          <w:tcPr>
            <w:tcW w:w="2171" w:type="dxa"/>
          </w:tcPr>
          <w:p w14:paraId="1A6D32E1" w14:textId="77777777" w:rsidR="00D905CF" w:rsidRPr="00262393" w:rsidRDefault="00D905CF" w:rsidP="005514FA">
            <w:pPr>
              <w:pStyle w:val="SingleTxtG"/>
              <w:ind w:left="0"/>
              <w:jc w:val="left"/>
            </w:pPr>
            <w:r w:rsidRPr="00262393">
              <w:rPr>
                <w:noProof/>
                <w:lang w:val="en-US"/>
              </w:rPr>
              <w:lastRenderedPageBreak/>
              <w:drawing>
                <wp:inline distT="0" distB="0" distL="0" distR="0" wp14:anchorId="3BE1EAE8" wp14:editId="64FDABE2">
                  <wp:extent cx="1332539" cy="1059180"/>
                  <wp:effectExtent l="0" t="0" r="0" b="0"/>
                  <wp:docPr id="2" name="Picture 2" descr="S:\0-PROJECT\0013 - Shipping Containers\0008 - Shipping Container Photos\4inPipe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PROJECT\0013 - Shipping Containers\0008 - Shipping Container Photos\4inPipe_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355" cy="1070957"/>
                          </a:xfrm>
                          <a:prstGeom prst="rect">
                            <a:avLst/>
                          </a:prstGeom>
                          <a:noFill/>
                          <a:ln>
                            <a:noFill/>
                          </a:ln>
                        </pic:spPr>
                      </pic:pic>
                    </a:graphicData>
                  </a:graphic>
                </wp:inline>
              </w:drawing>
            </w:r>
          </w:p>
        </w:tc>
        <w:tc>
          <w:tcPr>
            <w:tcW w:w="2430" w:type="dxa"/>
          </w:tcPr>
          <w:p w14:paraId="6A45901E" w14:textId="77777777" w:rsidR="00D905CF" w:rsidRPr="00262393" w:rsidRDefault="00D905CF" w:rsidP="005514FA">
            <w:pPr>
              <w:pStyle w:val="SingleTxtG"/>
              <w:ind w:left="0"/>
              <w:jc w:val="left"/>
            </w:pPr>
            <w:r w:rsidRPr="00262393">
              <w:rPr>
                <w:noProof/>
                <w:lang w:val="en-US"/>
              </w:rPr>
              <w:drawing>
                <wp:inline distT="0" distB="0" distL="0" distR="0" wp14:anchorId="72B7E2A0" wp14:editId="137E190D">
                  <wp:extent cx="1504950" cy="1122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inBox_I_small.png"/>
                          <pic:cNvPicPr/>
                        </pic:nvPicPr>
                        <pic:blipFill>
                          <a:blip r:embed="rId14"/>
                          <a:stretch>
                            <a:fillRect/>
                          </a:stretch>
                        </pic:blipFill>
                        <pic:spPr>
                          <a:xfrm>
                            <a:off x="0" y="0"/>
                            <a:ext cx="1542177" cy="1150022"/>
                          </a:xfrm>
                          <a:prstGeom prst="rect">
                            <a:avLst/>
                          </a:prstGeom>
                        </pic:spPr>
                      </pic:pic>
                    </a:graphicData>
                  </a:graphic>
                </wp:inline>
              </w:drawing>
            </w:r>
          </w:p>
        </w:tc>
      </w:tr>
    </w:tbl>
    <w:p w14:paraId="41F52F7E" w14:textId="4EE16950" w:rsidR="007A5A16" w:rsidRPr="007A5A16" w:rsidRDefault="003D2B60" w:rsidP="003D2B60">
      <w:pPr>
        <w:pStyle w:val="H1G"/>
      </w:pPr>
      <w:r>
        <w:tab/>
      </w:r>
      <w:r>
        <w:tab/>
      </w:r>
      <w:r w:rsidR="00D81742">
        <w:t xml:space="preserve">Summary of </w:t>
      </w:r>
      <w:r w:rsidR="00ED4249">
        <w:t>t</w:t>
      </w:r>
      <w:r w:rsidR="007A5A16" w:rsidRPr="007A5A16">
        <w:t xml:space="preserve">est </w:t>
      </w:r>
      <w:r w:rsidR="00ED4249">
        <w:t>r</w:t>
      </w:r>
      <w:r w:rsidR="00E6102D">
        <w:t>esults</w:t>
      </w:r>
      <w:r w:rsidR="007A5A16" w:rsidRPr="007A5A16">
        <w:t xml:space="preserve"> from </w:t>
      </w:r>
      <w:r w:rsidR="00D81742">
        <w:t xml:space="preserve">2014, </w:t>
      </w:r>
      <w:r w:rsidR="007A5A16" w:rsidRPr="007A5A16">
        <w:t xml:space="preserve">1983 and 1977 </w:t>
      </w:r>
    </w:p>
    <w:p w14:paraId="762BCFE2" w14:textId="77777777" w:rsidR="00D81742" w:rsidRDefault="00D81742" w:rsidP="00292046">
      <w:pPr>
        <w:pStyle w:val="SingleTxtG"/>
        <w:spacing w:before="240"/>
      </w:pPr>
      <w:r>
        <w:t>7</w:t>
      </w:r>
      <w:r w:rsidR="005E69F4" w:rsidRPr="00262393">
        <w:t>.</w:t>
      </w:r>
      <w:r w:rsidR="005E69F4" w:rsidRPr="00262393">
        <w:tab/>
      </w:r>
      <w:r w:rsidRPr="00262393">
        <w:t xml:space="preserve">Test data has shown that 35 grams (a 40% overcharge) of dry </w:t>
      </w:r>
      <w:r w:rsidRPr="00D81742">
        <w:t>PETN and 52.5 grams (a 210% overcharge) of LX-10 (95% HMX, 5% binder) does not result in any hazardous effects outside of the pipe of Design Type 1 and Design Type 2</w:t>
      </w:r>
      <w:r>
        <w:t>.</w:t>
      </w:r>
      <w:r w:rsidRPr="00262393">
        <w:t xml:space="preserve">  All of the explosives effects are contained within the pipe.</w:t>
      </w:r>
    </w:p>
    <w:p w14:paraId="09D30C83" w14:textId="77777777" w:rsidR="00292046" w:rsidRPr="00262393" w:rsidRDefault="00D81742" w:rsidP="00292046">
      <w:pPr>
        <w:pStyle w:val="SingleTxtG"/>
        <w:spacing w:before="240"/>
      </w:pPr>
      <w:r>
        <w:t>8.</w:t>
      </w:r>
      <w:r>
        <w:tab/>
      </w:r>
      <w:r w:rsidR="00D905CF" w:rsidRPr="00262393">
        <w:t xml:space="preserve">Testing was performed </w:t>
      </w:r>
      <w:r>
        <w:t xml:space="preserve">in 2014 </w:t>
      </w:r>
      <w:r w:rsidR="00D905CF" w:rsidRPr="00262393">
        <w:t>on the DOT-SP 8451, 38</w:t>
      </w:r>
      <w:r w:rsidR="003B6FA7" w:rsidRPr="00262393">
        <w:t>th</w:t>
      </w:r>
      <w:r w:rsidR="00D905CF" w:rsidRPr="00262393">
        <w:t xml:space="preserve"> revision, Design Type 1 shipping </w:t>
      </w:r>
      <w:r w:rsidR="0033059F">
        <w:t>pipe</w:t>
      </w:r>
      <w:r w:rsidR="00D905CF" w:rsidRPr="00262393">
        <w:t xml:space="preserve"> to verify that 35 grams (a 40% overcharge) of dry PETN does not result in breaching or fragmenting the pipe and to determine the maximum pressure effect outside of the shipping </w:t>
      </w:r>
      <w:r w:rsidR="0033059F">
        <w:t>pipe</w:t>
      </w:r>
      <w:r w:rsidR="00D905CF" w:rsidRPr="00262393">
        <w:t>.  35 grams of PETN was placed inside</w:t>
      </w:r>
      <w:r w:rsidR="00205DB6" w:rsidRPr="00262393">
        <w:t xml:space="preserve"> the pipe with a blasting cap. </w:t>
      </w:r>
      <w:r w:rsidR="00D905CF" w:rsidRPr="00262393">
        <w:t xml:space="preserve">Wires to the cap were feed through a sealed insulated port to significantly limit the escape of gases.  Over pressure probes were used to record the maximum overpressure and video </w:t>
      </w:r>
      <w:r w:rsidR="00205DB6" w:rsidRPr="00262393">
        <w:t>of the test was also recorded.</w:t>
      </w:r>
      <w:r w:rsidR="00292046" w:rsidRPr="00262393">
        <w:t xml:space="preserve">  </w:t>
      </w:r>
    </w:p>
    <w:p w14:paraId="0093B75D" w14:textId="41386EBC" w:rsidR="00292046" w:rsidRPr="00262393" w:rsidRDefault="00D2000F" w:rsidP="00ED4249">
      <w:pPr>
        <w:pStyle w:val="SingleTxtG"/>
        <w:spacing w:before="240" w:after="240"/>
      </w:pPr>
      <w:r>
        <w:t>9.</w:t>
      </w:r>
      <w:r>
        <w:tab/>
      </w:r>
      <w:r w:rsidR="00292046" w:rsidRPr="00262393">
        <w:t>An external fire test was also completed to verify that 25 grams of dry PETN does not result in fragmentation or damage to the pipe. Table 1 contains the test results for both tests.</w:t>
      </w:r>
    </w:p>
    <w:p w14:paraId="42B0F7A3" w14:textId="77777777" w:rsidR="00ED4249" w:rsidRDefault="00ED4249" w:rsidP="00ED4249">
      <w:pPr>
        <w:pStyle w:val="Heading1"/>
      </w:pPr>
      <w:r>
        <w:t>Table 1</w:t>
      </w:r>
    </w:p>
    <w:p w14:paraId="3DEE1FFC" w14:textId="2140EF8C" w:rsidR="00292046" w:rsidRPr="00ED4249" w:rsidRDefault="00292046" w:rsidP="00ED4249">
      <w:pPr>
        <w:pStyle w:val="Heading1"/>
        <w:spacing w:after="240"/>
        <w:rPr>
          <w:b/>
          <w:bCs/>
        </w:rPr>
      </w:pPr>
      <w:r w:rsidRPr="00ED4249">
        <w:rPr>
          <w:b/>
          <w:bCs/>
        </w:rPr>
        <w:t>Test</w:t>
      </w:r>
      <w:r w:rsidR="00ED4249">
        <w:rPr>
          <w:b/>
          <w:bCs/>
        </w:rPr>
        <w:t xml:space="preserve"> results (</w:t>
      </w:r>
      <w:r w:rsidRPr="00ED4249">
        <w:rPr>
          <w:b/>
          <w:bCs/>
        </w:rPr>
        <w:t>2014</w:t>
      </w:r>
      <w:r w:rsidR="00ED4249">
        <w:rPr>
          <w:b/>
          <w:bCs/>
        </w:rPr>
        <w:t>)</w:t>
      </w:r>
    </w:p>
    <w:tbl>
      <w:tblPr>
        <w:tblStyle w:val="TableGrid"/>
        <w:tblW w:w="0" w:type="auto"/>
        <w:jc w:val="center"/>
        <w:tblLook w:val="04A0" w:firstRow="1" w:lastRow="0" w:firstColumn="1" w:lastColumn="0" w:noHBand="0" w:noVBand="1"/>
      </w:tblPr>
      <w:tblGrid>
        <w:gridCol w:w="2371"/>
        <w:gridCol w:w="2562"/>
        <w:gridCol w:w="2764"/>
      </w:tblGrid>
      <w:tr w:rsidR="00EE6033" w:rsidRPr="00D81742" w14:paraId="30537B07" w14:textId="77777777" w:rsidTr="000638A5">
        <w:trPr>
          <w:tblHeader/>
          <w:jc w:val="center"/>
        </w:trPr>
        <w:tc>
          <w:tcPr>
            <w:tcW w:w="2371" w:type="dxa"/>
            <w:vAlign w:val="center"/>
          </w:tcPr>
          <w:p w14:paraId="734DDF09" w14:textId="58547D45" w:rsidR="00EE6033" w:rsidRPr="00D81742" w:rsidRDefault="00ED4249" w:rsidP="000638A5">
            <w:pPr>
              <w:pStyle w:val="SingleTxtG"/>
              <w:keepNext/>
              <w:ind w:left="0" w:right="120"/>
              <w:jc w:val="center"/>
              <w:rPr>
                <w:b/>
                <w:u w:val="single"/>
              </w:rPr>
            </w:pPr>
            <w:r>
              <w:rPr>
                <w:b/>
                <w:u w:val="single"/>
              </w:rPr>
              <w:t>Net explosive w</w:t>
            </w:r>
            <w:r w:rsidR="00EE6033" w:rsidRPr="00D81742">
              <w:rPr>
                <w:b/>
                <w:u w:val="single"/>
              </w:rPr>
              <w:t>eight (g)</w:t>
            </w:r>
          </w:p>
        </w:tc>
        <w:tc>
          <w:tcPr>
            <w:tcW w:w="2562" w:type="dxa"/>
            <w:vAlign w:val="center"/>
          </w:tcPr>
          <w:p w14:paraId="0D72556F" w14:textId="293620E9" w:rsidR="00EE6033" w:rsidRPr="00D81742" w:rsidRDefault="00ED4249" w:rsidP="000638A5">
            <w:pPr>
              <w:pStyle w:val="SingleTxtG"/>
              <w:keepNext/>
              <w:ind w:left="0"/>
              <w:jc w:val="center"/>
              <w:rPr>
                <w:b/>
                <w:u w:val="single"/>
              </w:rPr>
            </w:pPr>
            <w:r>
              <w:rPr>
                <w:b/>
                <w:u w:val="single"/>
              </w:rPr>
              <w:t>Test d</w:t>
            </w:r>
            <w:r w:rsidR="00EE6033" w:rsidRPr="00D81742">
              <w:rPr>
                <w:b/>
                <w:u w:val="single"/>
              </w:rPr>
              <w:t>escription</w:t>
            </w:r>
          </w:p>
        </w:tc>
        <w:tc>
          <w:tcPr>
            <w:tcW w:w="2764" w:type="dxa"/>
            <w:vAlign w:val="center"/>
          </w:tcPr>
          <w:p w14:paraId="76442BDC" w14:textId="77777777" w:rsidR="00EE6033" w:rsidRPr="00D81742" w:rsidRDefault="00EE6033" w:rsidP="000638A5">
            <w:pPr>
              <w:pStyle w:val="SingleTxtG"/>
              <w:keepNext/>
              <w:ind w:left="0"/>
              <w:jc w:val="left"/>
              <w:rPr>
                <w:b/>
                <w:u w:val="single"/>
              </w:rPr>
            </w:pPr>
            <w:r w:rsidRPr="00D81742">
              <w:rPr>
                <w:b/>
                <w:u w:val="single"/>
              </w:rPr>
              <w:t>Result</w:t>
            </w:r>
          </w:p>
        </w:tc>
      </w:tr>
      <w:tr w:rsidR="00EE6033" w:rsidRPr="00D81742" w14:paraId="74C51472" w14:textId="77777777" w:rsidTr="00ED4249">
        <w:trPr>
          <w:jc w:val="center"/>
        </w:trPr>
        <w:tc>
          <w:tcPr>
            <w:tcW w:w="2371" w:type="dxa"/>
            <w:tcBorders>
              <w:bottom w:val="single" w:sz="4" w:space="0" w:color="auto"/>
            </w:tcBorders>
          </w:tcPr>
          <w:p w14:paraId="0DA388CC" w14:textId="77777777" w:rsidR="00EE6033" w:rsidRPr="00D81742" w:rsidRDefault="00EE6033" w:rsidP="000638A5">
            <w:pPr>
              <w:pStyle w:val="SingleTxtG"/>
              <w:keepNext/>
              <w:tabs>
                <w:tab w:val="left" w:pos="1233"/>
              </w:tabs>
              <w:ind w:left="0" w:right="120"/>
            </w:pPr>
            <w:r w:rsidRPr="00D81742">
              <w:t>35</w:t>
            </w:r>
            <w:r w:rsidR="00292046" w:rsidRPr="00D81742">
              <w:t>.0</w:t>
            </w:r>
            <w:r w:rsidRPr="00D81742">
              <w:t xml:space="preserve"> </w:t>
            </w:r>
          </w:p>
        </w:tc>
        <w:tc>
          <w:tcPr>
            <w:tcW w:w="2562" w:type="dxa"/>
          </w:tcPr>
          <w:p w14:paraId="55C3B800" w14:textId="77777777" w:rsidR="00EE6033" w:rsidRPr="00D81742" w:rsidRDefault="00EE6033" w:rsidP="000638A5">
            <w:pPr>
              <w:pStyle w:val="SingleTxtG"/>
              <w:keepNext/>
              <w:ind w:left="0" w:right="75"/>
              <w:jc w:val="left"/>
            </w:pPr>
            <w:r w:rsidRPr="00D81742">
              <w:t xml:space="preserve">Single Package Test – initiated with standard #8 blasting cap </w:t>
            </w:r>
          </w:p>
        </w:tc>
        <w:tc>
          <w:tcPr>
            <w:tcW w:w="2764" w:type="dxa"/>
          </w:tcPr>
          <w:p w14:paraId="5076B330" w14:textId="77777777" w:rsidR="00EE6033" w:rsidRPr="00D81742" w:rsidRDefault="00EE6033" w:rsidP="00292046">
            <w:pPr>
              <w:pStyle w:val="SingleTxtG"/>
              <w:keepNext/>
              <w:ind w:left="0" w:right="46"/>
              <w:jc w:val="left"/>
            </w:pPr>
            <w:r w:rsidRPr="00D81742">
              <w:t xml:space="preserve">No hazardous effects were observed outside of the shipping </w:t>
            </w:r>
            <w:r w:rsidR="0033059F" w:rsidRPr="00D81742">
              <w:t>pipe</w:t>
            </w:r>
            <w:r w:rsidRPr="00D81742">
              <w:t>.  The pipe was not breached, cracked or fragmented.  No discernible blast overpressure or pressure pulse waveforms.</w:t>
            </w:r>
          </w:p>
        </w:tc>
      </w:tr>
      <w:tr w:rsidR="00EE6033" w:rsidRPr="00262393" w14:paraId="02719B42" w14:textId="77777777" w:rsidTr="00ED4249">
        <w:trPr>
          <w:jc w:val="center"/>
        </w:trPr>
        <w:tc>
          <w:tcPr>
            <w:tcW w:w="2371" w:type="dxa"/>
            <w:tcBorders>
              <w:bottom w:val="single" w:sz="4" w:space="0" w:color="auto"/>
            </w:tcBorders>
          </w:tcPr>
          <w:p w14:paraId="47AE5BB7" w14:textId="77777777" w:rsidR="00EE6033" w:rsidRPr="00D81742" w:rsidRDefault="00292046" w:rsidP="000638A5">
            <w:pPr>
              <w:pStyle w:val="SingleTxtG"/>
              <w:tabs>
                <w:tab w:val="left" w:pos="1233"/>
              </w:tabs>
              <w:ind w:left="0" w:right="120"/>
            </w:pPr>
            <w:r w:rsidRPr="00D81742">
              <w:t>25.0</w:t>
            </w:r>
          </w:p>
        </w:tc>
        <w:tc>
          <w:tcPr>
            <w:tcW w:w="2562" w:type="dxa"/>
          </w:tcPr>
          <w:p w14:paraId="07015087" w14:textId="77777777" w:rsidR="00EE6033" w:rsidRPr="00D81742" w:rsidRDefault="00292046" w:rsidP="000638A5">
            <w:pPr>
              <w:pStyle w:val="SingleTxtG"/>
              <w:ind w:left="0" w:right="75"/>
              <w:jc w:val="left"/>
            </w:pPr>
            <w:r w:rsidRPr="00D81742">
              <w:t>External Fire Test</w:t>
            </w:r>
          </w:p>
        </w:tc>
        <w:tc>
          <w:tcPr>
            <w:tcW w:w="2764" w:type="dxa"/>
          </w:tcPr>
          <w:p w14:paraId="587B04BD" w14:textId="77777777" w:rsidR="00EE6033" w:rsidRPr="00262393" w:rsidRDefault="00EE6033" w:rsidP="00292046">
            <w:pPr>
              <w:pStyle w:val="SingleTxtG"/>
              <w:ind w:left="0" w:right="46"/>
              <w:jc w:val="left"/>
            </w:pPr>
            <w:r w:rsidRPr="00D81742">
              <w:t>No rupture, no external damage to outer package, no damage to pipe nipple</w:t>
            </w:r>
            <w:r w:rsidR="008807DA" w:rsidRPr="00D81742">
              <w:t xml:space="preserve"> or </w:t>
            </w:r>
            <w:r w:rsidRPr="00D81742">
              <w:t>end caps.</w:t>
            </w:r>
          </w:p>
        </w:tc>
      </w:tr>
    </w:tbl>
    <w:p w14:paraId="3CC91D08" w14:textId="2AAB461A" w:rsidR="008807DA" w:rsidRPr="00E6102D" w:rsidRDefault="00D2000F" w:rsidP="00D2000F">
      <w:pPr>
        <w:pStyle w:val="SingleTxtG"/>
        <w:spacing w:before="240" w:after="240"/>
      </w:pPr>
      <w:r>
        <w:t>10</w:t>
      </w:r>
      <w:r w:rsidR="00953B3E" w:rsidRPr="00E6102D">
        <w:t>.</w:t>
      </w:r>
      <w:r w:rsidR="00953B3E" w:rsidRPr="00E6102D">
        <w:tab/>
      </w:r>
      <w:r w:rsidR="008807DA" w:rsidRPr="00E6102D">
        <w:t>T</w:t>
      </w:r>
      <w:r w:rsidR="00292046" w:rsidRPr="00E6102D">
        <w:t>ests were performed in 1983 using a 6-inch x 14-i</w:t>
      </w:r>
      <w:r>
        <w:t xml:space="preserve">nch seamless schedule 80 pipe. </w:t>
      </w:r>
      <w:r w:rsidR="00292046" w:rsidRPr="00E6102D">
        <w:t xml:space="preserve">The explosive charge used was LX-10 (95% HMX, 5% binder). </w:t>
      </w:r>
      <w:r w:rsidR="008807DA" w:rsidRPr="00E6102D">
        <w:t>Table 2 contains the test results.</w:t>
      </w:r>
    </w:p>
    <w:p w14:paraId="70BAE70D" w14:textId="77777777" w:rsidR="00ED4249" w:rsidRDefault="00ED4249">
      <w:pPr>
        <w:suppressAutoHyphens w:val="0"/>
        <w:spacing w:line="240" w:lineRule="auto"/>
      </w:pPr>
      <w:r>
        <w:br w:type="page"/>
      </w:r>
    </w:p>
    <w:p w14:paraId="39CF7A22" w14:textId="77777777" w:rsidR="00ED4249" w:rsidRDefault="00ED4249" w:rsidP="00ED4249">
      <w:pPr>
        <w:pStyle w:val="Heading1"/>
      </w:pPr>
      <w:r>
        <w:lastRenderedPageBreak/>
        <w:t>Table 2</w:t>
      </w:r>
    </w:p>
    <w:p w14:paraId="0A6B86EA" w14:textId="3869A709" w:rsidR="008807DA" w:rsidRPr="00ED4249" w:rsidRDefault="00ED4249" w:rsidP="00ED4249">
      <w:pPr>
        <w:pStyle w:val="Heading1"/>
        <w:spacing w:after="240"/>
        <w:rPr>
          <w:b/>
          <w:bCs/>
        </w:rPr>
      </w:pPr>
      <w:r>
        <w:rPr>
          <w:b/>
          <w:bCs/>
        </w:rPr>
        <w:t>Test r</w:t>
      </w:r>
      <w:r w:rsidR="00E6102D" w:rsidRPr="00ED4249">
        <w:rPr>
          <w:b/>
          <w:bCs/>
        </w:rPr>
        <w:t>esults</w:t>
      </w:r>
      <w:r>
        <w:rPr>
          <w:b/>
          <w:bCs/>
        </w:rPr>
        <w:t xml:space="preserve"> (</w:t>
      </w:r>
      <w:r w:rsidR="008807DA" w:rsidRPr="00ED4249">
        <w:rPr>
          <w:b/>
          <w:bCs/>
        </w:rPr>
        <w:t>1983</w:t>
      </w:r>
      <w:r>
        <w:rPr>
          <w:b/>
          <w:bCs/>
        </w:rPr>
        <w:t>)</w:t>
      </w:r>
    </w:p>
    <w:tbl>
      <w:tblPr>
        <w:tblStyle w:val="TableGrid"/>
        <w:tblW w:w="0" w:type="auto"/>
        <w:jc w:val="center"/>
        <w:tblLook w:val="04A0" w:firstRow="1" w:lastRow="0" w:firstColumn="1" w:lastColumn="0" w:noHBand="0" w:noVBand="1"/>
      </w:tblPr>
      <w:tblGrid>
        <w:gridCol w:w="2371"/>
        <w:gridCol w:w="2562"/>
        <w:gridCol w:w="2764"/>
      </w:tblGrid>
      <w:tr w:rsidR="008807DA" w:rsidRPr="00E6102D" w14:paraId="4A62D592" w14:textId="77777777" w:rsidTr="000638A5">
        <w:trPr>
          <w:tblHeader/>
          <w:jc w:val="center"/>
        </w:trPr>
        <w:tc>
          <w:tcPr>
            <w:tcW w:w="2371" w:type="dxa"/>
            <w:vAlign w:val="center"/>
          </w:tcPr>
          <w:p w14:paraId="5A236BAA" w14:textId="6F4889D3" w:rsidR="008807DA" w:rsidRPr="00E6102D" w:rsidRDefault="00ED4249" w:rsidP="000638A5">
            <w:pPr>
              <w:pStyle w:val="SingleTxtG"/>
              <w:keepNext/>
              <w:ind w:left="0" w:right="120"/>
              <w:jc w:val="center"/>
              <w:rPr>
                <w:b/>
                <w:u w:val="single"/>
              </w:rPr>
            </w:pPr>
            <w:r>
              <w:rPr>
                <w:b/>
                <w:u w:val="single"/>
              </w:rPr>
              <w:t>Net explosive w</w:t>
            </w:r>
            <w:r w:rsidR="008807DA" w:rsidRPr="00E6102D">
              <w:rPr>
                <w:b/>
                <w:u w:val="single"/>
              </w:rPr>
              <w:t>eight (g)</w:t>
            </w:r>
          </w:p>
        </w:tc>
        <w:tc>
          <w:tcPr>
            <w:tcW w:w="2562" w:type="dxa"/>
            <w:vAlign w:val="center"/>
          </w:tcPr>
          <w:p w14:paraId="1BE63C7D" w14:textId="1DC5BDFC" w:rsidR="008807DA" w:rsidRPr="00E6102D" w:rsidRDefault="00ED4249" w:rsidP="000638A5">
            <w:pPr>
              <w:pStyle w:val="SingleTxtG"/>
              <w:keepNext/>
              <w:ind w:left="0"/>
              <w:jc w:val="center"/>
              <w:rPr>
                <w:b/>
                <w:u w:val="single"/>
              </w:rPr>
            </w:pPr>
            <w:r>
              <w:rPr>
                <w:b/>
                <w:u w:val="single"/>
              </w:rPr>
              <w:t>Test d</w:t>
            </w:r>
            <w:r w:rsidR="008807DA" w:rsidRPr="00E6102D">
              <w:rPr>
                <w:b/>
                <w:u w:val="single"/>
              </w:rPr>
              <w:t>escription</w:t>
            </w:r>
          </w:p>
        </w:tc>
        <w:tc>
          <w:tcPr>
            <w:tcW w:w="2764" w:type="dxa"/>
            <w:vAlign w:val="center"/>
          </w:tcPr>
          <w:p w14:paraId="6AAB582E" w14:textId="77777777" w:rsidR="008807DA" w:rsidRPr="00E6102D" w:rsidRDefault="008807DA" w:rsidP="000638A5">
            <w:pPr>
              <w:pStyle w:val="SingleTxtG"/>
              <w:keepNext/>
              <w:ind w:left="0"/>
              <w:jc w:val="left"/>
              <w:rPr>
                <w:b/>
                <w:u w:val="single"/>
              </w:rPr>
            </w:pPr>
            <w:r w:rsidRPr="00E6102D">
              <w:rPr>
                <w:b/>
                <w:u w:val="single"/>
              </w:rPr>
              <w:t>Result</w:t>
            </w:r>
          </w:p>
        </w:tc>
      </w:tr>
      <w:tr w:rsidR="008807DA" w:rsidRPr="00E6102D" w14:paraId="1A9A5D94" w14:textId="77777777" w:rsidTr="000638A5">
        <w:trPr>
          <w:jc w:val="center"/>
        </w:trPr>
        <w:tc>
          <w:tcPr>
            <w:tcW w:w="2371" w:type="dxa"/>
          </w:tcPr>
          <w:p w14:paraId="4CA81B5A" w14:textId="77777777" w:rsidR="008807DA" w:rsidRPr="00E6102D" w:rsidRDefault="008807DA" w:rsidP="000638A5">
            <w:pPr>
              <w:pStyle w:val="SingleTxtG"/>
              <w:keepNext/>
              <w:tabs>
                <w:tab w:val="left" w:pos="1233"/>
              </w:tabs>
              <w:ind w:left="0" w:right="120"/>
            </w:pPr>
            <w:r w:rsidRPr="00E6102D">
              <w:t xml:space="preserve">52.5 </w:t>
            </w:r>
          </w:p>
        </w:tc>
        <w:tc>
          <w:tcPr>
            <w:tcW w:w="2562" w:type="dxa"/>
          </w:tcPr>
          <w:p w14:paraId="682E3950" w14:textId="77777777" w:rsidR="008807DA" w:rsidRPr="00E6102D" w:rsidRDefault="008807DA" w:rsidP="000638A5">
            <w:pPr>
              <w:pStyle w:val="SingleTxtG"/>
              <w:keepNext/>
              <w:ind w:left="0" w:right="75"/>
              <w:jc w:val="left"/>
            </w:pPr>
            <w:r w:rsidRPr="00E6102D">
              <w:t>Single Package Test - -initiated with SE-1 Detonator (0.25 g PETN &amp; 0.38 9407 PBX).  End caps contained ¾-inch plug weld to increase end cap rating to approximately 2500 psi.</w:t>
            </w:r>
          </w:p>
        </w:tc>
        <w:tc>
          <w:tcPr>
            <w:tcW w:w="2764" w:type="dxa"/>
          </w:tcPr>
          <w:p w14:paraId="5059A84C" w14:textId="77777777" w:rsidR="008807DA" w:rsidRPr="00E6102D" w:rsidRDefault="008807DA" w:rsidP="000638A5">
            <w:pPr>
              <w:pStyle w:val="SingleTxtG"/>
              <w:keepNext/>
              <w:ind w:left="0" w:right="46"/>
            </w:pPr>
            <w:r w:rsidRPr="00E6102D">
              <w:t>No rupture, no external damage to outer package, no damage to pipe nipple/end caps.</w:t>
            </w:r>
          </w:p>
        </w:tc>
      </w:tr>
      <w:tr w:rsidR="008807DA" w:rsidRPr="00262393" w14:paraId="70672B66" w14:textId="77777777" w:rsidTr="000638A5">
        <w:trPr>
          <w:jc w:val="center"/>
        </w:trPr>
        <w:tc>
          <w:tcPr>
            <w:tcW w:w="2371" w:type="dxa"/>
          </w:tcPr>
          <w:p w14:paraId="2F04B4CF" w14:textId="77777777" w:rsidR="008807DA" w:rsidRPr="00E6102D" w:rsidRDefault="008807DA" w:rsidP="000638A5">
            <w:pPr>
              <w:pStyle w:val="SingleTxtG"/>
              <w:tabs>
                <w:tab w:val="left" w:pos="1233"/>
              </w:tabs>
              <w:ind w:left="0" w:right="120"/>
            </w:pPr>
            <w:r w:rsidRPr="00E6102D">
              <w:t>52.5</w:t>
            </w:r>
          </w:p>
        </w:tc>
        <w:tc>
          <w:tcPr>
            <w:tcW w:w="2562" w:type="dxa"/>
          </w:tcPr>
          <w:p w14:paraId="62992BF5" w14:textId="77777777" w:rsidR="008807DA" w:rsidRPr="00E6102D" w:rsidRDefault="008807DA" w:rsidP="000638A5">
            <w:pPr>
              <w:pStyle w:val="SingleTxtG"/>
              <w:ind w:left="0" w:right="75"/>
              <w:jc w:val="left"/>
            </w:pPr>
            <w:r w:rsidRPr="00E6102D">
              <w:t>Single Package Test - 28mg EBW Detonator.  250 psi malleable iron end caps were used (what was readily available at the time)</w:t>
            </w:r>
          </w:p>
        </w:tc>
        <w:tc>
          <w:tcPr>
            <w:tcW w:w="2764" w:type="dxa"/>
          </w:tcPr>
          <w:p w14:paraId="29385024" w14:textId="77777777" w:rsidR="008807DA" w:rsidRPr="00262393" w:rsidRDefault="008807DA" w:rsidP="000638A5">
            <w:pPr>
              <w:pStyle w:val="SingleTxtG"/>
              <w:ind w:left="0" w:right="46"/>
            </w:pPr>
            <w:r w:rsidRPr="00E6102D">
              <w:t>No rupture, no external damage to outer package, no damage to pipe nipple/end caps.</w:t>
            </w:r>
          </w:p>
        </w:tc>
      </w:tr>
    </w:tbl>
    <w:p w14:paraId="2629F237" w14:textId="54DEC5FB" w:rsidR="00953B3E" w:rsidRPr="00E6102D" w:rsidRDefault="00ED4249" w:rsidP="00ED4249">
      <w:pPr>
        <w:pStyle w:val="SingleTxtG"/>
        <w:spacing w:before="240" w:after="240"/>
      </w:pPr>
      <w:r>
        <w:t>11</w:t>
      </w:r>
      <w:r w:rsidR="00E6102D">
        <w:t>.</w:t>
      </w:r>
      <w:r w:rsidR="00E6102D">
        <w:tab/>
      </w:r>
      <w:r w:rsidR="00AD6267" w:rsidRPr="00E6102D">
        <w:t xml:space="preserve">The following </w:t>
      </w:r>
      <w:r w:rsidR="008807DA" w:rsidRPr="00E6102D">
        <w:t>T</w:t>
      </w:r>
      <w:r w:rsidR="00AD6267" w:rsidRPr="00E6102D">
        <w:t>able</w:t>
      </w:r>
      <w:r w:rsidR="007C4B6B" w:rsidRPr="00E6102D">
        <w:t xml:space="preserve"> </w:t>
      </w:r>
      <w:r w:rsidR="008807DA" w:rsidRPr="00E6102D">
        <w:t>3</w:t>
      </w:r>
      <w:r w:rsidR="00AD6267" w:rsidRPr="00E6102D">
        <w:t xml:space="preserve"> contains the original test </w:t>
      </w:r>
      <w:r w:rsidR="00E6102D">
        <w:t>results from testing performed in</w:t>
      </w:r>
      <w:r w:rsidR="00AD6267" w:rsidRPr="00E6102D">
        <w:t xml:space="preserve"> 1977 at Sandia National Laboratories.  A 4-inch x 14-inch </w:t>
      </w:r>
      <w:r w:rsidR="008807DA" w:rsidRPr="00E6102D">
        <w:t xml:space="preserve">seamless </w:t>
      </w:r>
      <w:r w:rsidR="00AD6267" w:rsidRPr="00E6102D">
        <w:t xml:space="preserve">schedule 80 pipe was used with 3,000 psi rated end caps (per ASTM A 105).  </w:t>
      </w:r>
      <w:r w:rsidR="005421EE" w:rsidRPr="00E6102D">
        <w:t>The e</w:t>
      </w:r>
      <w:r w:rsidR="00AD6267" w:rsidRPr="00E6102D">
        <w:t>xplosive charge</w:t>
      </w:r>
      <w:r w:rsidR="005421EE" w:rsidRPr="00E6102D">
        <w:t xml:space="preserve"> used</w:t>
      </w:r>
      <w:r w:rsidR="00AD6267" w:rsidRPr="00E6102D">
        <w:t xml:space="preserve"> was LX-10 (95% HMX, 5% binder)</w:t>
      </w:r>
      <w:r w:rsidR="00D9598F" w:rsidRPr="00E6102D">
        <w:t xml:space="preserve">.  </w:t>
      </w:r>
    </w:p>
    <w:p w14:paraId="0C74E3B8" w14:textId="77777777" w:rsidR="00ED4249" w:rsidRDefault="007C4B6B" w:rsidP="00ED4249">
      <w:pPr>
        <w:pStyle w:val="Heading1"/>
      </w:pPr>
      <w:r w:rsidRPr="00E6102D">
        <w:t xml:space="preserve">Table </w:t>
      </w:r>
      <w:r w:rsidR="008807DA" w:rsidRPr="00E6102D">
        <w:t>3</w:t>
      </w:r>
    </w:p>
    <w:p w14:paraId="323DDE14" w14:textId="7358685D" w:rsidR="007C4B6B" w:rsidRPr="00ED4249" w:rsidRDefault="007C4B6B" w:rsidP="00ED4249">
      <w:pPr>
        <w:pStyle w:val="Heading1"/>
        <w:spacing w:after="240"/>
        <w:rPr>
          <w:b/>
          <w:bCs/>
        </w:rPr>
      </w:pPr>
      <w:r w:rsidRPr="00ED4249">
        <w:rPr>
          <w:b/>
          <w:bCs/>
        </w:rPr>
        <w:t xml:space="preserve">Original </w:t>
      </w:r>
      <w:r w:rsidR="00ED4249">
        <w:rPr>
          <w:b/>
          <w:bCs/>
        </w:rPr>
        <w:t>test r</w:t>
      </w:r>
      <w:r w:rsidR="00E6102D" w:rsidRPr="00ED4249">
        <w:rPr>
          <w:b/>
          <w:bCs/>
        </w:rPr>
        <w:t>esults</w:t>
      </w:r>
      <w:r w:rsidR="00ED4249">
        <w:rPr>
          <w:b/>
          <w:bCs/>
        </w:rPr>
        <w:t xml:space="preserve"> (</w:t>
      </w:r>
      <w:r w:rsidRPr="00ED4249">
        <w:rPr>
          <w:b/>
          <w:bCs/>
        </w:rPr>
        <w:t>1977</w:t>
      </w:r>
      <w:r w:rsidR="00ED4249">
        <w:rPr>
          <w:b/>
          <w:bCs/>
        </w:rPr>
        <w:t>)</w:t>
      </w:r>
    </w:p>
    <w:tbl>
      <w:tblPr>
        <w:tblStyle w:val="TableGrid"/>
        <w:tblW w:w="0" w:type="auto"/>
        <w:jc w:val="center"/>
        <w:tblLook w:val="04A0" w:firstRow="1" w:lastRow="0" w:firstColumn="1" w:lastColumn="0" w:noHBand="0" w:noVBand="1"/>
      </w:tblPr>
      <w:tblGrid>
        <w:gridCol w:w="2371"/>
        <w:gridCol w:w="2562"/>
        <w:gridCol w:w="2764"/>
      </w:tblGrid>
      <w:tr w:rsidR="00AD6267" w:rsidRPr="00E6102D" w14:paraId="113DFE23" w14:textId="77777777" w:rsidTr="00AD6267">
        <w:trPr>
          <w:tblHeader/>
          <w:jc w:val="center"/>
        </w:trPr>
        <w:tc>
          <w:tcPr>
            <w:tcW w:w="2371" w:type="dxa"/>
            <w:vAlign w:val="center"/>
          </w:tcPr>
          <w:p w14:paraId="0A7D84A7" w14:textId="68C04BF7" w:rsidR="00AD6267" w:rsidRPr="00E6102D" w:rsidRDefault="00ED4249" w:rsidP="00A77F9C">
            <w:pPr>
              <w:pStyle w:val="SingleTxtG"/>
              <w:ind w:left="0" w:right="120"/>
              <w:jc w:val="center"/>
              <w:rPr>
                <w:b/>
                <w:u w:val="single"/>
              </w:rPr>
            </w:pPr>
            <w:r>
              <w:rPr>
                <w:b/>
                <w:u w:val="single"/>
              </w:rPr>
              <w:t>Net explosive w</w:t>
            </w:r>
            <w:r w:rsidR="00AD6267" w:rsidRPr="00E6102D">
              <w:rPr>
                <w:b/>
                <w:u w:val="single"/>
              </w:rPr>
              <w:t>eight</w:t>
            </w:r>
            <w:r w:rsidR="007C4B6B" w:rsidRPr="00E6102D">
              <w:rPr>
                <w:b/>
                <w:u w:val="single"/>
              </w:rPr>
              <w:t xml:space="preserve"> (g)</w:t>
            </w:r>
          </w:p>
        </w:tc>
        <w:tc>
          <w:tcPr>
            <w:tcW w:w="2562" w:type="dxa"/>
            <w:vAlign w:val="center"/>
          </w:tcPr>
          <w:p w14:paraId="0C56B6EA" w14:textId="71605332" w:rsidR="00AD6267" w:rsidRPr="00E6102D" w:rsidRDefault="00ED4249" w:rsidP="00AD6267">
            <w:pPr>
              <w:pStyle w:val="SingleTxtG"/>
              <w:ind w:left="0"/>
              <w:jc w:val="center"/>
              <w:rPr>
                <w:b/>
                <w:u w:val="single"/>
              </w:rPr>
            </w:pPr>
            <w:r>
              <w:rPr>
                <w:b/>
                <w:u w:val="single"/>
              </w:rPr>
              <w:t>Test d</w:t>
            </w:r>
            <w:r w:rsidR="00AD6267" w:rsidRPr="00E6102D">
              <w:rPr>
                <w:b/>
                <w:u w:val="single"/>
              </w:rPr>
              <w:t>escription</w:t>
            </w:r>
          </w:p>
        </w:tc>
        <w:tc>
          <w:tcPr>
            <w:tcW w:w="2764" w:type="dxa"/>
            <w:vAlign w:val="center"/>
          </w:tcPr>
          <w:p w14:paraId="75B3E3FB" w14:textId="77777777" w:rsidR="00AD6267" w:rsidRPr="00E6102D" w:rsidRDefault="00AD6267" w:rsidP="00A77F9C">
            <w:pPr>
              <w:pStyle w:val="SingleTxtG"/>
              <w:ind w:left="0"/>
              <w:jc w:val="left"/>
              <w:rPr>
                <w:b/>
                <w:u w:val="single"/>
              </w:rPr>
            </w:pPr>
            <w:r w:rsidRPr="00E6102D">
              <w:rPr>
                <w:b/>
                <w:u w:val="single"/>
              </w:rPr>
              <w:t>Result</w:t>
            </w:r>
          </w:p>
        </w:tc>
      </w:tr>
      <w:tr w:rsidR="00AD6267" w:rsidRPr="00E6102D" w14:paraId="0A158C57" w14:textId="77777777" w:rsidTr="00AD6267">
        <w:trPr>
          <w:jc w:val="center"/>
        </w:trPr>
        <w:tc>
          <w:tcPr>
            <w:tcW w:w="2371" w:type="dxa"/>
          </w:tcPr>
          <w:p w14:paraId="124B3233" w14:textId="77777777" w:rsidR="00AD6267" w:rsidRPr="00E6102D" w:rsidRDefault="00AD6267" w:rsidP="00A77F9C">
            <w:pPr>
              <w:pStyle w:val="SingleTxtG"/>
              <w:ind w:left="0" w:right="120"/>
            </w:pPr>
            <w:r w:rsidRPr="00E6102D">
              <w:t>26.2</w:t>
            </w:r>
          </w:p>
        </w:tc>
        <w:tc>
          <w:tcPr>
            <w:tcW w:w="2562" w:type="dxa"/>
          </w:tcPr>
          <w:p w14:paraId="69D18BD1" w14:textId="77777777" w:rsidR="00AD6267" w:rsidRPr="00E6102D" w:rsidRDefault="00AD6267" w:rsidP="00AA3128">
            <w:pPr>
              <w:pStyle w:val="SingleTxtG"/>
              <w:ind w:left="0" w:right="75"/>
              <w:jc w:val="left"/>
            </w:pPr>
            <w:r w:rsidRPr="00E6102D">
              <w:t>Single Package Test - 28mg EBW Detonator</w:t>
            </w:r>
          </w:p>
        </w:tc>
        <w:tc>
          <w:tcPr>
            <w:tcW w:w="2764" w:type="dxa"/>
          </w:tcPr>
          <w:p w14:paraId="26EDC118" w14:textId="77777777" w:rsidR="00AD6267" w:rsidRPr="00E6102D" w:rsidRDefault="00AA3128" w:rsidP="00AA3128">
            <w:pPr>
              <w:pStyle w:val="SingleTxtG"/>
              <w:ind w:left="0" w:right="46"/>
            </w:pPr>
            <w:r w:rsidRPr="00E6102D">
              <w:t xml:space="preserve">No rupture, slight pipe bulge </w:t>
            </w:r>
          </w:p>
        </w:tc>
      </w:tr>
      <w:tr w:rsidR="00AA3128" w:rsidRPr="00E6102D" w14:paraId="0D129E52" w14:textId="77777777" w:rsidTr="00AD6267">
        <w:trPr>
          <w:jc w:val="center"/>
        </w:trPr>
        <w:tc>
          <w:tcPr>
            <w:tcW w:w="2371" w:type="dxa"/>
          </w:tcPr>
          <w:p w14:paraId="77B5982E" w14:textId="77777777" w:rsidR="00AA3128" w:rsidRPr="00E6102D" w:rsidRDefault="00AA3128" w:rsidP="00A77F9C">
            <w:pPr>
              <w:pStyle w:val="SingleTxtG"/>
              <w:ind w:left="0" w:right="120"/>
            </w:pPr>
            <w:r w:rsidRPr="00E6102D">
              <w:t>26.0</w:t>
            </w:r>
          </w:p>
        </w:tc>
        <w:tc>
          <w:tcPr>
            <w:tcW w:w="2562" w:type="dxa"/>
          </w:tcPr>
          <w:p w14:paraId="0C9C0DDB" w14:textId="77777777" w:rsidR="00AA3128" w:rsidRPr="00E6102D" w:rsidRDefault="00AA3128" w:rsidP="00AA3128">
            <w:pPr>
              <w:pStyle w:val="SingleTxtG"/>
              <w:ind w:left="0" w:right="75"/>
              <w:jc w:val="left"/>
            </w:pPr>
            <w:r w:rsidRPr="00E6102D">
              <w:t>Single Package Test - 28mg EBW Detonator</w:t>
            </w:r>
          </w:p>
        </w:tc>
        <w:tc>
          <w:tcPr>
            <w:tcW w:w="2764" w:type="dxa"/>
          </w:tcPr>
          <w:p w14:paraId="59CC48D3" w14:textId="77777777" w:rsidR="00AA3128" w:rsidRPr="00E6102D" w:rsidRDefault="00AA3128" w:rsidP="00AA3128">
            <w:pPr>
              <w:pStyle w:val="SingleTxtG"/>
              <w:ind w:left="0" w:right="46"/>
            </w:pPr>
            <w:r w:rsidRPr="00E6102D">
              <w:t xml:space="preserve">No rupture, slight pipe bulge </w:t>
            </w:r>
          </w:p>
        </w:tc>
      </w:tr>
      <w:tr w:rsidR="00AA3128" w:rsidRPr="00E6102D" w14:paraId="29A3A1DE" w14:textId="77777777" w:rsidTr="00AD6267">
        <w:trPr>
          <w:jc w:val="center"/>
        </w:trPr>
        <w:tc>
          <w:tcPr>
            <w:tcW w:w="2371" w:type="dxa"/>
          </w:tcPr>
          <w:p w14:paraId="1E507733" w14:textId="77777777" w:rsidR="00AA3128" w:rsidRPr="00E6102D" w:rsidRDefault="00AA3128" w:rsidP="00A77F9C">
            <w:pPr>
              <w:pStyle w:val="SingleTxtG"/>
              <w:ind w:left="0" w:right="120"/>
            </w:pPr>
            <w:r w:rsidRPr="00E6102D">
              <w:t>26.0</w:t>
            </w:r>
          </w:p>
        </w:tc>
        <w:tc>
          <w:tcPr>
            <w:tcW w:w="2562" w:type="dxa"/>
          </w:tcPr>
          <w:p w14:paraId="0FF996FA" w14:textId="77777777" w:rsidR="00AA3128" w:rsidRPr="00E6102D" w:rsidRDefault="00AA3128" w:rsidP="00AA3128">
            <w:pPr>
              <w:pStyle w:val="SingleTxtG"/>
              <w:ind w:left="0" w:right="75"/>
              <w:jc w:val="left"/>
            </w:pPr>
            <w:r w:rsidRPr="00E6102D">
              <w:t>Single Package Test - 28mg EBW Detonator</w:t>
            </w:r>
          </w:p>
        </w:tc>
        <w:tc>
          <w:tcPr>
            <w:tcW w:w="2764" w:type="dxa"/>
          </w:tcPr>
          <w:p w14:paraId="7521B82E" w14:textId="77777777" w:rsidR="00AA3128" w:rsidRPr="00E6102D" w:rsidRDefault="00AA3128" w:rsidP="00AA3128">
            <w:pPr>
              <w:pStyle w:val="SingleTxtG"/>
              <w:ind w:left="0" w:right="46"/>
            </w:pPr>
            <w:r w:rsidRPr="00E6102D">
              <w:t xml:space="preserve">No rupture, slight pipe bulge </w:t>
            </w:r>
          </w:p>
        </w:tc>
      </w:tr>
      <w:tr w:rsidR="00AA3128" w:rsidRPr="00E6102D" w14:paraId="300C9C03" w14:textId="77777777" w:rsidTr="00AD6267">
        <w:trPr>
          <w:jc w:val="center"/>
        </w:trPr>
        <w:tc>
          <w:tcPr>
            <w:tcW w:w="2371" w:type="dxa"/>
          </w:tcPr>
          <w:p w14:paraId="05857D85" w14:textId="77777777" w:rsidR="00AA3128" w:rsidRPr="00E6102D" w:rsidRDefault="00AA3128" w:rsidP="00A77F9C">
            <w:pPr>
              <w:pStyle w:val="SingleTxtG"/>
              <w:ind w:left="0" w:right="120"/>
            </w:pPr>
            <w:r w:rsidRPr="00E6102D">
              <w:t>25.8</w:t>
            </w:r>
          </w:p>
        </w:tc>
        <w:tc>
          <w:tcPr>
            <w:tcW w:w="2562" w:type="dxa"/>
          </w:tcPr>
          <w:p w14:paraId="6D2D0FCF" w14:textId="77777777" w:rsidR="00AA3128" w:rsidRPr="00E6102D" w:rsidRDefault="00AA3128" w:rsidP="00AA3128">
            <w:pPr>
              <w:pStyle w:val="SingleTxtG"/>
              <w:tabs>
                <w:tab w:val="left" w:pos="1425"/>
              </w:tabs>
              <w:ind w:left="0" w:right="75"/>
              <w:jc w:val="left"/>
            </w:pPr>
            <w:r w:rsidRPr="00E6102D">
              <w:t>Single Package Test - 28mg EBW Detonator</w:t>
            </w:r>
          </w:p>
        </w:tc>
        <w:tc>
          <w:tcPr>
            <w:tcW w:w="2764" w:type="dxa"/>
          </w:tcPr>
          <w:p w14:paraId="74C476C0" w14:textId="77777777" w:rsidR="00AA3128" w:rsidRPr="00E6102D" w:rsidRDefault="00AA3128" w:rsidP="00AA3128">
            <w:pPr>
              <w:pStyle w:val="SingleTxtG"/>
              <w:ind w:left="0" w:right="46"/>
            </w:pPr>
            <w:r w:rsidRPr="00E6102D">
              <w:t xml:space="preserve">No rupture, slight pipe bulge </w:t>
            </w:r>
          </w:p>
        </w:tc>
      </w:tr>
      <w:tr w:rsidR="00AA3128" w:rsidRPr="00E6102D" w14:paraId="0DD077FE" w14:textId="77777777" w:rsidTr="00AD6267">
        <w:trPr>
          <w:jc w:val="center"/>
        </w:trPr>
        <w:tc>
          <w:tcPr>
            <w:tcW w:w="2371" w:type="dxa"/>
          </w:tcPr>
          <w:p w14:paraId="6EC9E718" w14:textId="77777777" w:rsidR="00AA3128" w:rsidRPr="00E6102D" w:rsidRDefault="00AA3128" w:rsidP="00A77F9C">
            <w:pPr>
              <w:pStyle w:val="SingleTxtG"/>
              <w:ind w:left="0" w:right="120"/>
            </w:pPr>
            <w:r w:rsidRPr="00E6102D">
              <w:t>26.2</w:t>
            </w:r>
          </w:p>
        </w:tc>
        <w:tc>
          <w:tcPr>
            <w:tcW w:w="2562" w:type="dxa"/>
          </w:tcPr>
          <w:p w14:paraId="52B372E9" w14:textId="77777777" w:rsidR="00AA3128" w:rsidRPr="00E6102D" w:rsidRDefault="00AA3128" w:rsidP="00AA3128">
            <w:pPr>
              <w:pStyle w:val="SingleTxtG"/>
              <w:tabs>
                <w:tab w:val="left" w:pos="1425"/>
              </w:tabs>
              <w:ind w:left="0" w:right="75"/>
              <w:jc w:val="left"/>
            </w:pPr>
            <w:r w:rsidRPr="00E6102D">
              <w:t>Single Package Test - 28mg EBW Detonator</w:t>
            </w:r>
          </w:p>
        </w:tc>
        <w:tc>
          <w:tcPr>
            <w:tcW w:w="2764" w:type="dxa"/>
          </w:tcPr>
          <w:p w14:paraId="494C43C3" w14:textId="77777777" w:rsidR="00AA3128" w:rsidRPr="00E6102D" w:rsidRDefault="00AA3128" w:rsidP="00AA3128">
            <w:pPr>
              <w:pStyle w:val="SingleTxtG"/>
              <w:ind w:left="0" w:right="46"/>
            </w:pPr>
            <w:r w:rsidRPr="00E6102D">
              <w:t xml:space="preserve">No rupture, slight pipe bulge </w:t>
            </w:r>
          </w:p>
        </w:tc>
      </w:tr>
      <w:tr w:rsidR="00AD6267" w:rsidRPr="00E6102D" w14:paraId="10C0473C" w14:textId="77777777" w:rsidTr="00AD6267">
        <w:trPr>
          <w:jc w:val="center"/>
        </w:trPr>
        <w:tc>
          <w:tcPr>
            <w:tcW w:w="2371" w:type="dxa"/>
          </w:tcPr>
          <w:p w14:paraId="1198112F" w14:textId="77777777" w:rsidR="00AD6267" w:rsidRPr="00E6102D" w:rsidRDefault="00AD6267" w:rsidP="00A77F9C">
            <w:pPr>
              <w:pStyle w:val="SingleTxtG"/>
              <w:ind w:left="0" w:right="120"/>
            </w:pPr>
            <w:r w:rsidRPr="00E6102D">
              <w:t>26.0</w:t>
            </w:r>
          </w:p>
        </w:tc>
        <w:tc>
          <w:tcPr>
            <w:tcW w:w="2562" w:type="dxa"/>
          </w:tcPr>
          <w:p w14:paraId="11D7FD9C" w14:textId="77777777" w:rsidR="00AD6267" w:rsidRPr="00E6102D" w:rsidRDefault="00AA3128" w:rsidP="00AA3128">
            <w:pPr>
              <w:pStyle w:val="SingleTxtG"/>
              <w:tabs>
                <w:tab w:val="left" w:pos="1425"/>
              </w:tabs>
              <w:ind w:left="0" w:right="75"/>
              <w:jc w:val="left"/>
            </w:pPr>
            <w:r w:rsidRPr="00E6102D">
              <w:t>External Fire Test</w:t>
            </w:r>
          </w:p>
        </w:tc>
        <w:tc>
          <w:tcPr>
            <w:tcW w:w="2764" w:type="dxa"/>
          </w:tcPr>
          <w:p w14:paraId="262912BB" w14:textId="77777777" w:rsidR="00AD6267" w:rsidRPr="00E6102D" w:rsidRDefault="00AA3128" w:rsidP="00AA3128">
            <w:pPr>
              <w:pStyle w:val="SingleTxtG"/>
              <w:ind w:left="0" w:right="46"/>
            </w:pPr>
            <w:r w:rsidRPr="00E6102D">
              <w:t>No detonation, no damage to pipe</w:t>
            </w:r>
          </w:p>
        </w:tc>
      </w:tr>
      <w:tr w:rsidR="00AA3128" w:rsidRPr="00E6102D" w14:paraId="74157E3D" w14:textId="77777777" w:rsidTr="00AD6267">
        <w:trPr>
          <w:jc w:val="center"/>
        </w:trPr>
        <w:tc>
          <w:tcPr>
            <w:tcW w:w="2371" w:type="dxa"/>
          </w:tcPr>
          <w:p w14:paraId="3B797E39" w14:textId="77777777" w:rsidR="00AA3128" w:rsidRPr="00E6102D" w:rsidRDefault="00AA3128" w:rsidP="00A77F9C">
            <w:pPr>
              <w:pStyle w:val="SingleTxtG"/>
              <w:ind w:left="0" w:right="120"/>
            </w:pPr>
            <w:r w:rsidRPr="00E6102D">
              <w:t>26.0</w:t>
            </w:r>
          </w:p>
        </w:tc>
        <w:tc>
          <w:tcPr>
            <w:tcW w:w="2562" w:type="dxa"/>
          </w:tcPr>
          <w:p w14:paraId="3EEC17BD" w14:textId="77777777" w:rsidR="00AA3128" w:rsidRPr="00E6102D" w:rsidRDefault="00AA3128" w:rsidP="00AA3128">
            <w:pPr>
              <w:pStyle w:val="SingleTxtG"/>
              <w:tabs>
                <w:tab w:val="left" w:pos="1425"/>
              </w:tabs>
              <w:ind w:left="0" w:right="75"/>
              <w:jc w:val="left"/>
            </w:pPr>
            <w:r w:rsidRPr="00E6102D">
              <w:t>External Fire Test</w:t>
            </w:r>
          </w:p>
        </w:tc>
        <w:tc>
          <w:tcPr>
            <w:tcW w:w="2764" w:type="dxa"/>
          </w:tcPr>
          <w:p w14:paraId="02578EFF" w14:textId="77777777" w:rsidR="00AA3128" w:rsidRPr="00E6102D" w:rsidRDefault="00AA3128" w:rsidP="00AA3128">
            <w:pPr>
              <w:pStyle w:val="SingleTxtG"/>
              <w:ind w:left="0" w:right="46"/>
            </w:pPr>
            <w:r w:rsidRPr="00E6102D">
              <w:t>No detonation, no damage to pipe</w:t>
            </w:r>
          </w:p>
        </w:tc>
      </w:tr>
      <w:tr w:rsidR="00AA3128" w:rsidRPr="00E6102D" w14:paraId="6F4C6573" w14:textId="77777777" w:rsidTr="00AD6267">
        <w:trPr>
          <w:jc w:val="center"/>
        </w:trPr>
        <w:tc>
          <w:tcPr>
            <w:tcW w:w="2371" w:type="dxa"/>
          </w:tcPr>
          <w:p w14:paraId="7798CD70" w14:textId="77777777" w:rsidR="00AA3128" w:rsidRPr="00E6102D" w:rsidRDefault="00AA3128" w:rsidP="00A77F9C">
            <w:pPr>
              <w:pStyle w:val="SingleTxtG"/>
              <w:ind w:left="0" w:right="120"/>
            </w:pPr>
            <w:r w:rsidRPr="00E6102D">
              <w:t>26.0</w:t>
            </w:r>
          </w:p>
        </w:tc>
        <w:tc>
          <w:tcPr>
            <w:tcW w:w="2562" w:type="dxa"/>
          </w:tcPr>
          <w:p w14:paraId="3C0E4C61" w14:textId="77777777" w:rsidR="00AA3128" w:rsidRPr="00E6102D" w:rsidRDefault="00AA3128" w:rsidP="00AA3128">
            <w:pPr>
              <w:pStyle w:val="SingleTxtG"/>
              <w:tabs>
                <w:tab w:val="left" w:pos="1425"/>
              </w:tabs>
              <w:ind w:left="0" w:right="75"/>
              <w:jc w:val="left"/>
            </w:pPr>
            <w:r w:rsidRPr="00E6102D">
              <w:t>External Fire Test</w:t>
            </w:r>
          </w:p>
        </w:tc>
        <w:tc>
          <w:tcPr>
            <w:tcW w:w="2764" w:type="dxa"/>
          </w:tcPr>
          <w:p w14:paraId="0B950779" w14:textId="77777777" w:rsidR="00AA3128" w:rsidRPr="00E6102D" w:rsidRDefault="00AA3128" w:rsidP="00AA3128">
            <w:pPr>
              <w:pStyle w:val="SingleTxtG"/>
              <w:ind w:left="0" w:right="46"/>
            </w:pPr>
            <w:r w:rsidRPr="00E6102D">
              <w:t>No detonation, no damage to pipe</w:t>
            </w:r>
          </w:p>
        </w:tc>
      </w:tr>
      <w:tr w:rsidR="00AA3128" w:rsidRPr="00E6102D" w14:paraId="103A79EF" w14:textId="77777777" w:rsidTr="00AD6267">
        <w:trPr>
          <w:jc w:val="center"/>
        </w:trPr>
        <w:tc>
          <w:tcPr>
            <w:tcW w:w="2371" w:type="dxa"/>
          </w:tcPr>
          <w:p w14:paraId="60DCEB54" w14:textId="77777777" w:rsidR="00AA3128" w:rsidRPr="00E6102D" w:rsidRDefault="00AA3128" w:rsidP="00A77F9C">
            <w:pPr>
              <w:pStyle w:val="SingleTxtG"/>
              <w:ind w:left="0" w:right="120"/>
            </w:pPr>
            <w:r w:rsidRPr="00E6102D">
              <w:t>26.2</w:t>
            </w:r>
          </w:p>
        </w:tc>
        <w:tc>
          <w:tcPr>
            <w:tcW w:w="2562" w:type="dxa"/>
          </w:tcPr>
          <w:p w14:paraId="163CEDC7" w14:textId="77777777" w:rsidR="00AA3128" w:rsidRPr="00E6102D" w:rsidRDefault="00AA3128" w:rsidP="00AA3128">
            <w:pPr>
              <w:pStyle w:val="SingleTxtG"/>
              <w:tabs>
                <w:tab w:val="left" w:pos="1425"/>
              </w:tabs>
              <w:ind w:left="0" w:right="75"/>
              <w:jc w:val="left"/>
            </w:pPr>
            <w:r w:rsidRPr="00E6102D">
              <w:t>Single Package Test - 28mg EBW Detonator</w:t>
            </w:r>
          </w:p>
        </w:tc>
        <w:tc>
          <w:tcPr>
            <w:tcW w:w="2764" w:type="dxa"/>
          </w:tcPr>
          <w:p w14:paraId="3A7AB33A" w14:textId="77777777" w:rsidR="00AA3128" w:rsidRPr="00E6102D" w:rsidRDefault="00AA3128" w:rsidP="00AA3128">
            <w:pPr>
              <w:pStyle w:val="SingleTxtG"/>
              <w:ind w:left="0" w:right="46"/>
            </w:pPr>
            <w:r w:rsidRPr="00E6102D">
              <w:t xml:space="preserve">No rupture, slight pipe bulge </w:t>
            </w:r>
          </w:p>
        </w:tc>
      </w:tr>
      <w:tr w:rsidR="00AA3128" w:rsidRPr="00E6102D" w14:paraId="316CF6D8" w14:textId="77777777" w:rsidTr="00AD6267">
        <w:trPr>
          <w:jc w:val="center"/>
        </w:trPr>
        <w:tc>
          <w:tcPr>
            <w:tcW w:w="2371" w:type="dxa"/>
          </w:tcPr>
          <w:p w14:paraId="2E6492B4" w14:textId="77777777" w:rsidR="00AA3128" w:rsidRPr="00E6102D" w:rsidRDefault="00AA3128" w:rsidP="00ED4249">
            <w:pPr>
              <w:pStyle w:val="SingleTxtG"/>
              <w:keepNext/>
              <w:keepLines/>
              <w:ind w:left="0" w:right="120"/>
            </w:pPr>
            <w:r w:rsidRPr="00E6102D">
              <w:lastRenderedPageBreak/>
              <w:t>33.0</w:t>
            </w:r>
          </w:p>
        </w:tc>
        <w:tc>
          <w:tcPr>
            <w:tcW w:w="2562" w:type="dxa"/>
          </w:tcPr>
          <w:p w14:paraId="635CC4CD" w14:textId="77777777" w:rsidR="00AA3128" w:rsidRPr="00E6102D" w:rsidRDefault="00AA3128" w:rsidP="00ED4249">
            <w:pPr>
              <w:pStyle w:val="SingleTxtG"/>
              <w:keepNext/>
              <w:keepLines/>
              <w:tabs>
                <w:tab w:val="left" w:pos="1425"/>
              </w:tabs>
              <w:ind w:left="0" w:right="75"/>
              <w:jc w:val="left"/>
            </w:pPr>
            <w:r w:rsidRPr="00E6102D">
              <w:t>Single Package Test - 28mg EBW Detonator</w:t>
            </w:r>
          </w:p>
        </w:tc>
        <w:tc>
          <w:tcPr>
            <w:tcW w:w="2764" w:type="dxa"/>
          </w:tcPr>
          <w:p w14:paraId="78F6DC43" w14:textId="77777777" w:rsidR="00AA3128" w:rsidRPr="00E6102D" w:rsidRDefault="00AA3128" w:rsidP="00ED4249">
            <w:pPr>
              <w:pStyle w:val="SingleTxtG"/>
              <w:keepNext/>
              <w:keepLines/>
              <w:ind w:left="0" w:right="46"/>
            </w:pPr>
            <w:r w:rsidRPr="00E6102D">
              <w:t xml:space="preserve">No rupture, slight pipe bulge </w:t>
            </w:r>
          </w:p>
        </w:tc>
      </w:tr>
      <w:tr w:rsidR="00AA3128" w:rsidRPr="00262393" w14:paraId="0E2B30EF" w14:textId="77777777" w:rsidTr="00AD6267">
        <w:trPr>
          <w:jc w:val="center"/>
        </w:trPr>
        <w:tc>
          <w:tcPr>
            <w:tcW w:w="2371" w:type="dxa"/>
          </w:tcPr>
          <w:p w14:paraId="3C4683BA" w14:textId="77777777" w:rsidR="00AA3128" w:rsidRPr="00E6102D" w:rsidRDefault="00AA3128" w:rsidP="00A77F9C">
            <w:pPr>
              <w:pStyle w:val="SingleTxtG"/>
              <w:ind w:left="0" w:right="120"/>
            </w:pPr>
            <w:r w:rsidRPr="00E6102D">
              <w:t>50.8</w:t>
            </w:r>
          </w:p>
        </w:tc>
        <w:tc>
          <w:tcPr>
            <w:tcW w:w="2562" w:type="dxa"/>
          </w:tcPr>
          <w:p w14:paraId="78384671" w14:textId="77777777" w:rsidR="00AA3128" w:rsidRPr="00E6102D" w:rsidRDefault="00AA3128" w:rsidP="00AA3128">
            <w:pPr>
              <w:pStyle w:val="SingleTxtG"/>
              <w:tabs>
                <w:tab w:val="left" w:pos="1425"/>
              </w:tabs>
              <w:ind w:left="0" w:right="75"/>
              <w:jc w:val="left"/>
            </w:pPr>
            <w:r w:rsidRPr="00E6102D">
              <w:t>Single Package Test - 28mg EBW Detonator</w:t>
            </w:r>
          </w:p>
        </w:tc>
        <w:tc>
          <w:tcPr>
            <w:tcW w:w="2764" w:type="dxa"/>
          </w:tcPr>
          <w:p w14:paraId="21F34F05" w14:textId="77777777" w:rsidR="00AA3128" w:rsidRPr="00262393" w:rsidRDefault="00AA3128" w:rsidP="00AA3128">
            <w:pPr>
              <w:pStyle w:val="SingleTxtG"/>
              <w:ind w:left="0" w:right="46"/>
            </w:pPr>
            <w:r w:rsidRPr="00E6102D">
              <w:t>No rupture, slight pipe bulge</w:t>
            </w:r>
            <w:r w:rsidRPr="00262393">
              <w:t xml:space="preserve"> </w:t>
            </w:r>
          </w:p>
        </w:tc>
      </w:tr>
    </w:tbl>
    <w:p w14:paraId="04FEB93D" w14:textId="77777777" w:rsidR="00D905CF" w:rsidRPr="00262393" w:rsidRDefault="005E69F4" w:rsidP="00D2000F">
      <w:pPr>
        <w:pStyle w:val="HChG"/>
      </w:pPr>
      <w:r w:rsidRPr="00262393">
        <w:tab/>
      </w:r>
      <w:r w:rsidRPr="00262393">
        <w:tab/>
      </w:r>
      <w:r w:rsidR="00D905CF" w:rsidRPr="00262393">
        <w:t>Proposal</w:t>
      </w:r>
    </w:p>
    <w:p w14:paraId="3B150FDC" w14:textId="4C112815" w:rsidR="00E73995" w:rsidRPr="00262393" w:rsidRDefault="005E69F4" w:rsidP="00E73995">
      <w:pPr>
        <w:pStyle w:val="SingleTxtG"/>
      </w:pPr>
      <w:r w:rsidRPr="00262393">
        <w:t>1</w:t>
      </w:r>
      <w:r w:rsidR="00ED4249">
        <w:t>2</w:t>
      </w:r>
      <w:r w:rsidRPr="00262393">
        <w:t>.</w:t>
      </w:r>
      <w:r w:rsidRPr="00262393">
        <w:tab/>
      </w:r>
      <w:r w:rsidR="00E73995" w:rsidRPr="00262393">
        <w:t>SAAMI proposes the following system for discussion:</w:t>
      </w:r>
    </w:p>
    <w:p w14:paraId="320E3554" w14:textId="77777777" w:rsidR="00E73995" w:rsidRPr="00262393" w:rsidRDefault="00E73995" w:rsidP="00E73995">
      <w:pPr>
        <w:pStyle w:val="Bullet1G"/>
      </w:pPr>
      <w:r w:rsidRPr="00262393">
        <w:t>Create a new UN number for shipment of solids</w:t>
      </w:r>
    </w:p>
    <w:p w14:paraId="66209927" w14:textId="77777777" w:rsidR="00E73995" w:rsidRDefault="00E73995" w:rsidP="00E73995">
      <w:pPr>
        <w:pStyle w:val="Bullet1G"/>
      </w:pPr>
      <w:r w:rsidRPr="00262393">
        <w:t>Create a new UN number for shipment of liquids</w:t>
      </w:r>
    </w:p>
    <w:p w14:paraId="0BA04B82" w14:textId="77777777" w:rsidR="00C5733A" w:rsidRPr="00262393" w:rsidRDefault="00C5733A" w:rsidP="00C5733A">
      <w:pPr>
        <w:pStyle w:val="Bullet1G"/>
      </w:pPr>
      <w:r w:rsidRPr="00262393">
        <w:t xml:space="preserve">Create an annex with specifications for the </w:t>
      </w:r>
      <w:r>
        <w:t>containers</w:t>
      </w:r>
    </w:p>
    <w:p w14:paraId="1F7D61A4" w14:textId="77777777" w:rsidR="00E73995" w:rsidRPr="00262393" w:rsidRDefault="00C5733A" w:rsidP="00E73995">
      <w:pPr>
        <w:pStyle w:val="Bullet1G"/>
      </w:pPr>
      <w:r>
        <w:t>Add</w:t>
      </w:r>
      <w:r w:rsidRPr="00262393">
        <w:t xml:space="preserve"> </w:t>
      </w:r>
      <w:r w:rsidR="00E73995" w:rsidRPr="00262393">
        <w:t>sub-section 2.1.3.4</w:t>
      </w:r>
      <w:r>
        <w:t>.X</w:t>
      </w:r>
      <w:r w:rsidR="00E73995" w:rsidRPr="00262393">
        <w:t xml:space="preserve"> of the Model Regulations to detail the use of these UN numbers</w:t>
      </w:r>
      <w:r>
        <w:t>, with a reference to the specifications annex</w:t>
      </w:r>
    </w:p>
    <w:p w14:paraId="281798E3" w14:textId="77777777" w:rsidR="00E73995" w:rsidRPr="00262393" w:rsidRDefault="00E73995" w:rsidP="00E73995">
      <w:pPr>
        <w:pStyle w:val="Bullet1G"/>
      </w:pPr>
      <w:r w:rsidRPr="00262393">
        <w:t>Assign a special provision to these UN numbers. The special provision would reference sub-section 2.1.3.4</w:t>
      </w:r>
      <w:r w:rsidR="00C5733A">
        <w:t>.X</w:t>
      </w:r>
      <w:r w:rsidRPr="00262393">
        <w:t xml:space="preserve"> and the annex, and require a competent authority approval document to accompany the shipment.</w:t>
      </w:r>
    </w:p>
    <w:p w14:paraId="1236D83F" w14:textId="77777777" w:rsidR="00D905CF" w:rsidRPr="00CB18F9" w:rsidRDefault="00D905CF" w:rsidP="00D905CF">
      <w:pPr>
        <w:spacing w:before="240"/>
        <w:ind w:left="1134" w:right="1134"/>
        <w:jc w:val="center"/>
        <w:rPr>
          <w:u w:val="single"/>
        </w:rPr>
      </w:pPr>
      <w:r>
        <w:rPr>
          <w:u w:val="single"/>
        </w:rPr>
        <w:tab/>
      </w:r>
      <w:r>
        <w:rPr>
          <w:u w:val="single"/>
        </w:rPr>
        <w:tab/>
      </w:r>
      <w:r>
        <w:rPr>
          <w:u w:val="single"/>
        </w:rPr>
        <w:tab/>
      </w:r>
    </w:p>
    <w:p w14:paraId="5D12A0B5" w14:textId="77777777" w:rsidR="00D905CF" w:rsidRPr="00D905CF" w:rsidRDefault="00D905CF" w:rsidP="00D905CF"/>
    <w:sectPr w:rsidR="00D905CF" w:rsidRPr="00D905CF" w:rsidSect="007663EB">
      <w:headerReference w:type="even" r:id="rId15"/>
      <w:headerReference w:type="default" r:id="rId16"/>
      <w:footerReference w:type="even" r:id="rId17"/>
      <w:footerReference w:type="default" r:id="rId18"/>
      <w:headerReference w:type="first" r:id="rId19"/>
      <w:footnotePr>
        <w:numFmt w:val="chicago"/>
      </w:footnotePr>
      <w:endnotePr>
        <w:numFmt w:val="decimal"/>
      </w:endnotePr>
      <w:pgSz w:w="12240" w:h="15840" w:code="1"/>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718C" w14:textId="77777777" w:rsidR="00CC6068" w:rsidRDefault="00CC6068"/>
  </w:endnote>
  <w:endnote w:type="continuationSeparator" w:id="0">
    <w:p w14:paraId="0AED6197" w14:textId="77777777" w:rsidR="00CC6068" w:rsidRDefault="00CC6068"/>
  </w:endnote>
  <w:endnote w:type="continuationNotice" w:id="1">
    <w:p w14:paraId="6B706403" w14:textId="77777777" w:rsidR="00CC6068" w:rsidRDefault="00CC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0D2A" w14:textId="4F6F86D3"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A039B9">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D555" w14:textId="45D15C33"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039B9">
      <w:rPr>
        <w:b/>
        <w:noProof/>
        <w:sz w:val="18"/>
      </w:rPr>
      <w:t>5</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E5E0" w14:textId="77777777" w:rsidR="00CC6068" w:rsidRPr="000B175B" w:rsidRDefault="00CC6068" w:rsidP="000B175B">
      <w:pPr>
        <w:tabs>
          <w:tab w:val="right" w:pos="2155"/>
        </w:tabs>
        <w:spacing w:after="80"/>
        <w:ind w:left="680"/>
        <w:rPr>
          <w:u w:val="single"/>
        </w:rPr>
      </w:pPr>
      <w:r>
        <w:rPr>
          <w:u w:val="single"/>
        </w:rPr>
        <w:tab/>
      </w:r>
    </w:p>
  </w:footnote>
  <w:footnote w:type="continuationSeparator" w:id="0">
    <w:p w14:paraId="2A5E4693" w14:textId="77777777" w:rsidR="00CC6068" w:rsidRPr="00FC68B7" w:rsidRDefault="00CC6068" w:rsidP="00FC68B7">
      <w:pPr>
        <w:tabs>
          <w:tab w:val="left" w:pos="2155"/>
        </w:tabs>
        <w:spacing w:after="80"/>
        <w:ind w:left="680"/>
        <w:rPr>
          <w:u w:val="single"/>
        </w:rPr>
      </w:pPr>
      <w:r>
        <w:rPr>
          <w:u w:val="single"/>
        </w:rPr>
        <w:tab/>
      </w:r>
    </w:p>
  </w:footnote>
  <w:footnote w:type="continuationNotice" w:id="1">
    <w:p w14:paraId="38DB51BA" w14:textId="77777777" w:rsidR="00CC6068" w:rsidRDefault="00CC6068"/>
  </w:footnote>
  <w:footnote w:id="2">
    <w:p w14:paraId="25D86164" w14:textId="77777777" w:rsidR="00D905CF" w:rsidRPr="00D905CF" w:rsidRDefault="00D905CF" w:rsidP="00D905CF">
      <w:pPr>
        <w:pStyle w:val="FootnoteText"/>
        <w:tabs>
          <w:tab w:val="left" w:pos="1418"/>
        </w:tabs>
        <w:ind w:firstLine="0"/>
        <w:rPr>
          <w:lang w:val="fr-CH"/>
        </w:rPr>
      </w:pPr>
      <w:r w:rsidRPr="00283454">
        <w:rPr>
          <w:rStyle w:val="FootnoteReference"/>
        </w:rPr>
        <w:footnoteRef/>
      </w:r>
      <w:r w:rsidRPr="00283454">
        <w:tab/>
        <w:t>In accordance with the programme of work of the Sub-Committee for 2017–2018 approved by the Committee at its eighth session (see ST/SG/AC.10/C.3/100, paragraph 98 and ST/SG/AC.10/44, paragraph 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60DB" w14:textId="18D8C66C" w:rsidR="00CE1125" w:rsidRPr="006D12B1" w:rsidRDefault="00963F4E">
    <w:pPr>
      <w:pStyle w:val="Header"/>
    </w:pPr>
    <w:r>
      <w:t>ST/SG/AC.10/C.3/2017/</w:t>
    </w:r>
    <w:r w:rsidR="00D2000F">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95A5" w14:textId="18D8D5C8" w:rsidR="00CE1125" w:rsidRPr="006D12B1" w:rsidRDefault="00E30717" w:rsidP="006D12B1">
    <w:pPr>
      <w:pStyle w:val="Header"/>
      <w:jc w:val="right"/>
    </w:pPr>
    <w:r>
      <w:t>ST/SG/AC.10/C.3/2017/53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C53" w14:textId="77777777"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635456E"/>
    <w:multiLevelType w:val="hybridMultilevel"/>
    <w:tmpl w:val="B5CA97C8"/>
    <w:lvl w:ilvl="0" w:tplc="48A2EECC">
      <w:start w:val="1"/>
      <w:numFmt w:val="decimal"/>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8"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030AE6"/>
    <w:multiLevelType w:val="hybridMultilevel"/>
    <w:tmpl w:val="6B341BDA"/>
    <w:lvl w:ilvl="0" w:tplc="B13619BA">
      <w:numFmt w:val="bullet"/>
      <w:lvlText w:val=""/>
      <w:lvlJc w:val="left"/>
      <w:pPr>
        <w:ind w:left="2241" w:hanging="540"/>
      </w:pPr>
      <w:rPr>
        <w:rFonts w:ascii="Symbol" w:eastAsia="Times New Roman"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6372693C"/>
    <w:multiLevelType w:val="hybridMultilevel"/>
    <w:tmpl w:val="C7CECE98"/>
    <w:lvl w:ilvl="0" w:tplc="04090001">
      <w:start w:val="1"/>
      <w:numFmt w:val="bullet"/>
      <w:lvlText w:val=""/>
      <w:lvlJc w:val="left"/>
      <w:pPr>
        <w:ind w:left="2054" w:hanging="360"/>
      </w:pPr>
      <w:rPr>
        <w:rFonts w:ascii="Symbol" w:hAnsi="Symbol"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2"/>
  </w:num>
  <w:num w:numId="14">
    <w:abstractNumId w:val="26"/>
  </w:num>
  <w:num w:numId="15">
    <w:abstractNumId w:val="30"/>
  </w:num>
  <w:num w:numId="16">
    <w:abstractNumId w:val="16"/>
  </w:num>
  <w:num w:numId="17">
    <w:abstractNumId w:val="19"/>
  </w:num>
  <w:num w:numId="18">
    <w:abstractNumId w:val="18"/>
  </w:num>
  <w:num w:numId="19">
    <w:abstractNumId w:val="29"/>
  </w:num>
  <w:num w:numId="20">
    <w:abstractNumId w:val="22"/>
  </w:num>
  <w:num w:numId="21">
    <w:abstractNumId w:val="17"/>
  </w:num>
  <w:num w:numId="22">
    <w:abstractNumId w:val="10"/>
  </w:num>
  <w:num w:numId="23">
    <w:abstractNumId w:val="27"/>
  </w:num>
  <w:num w:numId="24">
    <w:abstractNumId w:val="20"/>
  </w:num>
  <w:num w:numId="25">
    <w:abstractNumId w:val="13"/>
  </w:num>
  <w:num w:numId="26">
    <w:abstractNumId w:val="21"/>
  </w:num>
  <w:num w:numId="27">
    <w:abstractNumId w:val="28"/>
  </w:num>
  <w:num w:numId="28">
    <w:abstractNumId w:val="14"/>
  </w:num>
  <w:num w:numId="29">
    <w:abstractNumId w:val="25"/>
  </w:num>
  <w:num w:numId="30">
    <w:abstractNumId w:val="11"/>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3D68"/>
    <w:rsid w:val="00023F08"/>
    <w:rsid w:val="00047D68"/>
    <w:rsid w:val="00047F82"/>
    <w:rsid w:val="000504CE"/>
    <w:rsid w:val="00050F6B"/>
    <w:rsid w:val="00064FD7"/>
    <w:rsid w:val="00072C8C"/>
    <w:rsid w:val="00083B73"/>
    <w:rsid w:val="00091419"/>
    <w:rsid w:val="0009150D"/>
    <w:rsid w:val="000931C0"/>
    <w:rsid w:val="000A254F"/>
    <w:rsid w:val="000A5147"/>
    <w:rsid w:val="000B175B"/>
    <w:rsid w:val="000B3A0F"/>
    <w:rsid w:val="000B6007"/>
    <w:rsid w:val="000C2086"/>
    <w:rsid w:val="000C4607"/>
    <w:rsid w:val="000D38D6"/>
    <w:rsid w:val="000D58F6"/>
    <w:rsid w:val="000E0415"/>
    <w:rsid w:val="000F7AB3"/>
    <w:rsid w:val="00115C6E"/>
    <w:rsid w:val="00117787"/>
    <w:rsid w:val="001206C9"/>
    <w:rsid w:val="00125AD8"/>
    <w:rsid w:val="00130876"/>
    <w:rsid w:val="00131D42"/>
    <w:rsid w:val="001549EA"/>
    <w:rsid w:val="001633FB"/>
    <w:rsid w:val="00167786"/>
    <w:rsid w:val="001961F6"/>
    <w:rsid w:val="001A537C"/>
    <w:rsid w:val="001B42B4"/>
    <w:rsid w:val="001B4535"/>
    <w:rsid w:val="001B4B04"/>
    <w:rsid w:val="001C0631"/>
    <w:rsid w:val="001C6663"/>
    <w:rsid w:val="001C7526"/>
    <w:rsid w:val="001C7895"/>
    <w:rsid w:val="001D26DF"/>
    <w:rsid w:val="001D2FDC"/>
    <w:rsid w:val="001D31FD"/>
    <w:rsid w:val="001D79DB"/>
    <w:rsid w:val="001F2D80"/>
    <w:rsid w:val="001F3FA0"/>
    <w:rsid w:val="001F4C6A"/>
    <w:rsid w:val="001F4F21"/>
    <w:rsid w:val="002016FA"/>
    <w:rsid w:val="00205DB6"/>
    <w:rsid w:val="00210B9C"/>
    <w:rsid w:val="002114DD"/>
    <w:rsid w:val="00211E0B"/>
    <w:rsid w:val="00212DFA"/>
    <w:rsid w:val="00213AFD"/>
    <w:rsid w:val="00221E51"/>
    <w:rsid w:val="00227C03"/>
    <w:rsid w:val="002309A7"/>
    <w:rsid w:val="00237785"/>
    <w:rsid w:val="00241466"/>
    <w:rsid w:val="00241743"/>
    <w:rsid w:val="0025255C"/>
    <w:rsid w:val="00262393"/>
    <w:rsid w:val="002656C7"/>
    <w:rsid w:val="00266652"/>
    <w:rsid w:val="002725CA"/>
    <w:rsid w:val="00274950"/>
    <w:rsid w:val="00280EB7"/>
    <w:rsid w:val="00283454"/>
    <w:rsid w:val="00286006"/>
    <w:rsid w:val="00286DC6"/>
    <w:rsid w:val="00292046"/>
    <w:rsid w:val="002B1CDA"/>
    <w:rsid w:val="002C1AE8"/>
    <w:rsid w:val="002E3E7B"/>
    <w:rsid w:val="0030379C"/>
    <w:rsid w:val="00306458"/>
    <w:rsid w:val="003107FA"/>
    <w:rsid w:val="0032058E"/>
    <w:rsid w:val="003229D8"/>
    <w:rsid w:val="0033059F"/>
    <w:rsid w:val="00337633"/>
    <w:rsid w:val="0034759C"/>
    <w:rsid w:val="003603DF"/>
    <w:rsid w:val="0036127B"/>
    <w:rsid w:val="00373BF8"/>
    <w:rsid w:val="003770E6"/>
    <w:rsid w:val="0039277A"/>
    <w:rsid w:val="00397267"/>
    <w:rsid w:val="003972E0"/>
    <w:rsid w:val="003A0C75"/>
    <w:rsid w:val="003A25EB"/>
    <w:rsid w:val="003A58B0"/>
    <w:rsid w:val="003B3726"/>
    <w:rsid w:val="003B6FA7"/>
    <w:rsid w:val="003C24C1"/>
    <w:rsid w:val="003C2CC4"/>
    <w:rsid w:val="003C7B41"/>
    <w:rsid w:val="003D2B60"/>
    <w:rsid w:val="003D4B23"/>
    <w:rsid w:val="003E211B"/>
    <w:rsid w:val="003E5B28"/>
    <w:rsid w:val="004134DB"/>
    <w:rsid w:val="0042233A"/>
    <w:rsid w:val="004325CB"/>
    <w:rsid w:val="00437F3F"/>
    <w:rsid w:val="00442DF8"/>
    <w:rsid w:val="00446DE4"/>
    <w:rsid w:val="00454036"/>
    <w:rsid w:val="004633B2"/>
    <w:rsid w:val="00465AFB"/>
    <w:rsid w:val="00477705"/>
    <w:rsid w:val="00477D30"/>
    <w:rsid w:val="00483009"/>
    <w:rsid w:val="00485492"/>
    <w:rsid w:val="0049059B"/>
    <w:rsid w:val="004A7D33"/>
    <w:rsid w:val="004B2C9D"/>
    <w:rsid w:val="004C1373"/>
    <w:rsid w:val="004C6FBA"/>
    <w:rsid w:val="004D56C3"/>
    <w:rsid w:val="004E05DD"/>
    <w:rsid w:val="004E596F"/>
    <w:rsid w:val="004F0881"/>
    <w:rsid w:val="004F3384"/>
    <w:rsid w:val="004F7921"/>
    <w:rsid w:val="005219D1"/>
    <w:rsid w:val="00527910"/>
    <w:rsid w:val="00530504"/>
    <w:rsid w:val="00534038"/>
    <w:rsid w:val="005420F2"/>
    <w:rsid w:val="005421EE"/>
    <w:rsid w:val="005427CF"/>
    <w:rsid w:val="005500DD"/>
    <w:rsid w:val="005501BE"/>
    <w:rsid w:val="00561D25"/>
    <w:rsid w:val="00563498"/>
    <w:rsid w:val="005649C7"/>
    <w:rsid w:val="00566C4F"/>
    <w:rsid w:val="00575122"/>
    <w:rsid w:val="00590144"/>
    <w:rsid w:val="00590E9D"/>
    <w:rsid w:val="00591271"/>
    <w:rsid w:val="0059588D"/>
    <w:rsid w:val="005B03C6"/>
    <w:rsid w:val="005B151F"/>
    <w:rsid w:val="005B3DB3"/>
    <w:rsid w:val="005B77F6"/>
    <w:rsid w:val="005C175E"/>
    <w:rsid w:val="005C7602"/>
    <w:rsid w:val="005E3071"/>
    <w:rsid w:val="005E69F4"/>
    <w:rsid w:val="005F7326"/>
    <w:rsid w:val="00600B82"/>
    <w:rsid w:val="00606F29"/>
    <w:rsid w:val="00610208"/>
    <w:rsid w:val="00610612"/>
    <w:rsid w:val="00611FC4"/>
    <w:rsid w:val="00614C90"/>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37B3"/>
    <w:rsid w:val="00674956"/>
    <w:rsid w:val="0068166B"/>
    <w:rsid w:val="006949CA"/>
    <w:rsid w:val="006A7392"/>
    <w:rsid w:val="006B20F6"/>
    <w:rsid w:val="006C0D34"/>
    <w:rsid w:val="006D12B1"/>
    <w:rsid w:val="006E564B"/>
    <w:rsid w:val="006F2F51"/>
    <w:rsid w:val="00704CDB"/>
    <w:rsid w:val="00711C13"/>
    <w:rsid w:val="007221B3"/>
    <w:rsid w:val="00724B47"/>
    <w:rsid w:val="0072632A"/>
    <w:rsid w:val="00744314"/>
    <w:rsid w:val="0074549D"/>
    <w:rsid w:val="00755330"/>
    <w:rsid w:val="00755888"/>
    <w:rsid w:val="007663EB"/>
    <w:rsid w:val="007702E2"/>
    <w:rsid w:val="00774DC9"/>
    <w:rsid w:val="00790791"/>
    <w:rsid w:val="0079329B"/>
    <w:rsid w:val="00796AE1"/>
    <w:rsid w:val="007A022A"/>
    <w:rsid w:val="007A5A16"/>
    <w:rsid w:val="007B08A0"/>
    <w:rsid w:val="007B0965"/>
    <w:rsid w:val="007B14D9"/>
    <w:rsid w:val="007B1A7E"/>
    <w:rsid w:val="007B6BA5"/>
    <w:rsid w:val="007B77FB"/>
    <w:rsid w:val="007C2411"/>
    <w:rsid w:val="007C3390"/>
    <w:rsid w:val="007C4B6B"/>
    <w:rsid w:val="007C4F4B"/>
    <w:rsid w:val="007D662C"/>
    <w:rsid w:val="007E79E3"/>
    <w:rsid w:val="007F6611"/>
    <w:rsid w:val="00800367"/>
    <w:rsid w:val="00802FA3"/>
    <w:rsid w:val="008053FC"/>
    <w:rsid w:val="008175E9"/>
    <w:rsid w:val="00823B1A"/>
    <w:rsid w:val="008242D7"/>
    <w:rsid w:val="00824C37"/>
    <w:rsid w:val="00851446"/>
    <w:rsid w:val="008650F3"/>
    <w:rsid w:val="00871FD5"/>
    <w:rsid w:val="00876878"/>
    <w:rsid w:val="008807DA"/>
    <w:rsid w:val="00884FD0"/>
    <w:rsid w:val="008910B9"/>
    <w:rsid w:val="00895E97"/>
    <w:rsid w:val="00897198"/>
    <w:rsid w:val="008979B1"/>
    <w:rsid w:val="008A3016"/>
    <w:rsid w:val="008A3543"/>
    <w:rsid w:val="008A6B25"/>
    <w:rsid w:val="008A6C4F"/>
    <w:rsid w:val="008D53CE"/>
    <w:rsid w:val="008E071B"/>
    <w:rsid w:val="008E0E46"/>
    <w:rsid w:val="008F79EE"/>
    <w:rsid w:val="00904113"/>
    <w:rsid w:val="00904B37"/>
    <w:rsid w:val="009169CB"/>
    <w:rsid w:val="00922550"/>
    <w:rsid w:val="009255A2"/>
    <w:rsid w:val="009434B3"/>
    <w:rsid w:val="00945A5D"/>
    <w:rsid w:val="00946A04"/>
    <w:rsid w:val="00953B3E"/>
    <w:rsid w:val="0095534D"/>
    <w:rsid w:val="0095690E"/>
    <w:rsid w:val="00957117"/>
    <w:rsid w:val="00963CBA"/>
    <w:rsid w:val="00963F4E"/>
    <w:rsid w:val="00965664"/>
    <w:rsid w:val="009854F2"/>
    <w:rsid w:val="0099124E"/>
    <w:rsid w:val="00991261"/>
    <w:rsid w:val="009A7613"/>
    <w:rsid w:val="009B262B"/>
    <w:rsid w:val="009B371C"/>
    <w:rsid w:val="009B4C36"/>
    <w:rsid w:val="009C4C96"/>
    <w:rsid w:val="009D1AAE"/>
    <w:rsid w:val="009D21EA"/>
    <w:rsid w:val="009D2254"/>
    <w:rsid w:val="009E523D"/>
    <w:rsid w:val="009F0F06"/>
    <w:rsid w:val="009F4BF2"/>
    <w:rsid w:val="00A039B9"/>
    <w:rsid w:val="00A1427D"/>
    <w:rsid w:val="00A3012E"/>
    <w:rsid w:val="00A310BE"/>
    <w:rsid w:val="00A357CC"/>
    <w:rsid w:val="00A50007"/>
    <w:rsid w:val="00A60C34"/>
    <w:rsid w:val="00A72F22"/>
    <w:rsid w:val="00A73040"/>
    <w:rsid w:val="00A748A6"/>
    <w:rsid w:val="00A74A73"/>
    <w:rsid w:val="00A74EF3"/>
    <w:rsid w:val="00A75B6F"/>
    <w:rsid w:val="00A75EC9"/>
    <w:rsid w:val="00A77F9C"/>
    <w:rsid w:val="00A8523D"/>
    <w:rsid w:val="00A879A4"/>
    <w:rsid w:val="00A90303"/>
    <w:rsid w:val="00A93914"/>
    <w:rsid w:val="00A93EFD"/>
    <w:rsid w:val="00A9451B"/>
    <w:rsid w:val="00A95EBF"/>
    <w:rsid w:val="00AA3128"/>
    <w:rsid w:val="00AA6ADE"/>
    <w:rsid w:val="00AC12E0"/>
    <w:rsid w:val="00AC4017"/>
    <w:rsid w:val="00AD2EE4"/>
    <w:rsid w:val="00AD6267"/>
    <w:rsid w:val="00AE06E2"/>
    <w:rsid w:val="00AF17E0"/>
    <w:rsid w:val="00AF523B"/>
    <w:rsid w:val="00AF7238"/>
    <w:rsid w:val="00B30179"/>
    <w:rsid w:val="00B3094C"/>
    <w:rsid w:val="00B3317B"/>
    <w:rsid w:val="00B4226A"/>
    <w:rsid w:val="00B431FF"/>
    <w:rsid w:val="00B5451D"/>
    <w:rsid w:val="00B56722"/>
    <w:rsid w:val="00B66672"/>
    <w:rsid w:val="00B707EC"/>
    <w:rsid w:val="00B81E12"/>
    <w:rsid w:val="00B85A05"/>
    <w:rsid w:val="00B93068"/>
    <w:rsid w:val="00B94CD7"/>
    <w:rsid w:val="00BB0133"/>
    <w:rsid w:val="00BB027F"/>
    <w:rsid w:val="00BC603D"/>
    <w:rsid w:val="00BC74E9"/>
    <w:rsid w:val="00BD36F7"/>
    <w:rsid w:val="00BE618E"/>
    <w:rsid w:val="00BF169C"/>
    <w:rsid w:val="00BF3593"/>
    <w:rsid w:val="00BF7DE7"/>
    <w:rsid w:val="00C22483"/>
    <w:rsid w:val="00C32725"/>
    <w:rsid w:val="00C44E98"/>
    <w:rsid w:val="00C463DD"/>
    <w:rsid w:val="00C5304E"/>
    <w:rsid w:val="00C5733A"/>
    <w:rsid w:val="00C62F76"/>
    <w:rsid w:val="00C667E3"/>
    <w:rsid w:val="00C745C3"/>
    <w:rsid w:val="00C7487E"/>
    <w:rsid w:val="00C97788"/>
    <w:rsid w:val="00CA2FB6"/>
    <w:rsid w:val="00CA4CE7"/>
    <w:rsid w:val="00CB01D2"/>
    <w:rsid w:val="00CB64AE"/>
    <w:rsid w:val="00CC0534"/>
    <w:rsid w:val="00CC5473"/>
    <w:rsid w:val="00CC5FB1"/>
    <w:rsid w:val="00CC6068"/>
    <w:rsid w:val="00CD3225"/>
    <w:rsid w:val="00CD45E4"/>
    <w:rsid w:val="00CD5C51"/>
    <w:rsid w:val="00CD5FED"/>
    <w:rsid w:val="00CE1125"/>
    <w:rsid w:val="00CE46BA"/>
    <w:rsid w:val="00CE4A8F"/>
    <w:rsid w:val="00CE57DA"/>
    <w:rsid w:val="00CF03B5"/>
    <w:rsid w:val="00CF5E82"/>
    <w:rsid w:val="00CF7E49"/>
    <w:rsid w:val="00D1626A"/>
    <w:rsid w:val="00D2000F"/>
    <w:rsid w:val="00D2031B"/>
    <w:rsid w:val="00D24605"/>
    <w:rsid w:val="00D25FE2"/>
    <w:rsid w:val="00D327F7"/>
    <w:rsid w:val="00D35BDD"/>
    <w:rsid w:val="00D36689"/>
    <w:rsid w:val="00D43252"/>
    <w:rsid w:val="00D46231"/>
    <w:rsid w:val="00D625F6"/>
    <w:rsid w:val="00D71E33"/>
    <w:rsid w:val="00D729F2"/>
    <w:rsid w:val="00D753D8"/>
    <w:rsid w:val="00D81742"/>
    <w:rsid w:val="00D828D0"/>
    <w:rsid w:val="00D83B2B"/>
    <w:rsid w:val="00D905CF"/>
    <w:rsid w:val="00D9598F"/>
    <w:rsid w:val="00D96CC5"/>
    <w:rsid w:val="00D978C6"/>
    <w:rsid w:val="00DA67AD"/>
    <w:rsid w:val="00DB2840"/>
    <w:rsid w:val="00DD44E3"/>
    <w:rsid w:val="00DD62B9"/>
    <w:rsid w:val="00DD66D0"/>
    <w:rsid w:val="00DF18E3"/>
    <w:rsid w:val="00E130AB"/>
    <w:rsid w:val="00E1345B"/>
    <w:rsid w:val="00E1679E"/>
    <w:rsid w:val="00E207EC"/>
    <w:rsid w:val="00E253A4"/>
    <w:rsid w:val="00E30717"/>
    <w:rsid w:val="00E5644E"/>
    <w:rsid w:val="00E6102D"/>
    <w:rsid w:val="00E7260F"/>
    <w:rsid w:val="00E73995"/>
    <w:rsid w:val="00E81230"/>
    <w:rsid w:val="00E8535A"/>
    <w:rsid w:val="00E933C4"/>
    <w:rsid w:val="00E96386"/>
    <w:rsid w:val="00E96630"/>
    <w:rsid w:val="00E96952"/>
    <w:rsid w:val="00EA34E1"/>
    <w:rsid w:val="00EA6E78"/>
    <w:rsid w:val="00EA772F"/>
    <w:rsid w:val="00EB6832"/>
    <w:rsid w:val="00EC271A"/>
    <w:rsid w:val="00EC4D9F"/>
    <w:rsid w:val="00ED14CB"/>
    <w:rsid w:val="00ED4249"/>
    <w:rsid w:val="00ED4A3F"/>
    <w:rsid w:val="00ED7A2A"/>
    <w:rsid w:val="00EE6033"/>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2496D"/>
  <w15:docId w15:val="{E2449C41-5D5E-4F7E-B7DB-6C580342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 w:type="character" w:customStyle="1" w:styleId="SingleTxtGZchnZchn">
    <w:name w:val="_ Single Txt_G Zchn Zchn"/>
    <w:rsid w:val="00E6102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302">
      <w:bodyDiv w:val="1"/>
      <w:marLeft w:val="0"/>
      <w:marRight w:val="0"/>
      <w:marTop w:val="0"/>
      <w:marBottom w:val="0"/>
      <w:divBdr>
        <w:top w:val="none" w:sz="0" w:space="0" w:color="auto"/>
        <w:left w:val="none" w:sz="0" w:space="0" w:color="auto"/>
        <w:bottom w:val="none" w:sz="0" w:space="0" w:color="auto"/>
        <w:right w:val="none" w:sz="0" w:space="0" w:color="auto"/>
      </w:divBdr>
    </w:div>
    <w:div w:id="398328492">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8CB78C18-9F8F-4570-9327-DEB83D6F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27</TotalTime>
  <Pages>5</Pages>
  <Words>1266</Words>
  <Characters>6424</Characters>
  <Application>Microsoft Office Word</Application>
  <DocSecurity>0</DocSecurity>
  <Lines>191</Lines>
  <Paragraphs>100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7643</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2018-04-04T13:41:00Z</cp:lastPrinted>
  <dcterms:created xsi:type="dcterms:W3CDTF">2018-04-03T13:12:00Z</dcterms:created>
  <dcterms:modified xsi:type="dcterms:W3CDTF">2018-04-04T13:41:00Z</dcterms:modified>
</cp:coreProperties>
</file>