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F063E" w:rsidTr="00F01738">
        <w:trPr>
          <w:trHeight w:hRule="exact" w:val="851"/>
        </w:trPr>
        <w:tc>
          <w:tcPr>
            <w:tcW w:w="1276" w:type="dxa"/>
            <w:tcBorders>
              <w:bottom w:val="single" w:sz="4" w:space="0" w:color="auto"/>
            </w:tcBorders>
          </w:tcPr>
          <w:p w:rsidR="00132EA9" w:rsidRPr="00DF063E" w:rsidRDefault="00132EA9" w:rsidP="00E708AC">
            <w:bookmarkStart w:id="0" w:name="_GoBack"/>
            <w:bookmarkEnd w:id="0"/>
          </w:p>
        </w:tc>
        <w:tc>
          <w:tcPr>
            <w:tcW w:w="2268" w:type="dxa"/>
            <w:tcBorders>
              <w:bottom w:val="single" w:sz="4" w:space="0" w:color="auto"/>
            </w:tcBorders>
            <w:vAlign w:val="bottom"/>
          </w:tcPr>
          <w:p w:rsidR="00132EA9" w:rsidRPr="00DF063E" w:rsidRDefault="00132EA9" w:rsidP="00F01738">
            <w:pPr>
              <w:spacing w:after="80" w:line="300" w:lineRule="exact"/>
              <w:rPr>
                <w:sz w:val="28"/>
              </w:rPr>
            </w:pPr>
            <w:r w:rsidRPr="00DF063E">
              <w:rPr>
                <w:sz w:val="28"/>
              </w:rPr>
              <w:t>Nations Unies</w:t>
            </w:r>
          </w:p>
        </w:tc>
        <w:tc>
          <w:tcPr>
            <w:tcW w:w="6095" w:type="dxa"/>
            <w:gridSpan w:val="2"/>
            <w:tcBorders>
              <w:bottom w:val="single" w:sz="4" w:space="0" w:color="auto"/>
            </w:tcBorders>
            <w:vAlign w:val="bottom"/>
          </w:tcPr>
          <w:p w:rsidR="00132EA9" w:rsidRPr="00DF063E" w:rsidRDefault="00E708AC" w:rsidP="00E708AC">
            <w:pPr>
              <w:jc w:val="right"/>
            </w:pPr>
            <w:r w:rsidRPr="00DF063E">
              <w:rPr>
                <w:sz w:val="40"/>
              </w:rPr>
              <w:t>ST</w:t>
            </w:r>
            <w:r w:rsidRPr="00DF063E">
              <w:t>/SG/AC.10/C.3/2018/28</w:t>
            </w:r>
          </w:p>
        </w:tc>
      </w:tr>
      <w:tr w:rsidR="00132EA9" w:rsidRPr="00DF063E" w:rsidTr="00F01738">
        <w:trPr>
          <w:trHeight w:hRule="exact" w:val="2835"/>
        </w:trPr>
        <w:tc>
          <w:tcPr>
            <w:tcW w:w="1276" w:type="dxa"/>
            <w:tcBorders>
              <w:top w:val="single" w:sz="4" w:space="0" w:color="auto"/>
              <w:bottom w:val="single" w:sz="12" w:space="0" w:color="auto"/>
            </w:tcBorders>
          </w:tcPr>
          <w:p w:rsidR="00132EA9" w:rsidRPr="00DF063E" w:rsidRDefault="00132EA9" w:rsidP="00F01738">
            <w:pPr>
              <w:spacing w:before="120"/>
              <w:jc w:val="center"/>
            </w:pPr>
            <w:r w:rsidRPr="00DF063E">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DF063E" w:rsidRDefault="00132EA9" w:rsidP="00F01738">
            <w:pPr>
              <w:spacing w:before="120" w:line="420" w:lineRule="exact"/>
              <w:rPr>
                <w:b/>
                <w:sz w:val="40"/>
                <w:szCs w:val="40"/>
              </w:rPr>
            </w:pPr>
            <w:r w:rsidRPr="00DF063E">
              <w:rPr>
                <w:b/>
                <w:sz w:val="40"/>
                <w:szCs w:val="40"/>
              </w:rPr>
              <w:t>Secrétariat</w:t>
            </w:r>
          </w:p>
        </w:tc>
        <w:tc>
          <w:tcPr>
            <w:tcW w:w="2835" w:type="dxa"/>
            <w:tcBorders>
              <w:top w:val="single" w:sz="4" w:space="0" w:color="auto"/>
              <w:bottom w:val="single" w:sz="12" w:space="0" w:color="auto"/>
            </w:tcBorders>
          </w:tcPr>
          <w:p w:rsidR="00132EA9" w:rsidRPr="00DF063E" w:rsidRDefault="00E708AC" w:rsidP="00F01738">
            <w:pPr>
              <w:spacing w:before="240"/>
            </w:pPr>
            <w:r w:rsidRPr="00DF063E">
              <w:t xml:space="preserve">Distr. </w:t>
            </w:r>
            <w:proofErr w:type="gramStart"/>
            <w:r w:rsidRPr="00DF063E">
              <w:t>générale</w:t>
            </w:r>
            <w:proofErr w:type="gramEnd"/>
          </w:p>
          <w:p w:rsidR="00E708AC" w:rsidRPr="00DF063E" w:rsidRDefault="00E708AC" w:rsidP="00E708AC">
            <w:pPr>
              <w:spacing w:line="240" w:lineRule="exact"/>
            </w:pPr>
            <w:r w:rsidRPr="00DF063E">
              <w:t>2</w:t>
            </w:r>
            <w:r w:rsidR="00803DA8">
              <w:t>9</w:t>
            </w:r>
            <w:r w:rsidRPr="00DF063E">
              <w:t xml:space="preserve"> mars 2018</w:t>
            </w:r>
          </w:p>
          <w:p w:rsidR="00E708AC" w:rsidRPr="00DF063E" w:rsidRDefault="00E708AC" w:rsidP="00E708AC">
            <w:pPr>
              <w:spacing w:line="240" w:lineRule="exact"/>
            </w:pPr>
            <w:r w:rsidRPr="00DF063E">
              <w:t>Français</w:t>
            </w:r>
          </w:p>
          <w:p w:rsidR="00E708AC" w:rsidRPr="00DF063E" w:rsidRDefault="00803DA8" w:rsidP="00E708AC">
            <w:pPr>
              <w:spacing w:line="240" w:lineRule="exact"/>
            </w:pPr>
            <w:r>
              <w:t>Original </w:t>
            </w:r>
            <w:r w:rsidR="00E708AC" w:rsidRPr="00DF063E">
              <w:t>: anglais</w:t>
            </w:r>
          </w:p>
        </w:tc>
      </w:tr>
    </w:tbl>
    <w:p w:rsidR="00843966" w:rsidRPr="00DF063E" w:rsidRDefault="00AC6CC4" w:rsidP="006B237A">
      <w:pPr>
        <w:spacing w:before="120"/>
        <w:rPr>
          <w:b/>
          <w:sz w:val="24"/>
          <w:szCs w:val="24"/>
        </w:rPr>
      </w:pPr>
      <w:r w:rsidRPr="00DF063E">
        <w:rPr>
          <w:b/>
          <w:sz w:val="24"/>
          <w:szCs w:val="24"/>
        </w:rPr>
        <w:t xml:space="preserve">Comité d’experts du transport des marchandises dangereuses </w:t>
      </w:r>
      <w:r w:rsidR="006B237A" w:rsidRPr="00DF063E">
        <w:rPr>
          <w:b/>
          <w:sz w:val="24"/>
          <w:szCs w:val="24"/>
        </w:rPr>
        <w:br/>
      </w:r>
      <w:r w:rsidRPr="00DF063E">
        <w:rPr>
          <w:b/>
          <w:sz w:val="24"/>
          <w:szCs w:val="24"/>
        </w:rPr>
        <w:t xml:space="preserve">et du Système général harmonisé de classification </w:t>
      </w:r>
      <w:r w:rsidR="006B237A" w:rsidRPr="00DF063E">
        <w:rPr>
          <w:b/>
          <w:sz w:val="24"/>
          <w:szCs w:val="24"/>
        </w:rPr>
        <w:br/>
      </w:r>
      <w:r w:rsidRPr="00DF063E">
        <w:rPr>
          <w:b/>
          <w:sz w:val="24"/>
          <w:szCs w:val="24"/>
        </w:rPr>
        <w:t>et d’étiquetage des produits chimiques</w:t>
      </w:r>
    </w:p>
    <w:p w:rsidR="00AC6CC4" w:rsidRPr="00DF063E" w:rsidRDefault="00AC6CC4" w:rsidP="006B237A">
      <w:pPr>
        <w:spacing w:before="120"/>
        <w:rPr>
          <w:b/>
        </w:rPr>
      </w:pPr>
      <w:r w:rsidRPr="00DF063E">
        <w:rPr>
          <w:b/>
        </w:rPr>
        <w:t>Sous-comité d’experts du transport des marchandises dangereuses</w:t>
      </w:r>
    </w:p>
    <w:p w:rsidR="00AC6CC4" w:rsidRPr="00DF063E" w:rsidRDefault="00AC6CC4" w:rsidP="006B237A">
      <w:pPr>
        <w:spacing w:before="120"/>
        <w:rPr>
          <w:b/>
        </w:rPr>
      </w:pPr>
      <w:r w:rsidRPr="00DF063E">
        <w:rPr>
          <w:b/>
        </w:rPr>
        <w:t>Cinquante-troisième session</w:t>
      </w:r>
    </w:p>
    <w:p w:rsidR="00AC6CC4" w:rsidRPr="00DF063E" w:rsidRDefault="00AC6CC4" w:rsidP="00843966">
      <w:r w:rsidRPr="00DF063E">
        <w:t xml:space="preserve">Genève, 25 </w:t>
      </w:r>
      <w:r w:rsidR="006B237A" w:rsidRPr="00DF063E">
        <w:t>juin-</w:t>
      </w:r>
      <w:r w:rsidRPr="00DF063E">
        <w:t>4 juillet 2018</w:t>
      </w:r>
    </w:p>
    <w:p w:rsidR="00AC6CC4" w:rsidRPr="00DF063E" w:rsidRDefault="00AC6CC4" w:rsidP="00843966">
      <w:r w:rsidRPr="00DF063E">
        <w:t>Point 3 de l’ordre du jour provisoire</w:t>
      </w:r>
    </w:p>
    <w:p w:rsidR="00AC6CC4" w:rsidRPr="00DF063E" w:rsidRDefault="00AC6CC4" w:rsidP="00843966">
      <w:pPr>
        <w:rPr>
          <w:b/>
        </w:rPr>
      </w:pPr>
      <w:r w:rsidRPr="00DF063E">
        <w:rPr>
          <w:b/>
        </w:rPr>
        <w:t>Inscription, classement et emballage</w:t>
      </w:r>
    </w:p>
    <w:p w:rsidR="00AC6CC4" w:rsidRPr="00DF063E" w:rsidRDefault="00AC6CC4" w:rsidP="00843966">
      <w:pPr>
        <w:pStyle w:val="HChG"/>
      </w:pPr>
      <w:r w:rsidRPr="00DF063E">
        <w:tab/>
      </w:r>
      <w:r w:rsidRPr="00DF063E">
        <w:tab/>
        <w:t>Objets auxquels s’appliquent les dispositions spéciales 117 et</w:t>
      </w:r>
      <w:r w:rsidR="006B237A" w:rsidRPr="00DF063E">
        <w:t> </w:t>
      </w:r>
      <w:r w:rsidRPr="00DF063E">
        <w:t>123</w:t>
      </w:r>
    </w:p>
    <w:p w:rsidR="00AC6CC4" w:rsidRPr="00DF063E" w:rsidRDefault="00AC6CC4" w:rsidP="00843966">
      <w:pPr>
        <w:pStyle w:val="H1G"/>
      </w:pPr>
      <w:r w:rsidRPr="00DF063E">
        <w:tab/>
      </w:r>
      <w:r w:rsidRPr="00DF063E">
        <w:tab/>
        <w:t xml:space="preserve">Communication du Council on </w:t>
      </w:r>
      <w:proofErr w:type="spellStart"/>
      <w:r w:rsidRPr="00DF063E">
        <w:t>safe</w:t>
      </w:r>
      <w:proofErr w:type="spellEnd"/>
      <w:r w:rsidRPr="00DF063E">
        <w:t xml:space="preserve"> transportation of </w:t>
      </w:r>
      <w:proofErr w:type="spellStart"/>
      <w:r w:rsidRPr="00DF063E">
        <w:t>hazardous</w:t>
      </w:r>
      <w:proofErr w:type="spellEnd"/>
      <w:r w:rsidRPr="00DF063E">
        <w:t xml:space="preserve"> articles (COSTHA)</w:t>
      </w:r>
      <w:r w:rsidR="00843966" w:rsidRPr="00DF063E">
        <w:rPr>
          <w:rStyle w:val="FootnoteReference"/>
          <w:b w:val="0"/>
          <w:sz w:val="20"/>
          <w:vertAlign w:val="baseline"/>
        </w:rPr>
        <w:footnoteReference w:customMarkFollows="1" w:id="2"/>
        <w:t>*</w:t>
      </w:r>
    </w:p>
    <w:p w:rsidR="00AC6CC4" w:rsidRPr="00DF063E" w:rsidRDefault="00AC6CC4" w:rsidP="00843966">
      <w:pPr>
        <w:pStyle w:val="HChG"/>
      </w:pPr>
      <w:r w:rsidRPr="00DF063E">
        <w:tab/>
      </w:r>
      <w:r w:rsidRPr="00DF063E">
        <w:tab/>
        <w:t>Introduction</w:t>
      </w:r>
    </w:p>
    <w:p w:rsidR="00AC6CC4" w:rsidRPr="00DF063E" w:rsidRDefault="00AC6CC4" w:rsidP="00843966">
      <w:pPr>
        <w:pStyle w:val="SingleTxtG"/>
      </w:pPr>
      <w:r w:rsidRPr="00DF063E">
        <w:t>1.</w:t>
      </w:r>
      <w:r w:rsidRPr="00DF063E">
        <w:tab/>
        <w:t xml:space="preserve">D’après COSTHA, il existe huit (8) objets dans le Tableau des marchandises dangereuses pour lesquels l’application des dispositions spéciales 117 et/ou 123 devrait être examinée et modifiée. </w:t>
      </w:r>
    </w:p>
    <w:p w:rsidR="00AC6CC4" w:rsidRPr="00DF063E" w:rsidRDefault="00AC6CC4" w:rsidP="00843966">
      <w:pPr>
        <w:pStyle w:val="SingleTxtG"/>
      </w:pPr>
      <w:r w:rsidRPr="00DF063E">
        <w:t>2.</w:t>
      </w:r>
      <w:r w:rsidRPr="00DF063E">
        <w:tab/>
        <w:t xml:space="preserve">Dans le Règlement type, la disposition spéciale 117 indique que le Règlement ne s’applique qu’en cas de transport par voie maritime alors que la disposition spéciale 123 indique qu’il ne s’applique qu’en cas de transport par voie maritime ou aérienne. Ces dispositions spéciales sont utiles dans le cas d’un transport multimodal, dans lequel des marchandises peuvent être soumises à une réglementation dans un mode mais pas </w:t>
      </w:r>
      <w:r w:rsidR="006B237A" w:rsidRPr="00DF063E">
        <w:t>dans un </w:t>
      </w:r>
      <w:r w:rsidRPr="00DF063E">
        <w:t>autre.</w:t>
      </w:r>
    </w:p>
    <w:p w:rsidR="00AC6CC4" w:rsidRPr="00DF063E" w:rsidRDefault="00AC6CC4" w:rsidP="00843966">
      <w:pPr>
        <w:pStyle w:val="SingleTxtG"/>
      </w:pPr>
      <w:r w:rsidRPr="00DF063E">
        <w:t>3.</w:t>
      </w:r>
      <w:r w:rsidRPr="00DF063E">
        <w:tab/>
        <w:t xml:space="preserve">Dans la Liste des marchandises dangereuses, la disposition spéciale 117 s’applique à sept (7) objets, lesquels sont donc soumis au Règlement type que lorsqu’ils sont transportés par voie maritime. Et pourtant, dans la Liste des marchandises dangereuses des Instructions techniques de l’OACI, six (6) d’entre eux sont interdits au transport par voie aérienne. </w:t>
      </w:r>
    </w:p>
    <w:p w:rsidR="00AC6CC4" w:rsidRPr="00DF063E" w:rsidRDefault="00843966" w:rsidP="00843966">
      <w:pPr>
        <w:pStyle w:val="HChG"/>
      </w:pPr>
      <w:r w:rsidRPr="00DF063E">
        <w:lastRenderedPageBreak/>
        <w:tab/>
      </w:r>
      <w:r w:rsidRPr="00DF063E">
        <w:tab/>
      </w:r>
      <w:r w:rsidR="00AC6CC4" w:rsidRPr="00DF063E">
        <w:t>Argumentation</w:t>
      </w:r>
    </w:p>
    <w:p w:rsidR="00AC6CC4" w:rsidRPr="00DF063E" w:rsidRDefault="00AC6CC4" w:rsidP="00DF063E">
      <w:pPr>
        <w:pStyle w:val="SingleTxtG"/>
        <w:keepNext/>
      </w:pPr>
      <w:r w:rsidRPr="00DF063E">
        <w:t>4.</w:t>
      </w:r>
      <w:r w:rsidRPr="00DF063E">
        <w:tab/>
        <w:t>Les sept objets auxquels s’applique la disposition spéciale 117 sont énumérés dans le tableau ci-dessous. En outre, il y est indiqué pour chacun d’eux s’ils sont autorisés au transport par voie aérienne d’après les Instructions techniques de l’</w:t>
      </w:r>
      <w:r w:rsidR="00FE4B15" w:rsidRPr="00DF063E">
        <w:t>OACI :</w:t>
      </w:r>
    </w:p>
    <w:tbl>
      <w:tblPr>
        <w:tblStyle w:val="TableGrid"/>
        <w:tblW w:w="7370" w:type="dxa"/>
        <w:jc w:val="center"/>
        <w:tblLook w:val="04A0" w:firstRow="1" w:lastRow="0" w:firstColumn="1" w:lastColumn="0" w:noHBand="0" w:noVBand="1"/>
      </w:tblPr>
      <w:tblGrid>
        <w:gridCol w:w="2582"/>
        <w:gridCol w:w="2394"/>
        <w:gridCol w:w="2394"/>
      </w:tblGrid>
      <w:tr w:rsidR="00AC6CC4" w:rsidRPr="00DF063E" w:rsidTr="004157C1">
        <w:trPr>
          <w:jc w:val="center"/>
        </w:trPr>
        <w:tc>
          <w:tcPr>
            <w:tcW w:w="2546" w:type="dxa"/>
          </w:tcPr>
          <w:p w:rsidR="00AC6CC4" w:rsidRPr="00DF063E" w:rsidRDefault="00AC6CC4" w:rsidP="004157C1">
            <w:pPr>
              <w:suppressAutoHyphens w:val="0"/>
              <w:spacing w:before="60" w:after="60"/>
              <w:ind w:left="113" w:right="113"/>
              <w:jc w:val="center"/>
              <w:rPr>
                <w:b/>
              </w:rPr>
            </w:pPr>
            <w:r w:rsidRPr="00DF063E">
              <w:rPr>
                <w:b/>
              </w:rPr>
              <w:t>Numéro ONU</w:t>
            </w:r>
          </w:p>
        </w:tc>
        <w:tc>
          <w:tcPr>
            <w:tcW w:w="2361" w:type="dxa"/>
          </w:tcPr>
          <w:p w:rsidR="00AC6CC4" w:rsidRPr="00DF063E" w:rsidRDefault="00AC6CC4" w:rsidP="004157C1">
            <w:pPr>
              <w:suppressAutoHyphens w:val="0"/>
              <w:spacing w:before="60" w:after="60"/>
              <w:ind w:left="113" w:right="113"/>
              <w:rPr>
                <w:b/>
              </w:rPr>
            </w:pPr>
            <w:r w:rsidRPr="00DF063E">
              <w:rPr>
                <w:b/>
              </w:rPr>
              <w:t>Désignation officielle de transport</w:t>
            </w:r>
          </w:p>
        </w:tc>
        <w:tc>
          <w:tcPr>
            <w:tcW w:w="2361" w:type="dxa"/>
          </w:tcPr>
          <w:p w:rsidR="00AC6CC4" w:rsidRPr="00DF063E" w:rsidRDefault="00AC6CC4" w:rsidP="004157C1">
            <w:pPr>
              <w:suppressAutoHyphens w:val="0"/>
              <w:spacing w:before="60" w:after="60"/>
              <w:ind w:left="113" w:right="113"/>
              <w:rPr>
                <w:b/>
              </w:rPr>
            </w:pPr>
            <w:r w:rsidRPr="00DF063E">
              <w:rPr>
                <w:b/>
              </w:rPr>
              <w:t>Soumis à réglementation pour transport aérien</w:t>
            </w:r>
            <w:r w:rsidR="006D74F8">
              <w:rPr>
                <w:b/>
              </w:rPr>
              <w:t> </w:t>
            </w:r>
            <w:r w:rsidRPr="00DF063E">
              <w:rPr>
                <w:b/>
              </w:rPr>
              <w:t>?</w:t>
            </w:r>
          </w:p>
        </w:tc>
      </w:tr>
      <w:tr w:rsidR="00AC6CC4" w:rsidRPr="00DF063E" w:rsidTr="004157C1">
        <w:trPr>
          <w:jc w:val="center"/>
        </w:trPr>
        <w:tc>
          <w:tcPr>
            <w:tcW w:w="2546" w:type="dxa"/>
          </w:tcPr>
          <w:p w:rsidR="00AC6CC4" w:rsidRPr="00DF063E" w:rsidRDefault="00AC6CC4" w:rsidP="004157C1">
            <w:pPr>
              <w:suppressAutoHyphens w:val="0"/>
              <w:spacing w:before="60" w:after="60"/>
              <w:ind w:left="113" w:right="113"/>
              <w:jc w:val="center"/>
            </w:pPr>
            <w:r w:rsidRPr="00DF063E">
              <w:t>ONU</w:t>
            </w:r>
            <w:r w:rsidR="00C63671" w:rsidRPr="00DF063E">
              <w:t xml:space="preserve"> </w:t>
            </w:r>
            <w:r w:rsidRPr="00DF063E">
              <w:t>1372</w:t>
            </w:r>
          </w:p>
        </w:tc>
        <w:tc>
          <w:tcPr>
            <w:tcW w:w="2361" w:type="dxa"/>
          </w:tcPr>
          <w:p w:rsidR="00AC6CC4" w:rsidRPr="00DF063E" w:rsidRDefault="00AC6CC4" w:rsidP="004157C1">
            <w:pPr>
              <w:suppressAutoHyphens w:val="0"/>
              <w:spacing w:before="60" w:after="60"/>
              <w:ind w:left="113" w:right="113"/>
            </w:pPr>
            <w:r w:rsidRPr="00DF063E">
              <w:t>FIBRES D’ORIGINE ANIMALE or FIBRES D’ORIGINE VÉGÉTALE brûlées, mouillées ou humides</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1387</w:t>
            </w:r>
          </w:p>
        </w:tc>
        <w:tc>
          <w:tcPr>
            <w:tcW w:w="2361" w:type="dxa"/>
          </w:tcPr>
          <w:p w:rsidR="00AC6CC4" w:rsidRPr="00DF063E" w:rsidRDefault="00AC6CC4" w:rsidP="004157C1">
            <w:pPr>
              <w:suppressAutoHyphens w:val="0"/>
              <w:spacing w:before="60" w:after="60"/>
              <w:ind w:left="113" w:right="113"/>
            </w:pPr>
            <w:r w:rsidRPr="00DF063E">
              <w:t>DÉCHETS DE LAINE MOUILLÉS</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1856</w:t>
            </w:r>
          </w:p>
        </w:tc>
        <w:tc>
          <w:tcPr>
            <w:tcW w:w="2361" w:type="dxa"/>
          </w:tcPr>
          <w:p w:rsidR="00AC6CC4" w:rsidRPr="00DF063E" w:rsidRDefault="00AC6CC4" w:rsidP="004157C1">
            <w:pPr>
              <w:suppressAutoHyphens w:val="0"/>
              <w:spacing w:before="60" w:after="60"/>
              <w:ind w:left="113" w:right="113"/>
            </w:pPr>
            <w:r w:rsidRPr="00DF063E">
              <w:t xml:space="preserve">CHIFFONS HUILEUX </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1857</w:t>
            </w:r>
          </w:p>
        </w:tc>
        <w:tc>
          <w:tcPr>
            <w:tcW w:w="2361" w:type="dxa"/>
          </w:tcPr>
          <w:p w:rsidR="00AC6CC4" w:rsidRPr="00DF063E" w:rsidRDefault="00AC6CC4" w:rsidP="004157C1">
            <w:pPr>
              <w:suppressAutoHyphens w:val="0"/>
              <w:spacing w:before="60" w:after="60"/>
              <w:ind w:left="113" w:right="113"/>
            </w:pPr>
            <w:r w:rsidRPr="00DF063E">
              <w:t>DÉCHETS TEXTILES MOUILLÉS</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2216</w:t>
            </w:r>
          </w:p>
        </w:tc>
        <w:tc>
          <w:tcPr>
            <w:tcW w:w="2361" w:type="dxa"/>
          </w:tcPr>
          <w:p w:rsidR="00AC6CC4" w:rsidRPr="00DF063E" w:rsidRDefault="00AC6CC4" w:rsidP="004157C1">
            <w:pPr>
              <w:suppressAutoHyphens w:val="0"/>
              <w:spacing w:before="60" w:after="60"/>
              <w:ind w:left="113" w:right="113"/>
            </w:pPr>
            <w:r w:rsidRPr="00DF063E">
              <w:t>FARINE DE POISSON (DÉCHETS DE POISSON) STABILISÉE</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3360</w:t>
            </w:r>
          </w:p>
        </w:tc>
        <w:tc>
          <w:tcPr>
            <w:tcW w:w="2361" w:type="dxa"/>
          </w:tcPr>
          <w:p w:rsidR="00AC6CC4" w:rsidRPr="00DF063E" w:rsidRDefault="00AC6CC4" w:rsidP="004157C1">
            <w:pPr>
              <w:suppressAutoHyphens w:val="0"/>
              <w:spacing w:before="60" w:after="60"/>
              <w:ind w:left="113" w:right="113"/>
            </w:pPr>
            <w:r w:rsidRPr="00DF063E">
              <w:t>FIBRES VÉGÉTALES SÈCHES</w:t>
            </w:r>
          </w:p>
        </w:tc>
        <w:tc>
          <w:tcPr>
            <w:tcW w:w="2361" w:type="dxa"/>
          </w:tcPr>
          <w:p w:rsidR="00AC6CC4" w:rsidRPr="00DF063E" w:rsidRDefault="00AC6CC4" w:rsidP="004157C1">
            <w:pPr>
              <w:suppressAutoHyphens w:val="0"/>
              <w:spacing w:before="60" w:after="60"/>
              <w:ind w:left="113" w:right="113"/>
            </w:pPr>
            <w:r w:rsidRPr="00DF063E">
              <w:t xml:space="preserve">Oui </w:t>
            </w:r>
            <w:r w:rsidR="004157C1" w:rsidRPr="00DF063E">
              <w:t>−</w:t>
            </w:r>
            <w:r w:rsidRPr="00DF063E">
              <w:t xml:space="preserve"> Interdit</w:t>
            </w:r>
          </w:p>
        </w:tc>
      </w:tr>
      <w:tr w:rsidR="00AC6CC4" w:rsidRPr="00DF063E" w:rsidTr="004157C1">
        <w:trPr>
          <w:jc w:val="center"/>
        </w:trPr>
        <w:tc>
          <w:tcPr>
            <w:tcW w:w="2546" w:type="dxa"/>
          </w:tcPr>
          <w:p w:rsidR="00AC6CC4" w:rsidRPr="00DF063E" w:rsidRDefault="00AC6CC4" w:rsidP="00C63671">
            <w:pPr>
              <w:suppressAutoHyphens w:val="0"/>
              <w:spacing w:before="60" w:after="60"/>
              <w:ind w:left="113" w:right="113"/>
              <w:jc w:val="center"/>
            </w:pPr>
            <w:r w:rsidRPr="00DF063E">
              <w:t>ONU</w:t>
            </w:r>
            <w:r w:rsidR="00C63671" w:rsidRPr="00DF063E">
              <w:t xml:space="preserve"> </w:t>
            </w:r>
            <w:r w:rsidRPr="00DF063E">
              <w:t>3496</w:t>
            </w:r>
          </w:p>
        </w:tc>
        <w:tc>
          <w:tcPr>
            <w:tcW w:w="2361" w:type="dxa"/>
          </w:tcPr>
          <w:p w:rsidR="00AC6CC4" w:rsidRPr="00DF063E" w:rsidRDefault="00AC6CC4" w:rsidP="004157C1">
            <w:pPr>
              <w:suppressAutoHyphens w:val="0"/>
              <w:spacing w:before="60" w:after="60"/>
              <w:ind w:left="113" w:right="113"/>
            </w:pPr>
            <w:r w:rsidRPr="00DF063E">
              <w:t xml:space="preserve">PILES AU NICKEL </w:t>
            </w:r>
            <w:r w:rsidR="004157C1" w:rsidRPr="00DF063E">
              <w:t>−</w:t>
            </w:r>
            <w:r w:rsidRPr="00DF063E">
              <w:t xml:space="preserve"> HYDRURE MÉTALLIQUE </w:t>
            </w:r>
          </w:p>
        </w:tc>
        <w:tc>
          <w:tcPr>
            <w:tcW w:w="2361" w:type="dxa"/>
          </w:tcPr>
          <w:p w:rsidR="00AC6CC4" w:rsidRPr="00DF063E" w:rsidRDefault="00AC6CC4" w:rsidP="004157C1">
            <w:pPr>
              <w:suppressAutoHyphens w:val="0"/>
              <w:spacing w:before="60" w:after="60"/>
              <w:ind w:left="113" w:right="113"/>
            </w:pPr>
            <w:r w:rsidRPr="00DF063E">
              <w:t xml:space="preserve">? </w:t>
            </w:r>
            <w:r w:rsidR="004157C1" w:rsidRPr="00DF063E">
              <w:t>−</w:t>
            </w:r>
            <w:r w:rsidRPr="00DF063E">
              <w:t xml:space="preserve"> Disposition spéciale A</w:t>
            </w:r>
            <w:r w:rsidR="006D74F8">
              <w:t> </w:t>
            </w:r>
            <w:r w:rsidRPr="00DF063E">
              <w:t>199 de l’OACI</w:t>
            </w:r>
          </w:p>
        </w:tc>
      </w:tr>
    </w:tbl>
    <w:p w:rsidR="00AC6CC4" w:rsidRPr="00DF063E" w:rsidRDefault="00AC6CC4" w:rsidP="004157C1">
      <w:pPr>
        <w:pStyle w:val="SingleTxtG"/>
        <w:spacing w:before="120"/>
      </w:pPr>
      <w:r w:rsidRPr="00DF063E">
        <w:t>5.</w:t>
      </w:r>
      <w:r w:rsidRPr="00DF063E">
        <w:tab/>
        <w:t>Les six (6) premiers objets sont interdits au transport aérien. Le septième (ONU 3496) est soumis aux quelques prescriptions suivantes :</w:t>
      </w:r>
    </w:p>
    <w:p w:rsidR="00AC6CC4" w:rsidRPr="00DF063E" w:rsidRDefault="00AC6CC4" w:rsidP="004157C1">
      <w:pPr>
        <w:pStyle w:val="SingleTxtG"/>
        <w:ind w:left="2268" w:hanging="567"/>
      </w:pPr>
      <w:r w:rsidRPr="00DF063E">
        <w:t>a)</w:t>
      </w:r>
      <w:r w:rsidRPr="00DF063E">
        <w:tab/>
        <w:t>Obligation d’être emballé pour éviter :</w:t>
      </w:r>
    </w:p>
    <w:p w:rsidR="00AC6CC4" w:rsidRPr="00DF063E" w:rsidRDefault="004157C1" w:rsidP="004157C1">
      <w:pPr>
        <w:pStyle w:val="SingleTxtG"/>
        <w:ind w:left="2835" w:hanging="567"/>
      </w:pPr>
      <w:r w:rsidRPr="00DF063E">
        <w:t>i</w:t>
      </w:r>
      <w:r w:rsidR="00AC6CC4" w:rsidRPr="00DF063E">
        <w:t>)</w:t>
      </w:r>
      <w:r w:rsidR="00AC6CC4" w:rsidRPr="00DF063E">
        <w:tab/>
        <w:t>Tout court-circuit, et</w:t>
      </w:r>
    </w:p>
    <w:p w:rsidR="00AC6CC4" w:rsidRPr="00DF063E" w:rsidRDefault="004157C1" w:rsidP="004157C1">
      <w:pPr>
        <w:pStyle w:val="SingleTxtG"/>
        <w:ind w:left="2835" w:hanging="567"/>
      </w:pPr>
      <w:r w:rsidRPr="00DF063E">
        <w:t>ii</w:t>
      </w:r>
      <w:r w:rsidR="00AC6CC4" w:rsidRPr="00DF063E">
        <w:t>)</w:t>
      </w:r>
      <w:r w:rsidR="00AC6CC4" w:rsidRPr="00DF063E">
        <w:tab/>
        <w:t>Tout déclenchement intempestif</w:t>
      </w:r>
      <w:r w:rsidR="00642711" w:rsidRPr="00DF063E">
        <w:t> ;</w:t>
      </w:r>
    </w:p>
    <w:p w:rsidR="00AC6CC4" w:rsidRPr="00DF063E" w:rsidRDefault="00AC6CC4" w:rsidP="004157C1">
      <w:pPr>
        <w:pStyle w:val="SingleTxtG"/>
        <w:ind w:left="2268" w:hanging="567"/>
      </w:pPr>
      <w:r w:rsidRPr="00DF063E">
        <w:t>b)</w:t>
      </w:r>
      <w:r w:rsidRPr="00DF063E">
        <w:tab/>
        <w:t>L’inclusion de la mention « sans restriction » et du numéro de la disposition spéciale A</w:t>
      </w:r>
      <w:r w:rsidR="006D74F8">
        <w:t> </w:t>
      </w:r>
      <w:r w:rsidRPr="00DF063E">
        <w:t>199 sur la lettre de transport aérien</w:t>
      </w:r>
      <w:r w:rsidR="00FE4B15" w:rsidRPr="00DF063E">
        <w:t xml:space="preserve"> </w:t>
      </w:r>
      <w:r w:rsidRPr="00DF063E">
        <w:t xml:space="preserve">lorsqu’il en est fait usage. </w:t>
      </w:r>
    </w:p>
    <w:p w:rsidR="00AC6CC4" w:rsidRPr="00DF063E" w:rsidRDefault="00AC6CC4" w:rsidP="00AC6CC4">
      <w:pPr>
        <w:pStyle w:val="SingleTxtG"/>
      </w:pPr>
      <w:r w:rsidRPr="00DF063E">
        <w:t>6.</w:t>
      </w:r>
      <w:r w:rsidRPr="00DF063E">
        <w:tab/>
        <w:t>On peut se demander si le transport aérien du numéro ONU 3496 est effectivement réglementé. En tout état de cause, l’interdiction de transport aérien des six premiers objets du tableau, conformément aux Instructions techniques de l’OACI, indique clairement qu’ils sont réglementés.</w:t>
      </w:r>
    </w:p>
    <w:p w:rsidR="00AC6CC4" w:rsidRPr="00DF063E" w:rsidRDefault="00AC6CC4" w:rsidP="00AC6CC4">
      <w:pPr>
        <w:pStyle w:val="SingleTxtG"/>
      </w:pPr>
      <w:r w:rsidRPr="00DF063E">
        <w:t>7.</w:t>
      </w:r>
      <w:r w:rsidRPr="00DF063E">
        <w:tab/>
        <w:t>COSTHA estime qu’indiquer dans la Liste des marchandises dangereuses du Règlement type que seul le transport par voie maritime de ces objets est réglementé est trompeur voire dangereux. Il serait préférable de leur appliquer la disposition spéciale 123 plutôt que la disposition spéciale 117.</w:t>
      </w:r>
    </w:p>
    <w:p w:rsidR="00AC6CC4" w:rsidRPr="00DF063E" w:rsidRDefault="00AC6CC4" w:rsidP="00AC6CC4">
      <w:pPr>
        <w:pStyle w:val="SingleTxtG"/>
      </w:pPr>
      <w:r w:rsidRPr="00DF063E">
        <w:t>8.</w:t>
      </w:r>
      <w:r w:rsidRPr="00DF063E">
        <w:tab/>
        <w:t>En outre, l’Allemagne a fait remarquer que les numéros ONU 3166 et 3171 figurent désormais dans l’ADR et le RID. Il est donc devenu inutile de leur appliquer la disposition spéciale 123.</w:t>
      </w:r>
    </w:p>
    <w:p w:rsidR="00AC6CC4" w:rsidRPr="00DF063E" w:rsidRDefault="00AC6CC4" w:rsidP="00AC6CC4">
      <w:pPr>
        <w:pStyle w:val="HChG"/>
      </w:pPr>
      <w:r w:rsidRPr="00DF063E">
        <w:lastRenderedPageBreak/>
        <w:tab/>
      </w:r>
      <w:r w:rsidRPr="00DF063E">
        <w:tab/>
        <w:t>Proposition</w:t>
      </w:r>
    </w:p>
    <w:p w:rsidR="00AC6CC4" w:rsidRPr="00DF063E" w:rsidRDefault="00AC6CC4" w:rsidP="00DF063E">
      <w:pPr>
        <w:pStyle w:val="SingleTxtG"/>
        <w:keepNext/>
      </w:pPr>
      <w:r w:rsidRPr="00DF063E">
        <w:t>9.</w:t>
      </w:r>
      <w:r w:rsidRPr="00DF063E">
        <w:tab/>
        <w:t xml:space="preserve">COSTHA propose donc que les dispositions spéciales 117 et 123 s’appliquent comme suit aux numéros ONU suivants : </w:t>
      </w:r>
    </w:p>
    <w:tbl>
      <w:tblPr>
        <w:tblStyle w:val="TableGrid"/>
        <w:tblW w:w="7370" w:type="dxa"/>
        <w:jc w:val="center"/>
        <w:tblLook w:val="04A0" w:firstRow="1" w:lastRow="0" w:firstColumn="1" w:lastColumn="0" w:noHBand="0" w:noVBand="1"/>
      </w:tblPr>
      <w:tblGrid>
        <w:gridCol w:w="2022"/>
        <w:gridCol w:w="3747"/>
        <w:gridCol w:w="1601"/>
      </w:tblGrid>
      <w:tr w:rsidR="00AC6CC4" w:rsidRPr="00DF063E" w:rsidTr="00C63671">
        <w:trPr>
          <w:jc w:val="center"/>
        </w:trPr>
        <w:tc>
          <w:tcPr>
            <w:tcW w:w="1604" w:type="dxa"/>
          </w:tcPr>
          <w:p w:rsidR="00AC6CC4" w:rsidRPr="00DF063E" w:rsidRDefault="00AC6CC4" w:rsidP="00C63671">
            <w:pPr>
              <w:suppressAutoHyphens w:val="0"/>
              <w:spacing w:before="60" w:after="60"/>
              <w:ind w:left="113" w:right="113"/>
              <w:jc w:val="center"/>
              <w:rPr>
                <w:b/>
              </w:rPr>
            </w:pPr>
            <w:r w:rsidRPr="00DF063E">
              <w:rPr>
                <w:b/>
              </w:rPr>
              <w:t>Numéro ONU</w:t>
            </w:r>
          </w:p>
        </w:tc>
        <w:tc>
          <w:tcPr>
            <w:tcW w:w="2973" w:type="dxa"/>
          </w:tcPr>
          <w:p w:rsidR="00AC6CC4" w:rsidRPr="00DF063E" w:rsidRDefault="00AC6CC4" w:rsidP="00C63671">
            <w:pPr>
              <w:suppressAutoHyphens w:val="0"/>
              <w:spacing w:before="60" w:after="60"/>
              <w:ind w:left="113" w:right="113"/>
              <w:jc w:val="center"/>
              <w:rPr>
                <w:b/>
              </w:rPr>
            </w:pPr>
            <w:r w:rsidRPr="00DF063E">
              <w:rPr>
                <w:b/>
              </w:rPr>
              <w:t>Désignation officielle de transport</w:t>
            </w:r>
          </w:p>
        </w:tc>
        <w:tc>
          <w:tcPr>
            <w:tcW w:w="1095" w:type="dxa"/>
          </w:tcPr>
          <w:p w:rsidR="00AC6CC4" w:rsidRPr="00DF063E" w:rsidRDefault="00AC6CC4" w:rsidP="00C63671">
            <w:pPr>
              <w:suppressAutoHyphens w:val="0"/>
              <w:spacing w:before="60" w:after="60"/>
              <w:ind w:left="113" w:right="113"/>
              <w:jc w:val="center"/>
              <w:rPr>
                <w:b/>
              </w:rPr>
            </w:pPr>
            <w:r w:rsidRPr="00DF063E">
              <w:rPr>
                <w:b/>
              </w:rPr>
              <w:t>Dispositions spéciales</w:t>
            </w:r>
          </w:p>
        </w:tc>
      </w:tr>
      <w:tr w:rsidR="00AC6CC4" w:rsidRPr="00DF063E" w:rsidTr="00642711">
        <w:trPr>
          <w:jc w:val="center"/>
        </w:trPr>
        <w:tc>
          <w:tcPr>
            <w:tcW w:w="1604" w:type="dxa"/>
          </w:tcPr>
          <w:p w:rsidR="00AC6CC4" w:rsidRPr="00DF063E" w:rsidRDefault="00AC6CC4" w:rsidP="00642711">
            <w:pPr>
              <w:suppressAutoHyphens w:val="0"/>
              <w:spacing w:before="60" w:after="60"/>
              <w:ind w:left="113" w:right="113"/>
              <w:jc w:val="center"/>
              <w:rPr>
                <w:b/>
              </w:rPr>
            </w:pPr>
            <w:r w:rsidRPr="00DF063E">
              <w:rPr>
                <w:b/>
              </w:rPr>
              <w:t>(1)</w:t>
            </w:r>
          </w:p>
        </w:tc>
        <w:tc>
          <w:tcPr>
            <w:tcW w:w="2973" w:type="dxa"/>
          </w:tcPr>
          <w:p w:rsidR="00AC6CC4" w:rsidRPr="00DF063E" w:rsidRDefault="00AC6CC4" w:rsidP="00642711">
            <w:pPr>
              <w:suppressAutoHyphens w:val="0"/>
              <w:spacing w:before="60" w:after="60"/>
              <w:ind w:left="113" w:right="113"/>
              <w:jc w:val="center"/>
              <w:rPr>
                <w:b/>
              </w:rPr>
            </w:pPr>
            <w:r w:rsidRPr="00DF063E">
              <w:rPr>
                <w:b/>
              </w:rPr>
              <w:t>(2)</w:t>
            </w:r>
          </w:p>
        </w:tc>
        <w:tc>
          <w:tcPr>
            <w:tcW w:w="1095" w:type="dxa"/>
          </w:tcPr>
          <w:p w:rsidR="00AC6CC4" w:rsidRPr="00DF063E" w:rsidRDefault="00AC6CC4" w:rsidP="00642711">
            <w:pPr>
              <w:suppressAutoHyphens w:val="0"/>
              <w:spacing w:before="60" w:after="60"/>
              <w:ind w:left="113" w:right="113"/>
              <w:jc w:val="center"/>
              <w:rPr>
                <w:b/>
              </w:rPr>
            </w:pPr>
            <w:r w:rsidRPr="00DF063E">
              <w:rPr>
                <w:b/>
              </w:rPr>
              <w:t>(6)</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1372</w:t>
            </w:r>
          </w:p>
        </w:tc>
        <w:tc>
          <w:tcPr>
            <w:tcW w:w="2973" w:type="dxa"/>
          </w:tcPr>
          <w:p w:rsidR="00AC6CC4" w:rsidRPr="00DF063E" w:rsidRDefault="00AC6CC4" w:rsidP="00642711">
            <w:pPr>
              <w:suppressAutoHyphens w:val="0"/>
              <w:spacing w:before="60" w:after="60"/>
              <w:ind w:left="113" w:right="113"/>
            </w:pPr>
            <w:r w:rsidRPr="00DF063E">
              <w:t>FIBRES D’ORIGINE ANIMALE ou FIBRES D’ORIGINE VÉGÉTALE brûlées, mouillées ou humides</w:t>
            </w:r>
          </w:p>
        </w:tc>
        <w:tc>
          <w:tcPr>
            <w:tcW w:w="1095" w:type="dxa"/>
          </w:tcPr>
          <w:p w:rsidR="00AC6CC4" w:rsidRPr="00DF063E" w:rsidRDefault="00AC6CC4" w:rsidP="00DF063E">
            <w:pPr>
              <w:suppressAutoHyphens w:val="0"/>
              <w:spacing w:before="60" w:after="60"/>
              <w:ind w:left="113" w:right="113"/>
              <w:jc w:val="center"/>
              <w:rPr>
                <w:u w:val="single"/>
              </w:rPr>
            </w:pPr>
            <w:r w:rsidRPr="00DF063E">
              <w:rPr>
                <w:strike/>
              </w:rPr>
              <w:t>117</w:t>
            </w:r>
            <w:r w:rsidR="00DF063E">
              <w:rPr>
                <w:strike/>
              </w:rPr>
              <w:br/>
            </w:r>
            <w:r w:rsidRPr="00DF063E">
              <w:rPr>
                <w:u w:val="single"/>
              </w:rPr>
              <w:t>123</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ONU</w:t>
            </w:r>
            <w:r w:rsidR="005828C6">
              <w:t xml:space="preserve"> </w:t>
            </w:r>
            <w:r w:rsidR="00AC6CC4" w:rsidRPr="00DF063E">
              <w:t>1387</w:t>
            </w:r>
          </w:p>
        </w:tc>
        <w:tc>
          <w:tcPr>
            <w:tcW w:w="2973" w:type="dxa"/>
          </w:tcPr>
          <w:p w:rsidR="00AC6CC4" w:rsidRPr="00DF063E" w:rsidRDefault="00AC6CC4" w:rsidP="00642711">
            <w:pPr>
              <w:suppressAutoHyphens w:val="0"/>
              <w:spacing w:before="60" w:after="60"/>
              <w:ind w:left="113" w:right="113"/>
            </w:pPr>
            <w:r w:rsidRPr="00DF063E">
              <w:t>DÉCHETS DE LAINE MOUILLÉS</w:t>
            </w:r>
          </w:p>
        </w:tc>
        <w:tc>
          <w:tcPr>
            <w:tcW w:w="1095" w:type="dxa"/>
          </w:tcPr>
          <w:p w:rsidR="00AC6CC4" w:rsidRPr="00DF063E" w:rsidRDefault="00AC6CC4" w:rsidP="00DF063E">
            <w:pPr>
              <w:suppressAutoHyphens w:val="0"/>
              <w:spacing w:before="60" w:after="60"/>
              <w:ind w:left="113" w:right="113"/>
              <w:jc w:val="center"/>
              <w:rPr>
                <w:u w:val="single"/>
              </w:rPr>
            </w:pPr>
            <w:r w:rsidRPr="00DF063E">
              <w:rPr>
                <w:strike/>
              </w:rPr>
              <w:t>117</w:t>
            </w:r>
            <w:r w:rsidR="00DF063E">
              <w:rPr>
                <w:strike/>
              </w:rPr>
              <w:br/>
            </w:r>
            <w:r w:rsidRPr="00DF063E">
              <w:rPr>
                <w:u w:val="single"/>
              </w:rPr>
              <w:t>123</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1856</w:t>
            </w:r>
          </w:p>
        </w:tc>
        <w:tc>
          <w:tcPr>
            <w:tcW w:w="2973" w:type="dxa"/>
          </w:tcPr>
          <w:p w:rsidR="00AC6CC4" w:rsidRPr="00DF063E" w:rsidRDefault="00AC6CC4" w:rsidP="00642711">
            <w:pPr>
              <w:suppressAutoHyphens w:val="0"/>
              <w:spacing w:before="60" w:after="60"/>
              <w:ind w:left="113" w:right="113"/>
            </w:pPr>
            <w:r w:rsidRPr="00DF063E">
              <w:t>CHIFFONS HUILEUX</w:t>
            </w:r>
          </w:p>
        </w:tc>
        <w:tc>
          <w:tcPr>
            <w:tcW w:w="1095" w:type="dxa"/>
          </w:tcPr>
          <w:p w:rsidR="00AC6CC4" w:rsidRPr="00DF063E" w:rsidRDefault="00AC6CC4" w:rsidP="00DF063E">
            <w:pPr>
              <w:suppressAutoHyphens w:val="0"/>
              <w:spacing w:before="60" w:after="60"/>
              <w:ind w:left="113" w:right="113"/>
              <w:jc w:val="center"/>
              <w:rPr>
                <w:u w:val="single"/>
              </w:rPr>
            </w:pPr>
            <w:r w:rsidRPr="00DF063E">
              <w:t>29</w:t>
            </w:r>
            <w:r w:rsidR="00DF063E">
              <w:br/>
            </w:r>
            <w:r w:rsidRPr="00DF063E">
              <w:rPr>
                <w:strike/>
              </w:rPr>
              <w:t>117</w:t>
            </w:r>
            <w:r w:rsidR="00DF063E">
              <w:rPr>
                <w:strike/>
              </w:rPr>
              <w:br/>
            </w:r>
            <w:r w:rsidRPr="00DF063E">
              <w:rPr>
                <w:u w:val="single"/>
              </w:rPr>
              <w:t>123</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1857</w:t>
            </w:r>
          </w:p>
        </w:tc>
        <w:tc>
          <w:tcPr>
            <w:tcW w:w="2973" w:type="dxa"/>
          </w:tcPr>
          <w:p w:rsidR="00AC6CC4" w:rsidRPr="00DF063E" w:rsidRDefault="00AC6CC4" w:rsidP="00642711">
            <w:pPr>
              <w:suppressAutoHyphens w:val="0"/>
              <w:spacing w:before="60" w:after="60"/>
              <w:ind w:left="113" w:right="113"/>
            </w:pPr>
            <w:r w:rsidRPr="00DF063E">
              <w:t>DÉCHETS TEXTILES MOUILLÉS</w:t>
            </w:r>
          </w:p>
        </w:tc>
        <w:tc>
          <w:tcPr>
            <w:tcW w:w="1095" w:type="dxa"/>
          </w:tcPr>
          <w:p w:rsidR="00AC6CC4" w:rsidRPr="00DF063E" w:rsidRDefault="00AC6CC4" w:rsidP="00DF063E">
            <w:pPr>
              <w:suppressAutoHyphens w:val="0"/>
              <w:spacing w:before="60" w:after="60"/>
              <w:ind w:left="113" w:right="113"/>
              <w:jc w:val="center"/>
              <w:rPr>
                <w:u w:val="single"/>
              </w:rPr>
            </w:pPr>
            <w:r w:rsidRPr="00DF063E">
              <w:rPr>
                <w:strike/>
              </w:rPr>
              <w:t>117</w:t>
            </w:r>
            <w:r w:rsidR="00DF063E">
              <w:rPr>
                <w:strike/>
              </w:rPr>
              <w:br/>
            </w:r>
            <w:r w:rsidRPr="00DF063E">
              <w:rPr>
                <w:u w:val="single"/>
              </w:rPr>
              <w:t>123</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2216</w:t>
            </w:r>
          </w:p>
        </w:tc>
        <w:tc>
          <w:tcPr>
            <w:tcW w:w="2973" w:type="dxa"/>
          </w:tcPr>
          <w:p w:rsidR="00AC6CC4" w:rsidRPr="00DF063E" w:rsidRDefault="00AC6CC4" w:rsidP="00642711">
            <w:pPr>
              <w:suppressAutoHyphens w:val="0"/>
              <w:spacing w:before="60" w:after="60"/>
              <w:ind w:left="113" w:right="113"/>
            </w:pPr>
            <w:r w:rsidRPr="00DF063E">
              <w:t>FARINE DE POISSON (DÉCHETS DE POISSON) STABILISÉE</w:t>
            </w:r>
          </w:p>
        </w:tc>
        <w:tc>
          <w:tcPr>
            <w:tcW w:w="1095" w:type="dxa"/>
          </w:tcPr>
          <w:p w:rsidR="00AC6CC4" w:rsidRPr="00DF063E" w:rsidRDefault="00AC6CC4" w:rsidP="00DF063E">
            <w:pPr>
              <w:suppressAutoHyphens w:val="0"/>
              <w:spacing w:before="60" w:after="60"/>
              <w:ind w:left="113" w:right="113"/>
              <w:jc w:val="center"/>
            </w:pPr>
            <w:r w:rsidRPr="00DF063E">
              <w:t>29</w:t>
            </w:r>
            <w:r w:rsidR="00DF063E">
              <w:br/>
            </w:r>
            <w:r w:rsidRPr="00DF063E">
              <w:rPr>
                <w:strike/>
              </w:rPr>
              <w:t>117</w:t>
            </w:r>
            <w:r w:rsidR="00DF063E">
              <w:rPr>
                <w:strike/>
              </w:rPr>
              <w:br/>
            </w:r>
            <w:r w:rsidRPr="00DF063E">
              <w:rPr>
                <w:u w:val="single"/>
              </w:rPr>
              <w:t>123</w:t>
            </w:r>
            <w:r w:rsidR="00DF063E">
              <w:rPr>
                <w:u w:val="single"/>
              </w:rPr>
              <w:br/>
            </w:r>
            <w:r w:rsidRPr="00DF063E">
              <w:t>300</w:t>
            </w:r>
            <w:r w:rsidR="00DF063E">
              <w:br/>
            </w:r>
            <w:r w:rsidRPr="00DF063E">
              <w:t>308</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3166</w:t>
            </w:r>
          </w:p>
        </w:tc>
        <w:tc>
          <w:tcPr>
            <w:tcW w:w="2973" w:type="dxa"/>
          </w:tcPr>
          <w:p w:rsidR="00AC6CC4" w:rsidRPr="00DF063E" w:rsidRDefault="00AC6CC4" w:rsidP="00642711">
            <w:pPr>
              <w:suppressAutoHyphens w:val="0"/>
              <w:spacing w:before="60" w:after="60"/>
              <w:ind w:left="113" w:right="113"/>
            </w:pPr>
            <w:r w:rsidRPr="00DF063E">
              <w:t>VÉHICULE À PROPULSION PAR GAZ INFLAMMABLE ou VÉHICULE À PROPULSION PAR LIQUIDE INFLAMMABLE ou VÉHICULE À PROPULSION PAR PILE À COMBUSTIBLE CONTENANT DU GAZ ou VÉHICULE</w:t>
            </w:r>
            <w:r w:rsidR="00FE4B15" w:rsidRPr="00DF063E">
              <w:t xml:space="preserve"> </w:t>
            </w:r>
            <w:r w:rsidRPr="00DF063E">
              <w:t xml:space="preserve">À PROPULSION PAR PILE À COMBUSTIBLE CONTENANT DU LIQUIDE INFLAMMABLE </w:t>
            </w:r>
          </w:p>
        </w:tc>
        <w:tc>
          <w:tcPr>
            <w:tcW w:w="1095" w:type="dxa"/>
          </w:tcPr>
          <w:p w:rsidR="00AC6CC4" w:rsidRPr="00DF063E" w:rsidRDefault="00AC6CC4" w:rsidP="00DF063E">
            <w:pPr>
              <w:suppressAutoHyphens w:val="0"/>
              <w:spacing w:before="60" w:after="60"/>
              <w:ind w:left="113" w:right="113"/>
              <w:jc w:val="center"/>
            </w:pPr>
            <w:r w:rsidRPr="00DF063E">
              <w:rPr>
                <w:strike/>
              </w:rPr>
              <w:t>123</w:t>
            </w:r>
            <w:r w:rsidR="00DF063E">
              <w:rPr>
                <w:strike/>
              </w:rPr>
              <w:br/>
            </w:r>
            <w:r w:rsidRPr="00DF063E">
              <w:t>356</w:t>
            </w:r>
            <w:r w:rsidR="00DF063E">
              <w:br/>
            </w:r>
            <w:r w:rsidRPr="00DF063E">
              <w:t>388</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3171</w:t>
            </w:r>
          </w:p>
        </w:tc>
        <w:tc>
          <w:tcPr>
            <w:tcW w:w="2973" w:type="dxa"/>
          </w:tcPr>
          <w:p w:rsidR="00AC6CC4" w:rsidRPr="00DF063E" w:rsidRDefault="00AC6CC4" w:rsidP="00850B4A">
            <w:pPr>
              <w:suppressAutoHyphens w:val="0"/>
              <w:spacing w:before="60" w:after="60"/>
              <w:ind w:left="113" w:right="113"/>
            </w:pPr>
            <w:r w:rsidRPr="00DF063E">
              <w:t>VÉHICULE MÛ PAR ACCUMULATEURS ou APPAREIL MÛ</w:t>
            </w:r>
            <w:r w:rsidR="00850B4A" w:rsidRPr="00DF063E">
              <w:t> </w:t>
            </w:r>
            <w:r w:rsidRPr="00DF063E">
              <w:t xml:space="preserve">PAR ACCUMULATEURS </w:t>
            </w:r>
          </w:p>
        </w:tc>
        <w:tc>
          <w:tcPr>
            <w:tcW w:w="1095" w:type="dxa"/>
          </w:tcPr>
          <w:p w:rsidR="00AC6CC4" w:rsidRPr="00DF063E" w:rsidRDefault="00AC6CC4" w:rsidP="00DF063E">
            <w:pPr>
              <w:suppressAutoHyphens w:val="0"/>
              <w:spacing w:before="60" w:after="60"/>
              <w:ind w:left="113" w:right="113"/>
              <w:jc w:val="center"/>
            </w:pPr>
            <w:r w:rsidRPr="00DF063E">
              <w:rPr>
                <w:strike/>
              </w:rPr>
              <w:t>123</w:t>
            </w:r>
            <w:r w:rsidR="00DF063E">
              <w:rPr>
                <w:strike/>
              </w:rPr>
              <w:br/>
            </w:r>
            <w:r w:rsidRPr="00DF063E">
              <w:t>388</w:t>
            </w:r>
          </w:p>
        </w:tc>
      </w:tr>
      <w:tr w:rsidR="00AC6CC4" w:rsidRPr="00DF063E" w:rsidTr="00642711">
        <w:trPr>
          <w:jc w:val="center"/>
        </w:trPr>
        <w:tc>
          <w:tcPr>
            <w:tcW w:w="1604" w:type="dxa"/>
          </w:tcPr>
          <w:p w:rsidR="00AC6CC4" w:rsidRPr="00DF063E" w:rsidRDefault="00850B4A" w:rsidP="00642711">
            <w:pPr>
              <w:suppressAutoHyphens w:val="0"/>
              <w:spacing w:before="60" w:after="60"/>
              <w:ind w:left="113" w:right="113"/>
              <w:jc w:val="center"/>
            </w:pPr>
            <w:r w:rsidRPr="00DF063E">
              <w:t xml:space="preserve">ONU </w:t>
            </w:r>
            <w:r w:rsidR="00AC6CC4" w:rsidRPr="00DF063E">
              <w:t>3360</w:t>
            </w:r>
          </w:p>
        </w:tc>
        <w:tc>
          <w:tcPr>
            <w:tcW w:w="2973" w:type="dxa"/>
          </w:tcPr>
          <w:p w:rsidR="00AC6CC4" w:rsidRPr="00DF063E" w:rsidRDefault="00AC6CC4" w:rsidP="00642711">
            <w:pPr>
              <w:suppressAutoHyphens w:val="0"/>
              <w:spacing w:before="60" w:after="60"/>
              <w:ind w:left="113" w:right="113"/>
            </w:pPr>
            <w:r w:rsidRPr="00DF063E">
              <w:t>FIBRES VÉGÉTALES SÈCHES</w:t>
            </w:r>
          </w:p>
        </w:tc>
        <w:tc>
          <w:tcPr>
            <w:tcW w:w="1095" w:type="dxa"/>
          </w:tcPr>
          <w:p w:rsidR="00AC6CC4" w:rsidRPr="00DF063E" w:rsidRDefault="00AC6CC4" w:rsidP="00DF063E">
            <w:pPr>
              <w:suppressAutoHyphens w:val="0"/>
              <w:spacing w:before="60" w:after="60"/>
              <w:ind w:left="113" w:right="113"/>
              <w:jc w:val="center"/>
            </w:pPr>
            <w:r w:rsidRPr="00DF063E">
              <w:t>29</w:t>
            </w:r>
            <w:r w:rsidR="00DF063E">
              <w:br/>
            </w:r>
            <w:r w:rsidRPr="00DF063E">
              <w:rPr>
                <w:strike/>
              </w:rPr>
              <w:t>117</w:t>
            </w:r>
            <w:r w:rsidR="00DF063E">
              <w:rPr>
                <w:strike/>
              </w:rPr>
              <w:br/>
            </w:r>
            <w:r w:rsidRPr="00DF063E">
              <w:rPr>
                <w:u w:val="single"/>
              </w:rPr>
              <w:t>123</w:t>
            </w:r>
            <w:r w:rsidR="00DF063E">
              <w:rPr>
                <w:u w:val="single"/>
              </w:rPr>
              <w:br/>
            </w:r>
            <w:r w:rsidRPr="00DF063E">
              <w:t>299</w:t>
            </w:r>
          </w:p>
        </w:tc>
      </w:tr>
    </w:tbl>
    <w:p w:rsidR="00446FE5" w:rsidRPr="00DF063E" w:rsidRDefault="00AC6CC4" w:rsidP="00AC6CC4">
      <w:pPr>
        <w:pStyle w:val="SingleTxtG"/>
        <w:spacing w:before="240" w:after="0"/>
        <w:jc w:val="center"/>
        <w:rPr>
          <w:u w:val="single"/>
        </w:rPr>
      </w:pPr>
      <w:r w:rsidRPr="00DF063E">
        <w:rPr>
          <w:u w:val="single"/>
        </w:rPr>
        <w:tab/>
      </w:r>
      <w:r w:rsidRPr="00DF063E">
        <w:rPr>
          <w:u w:val="single"/>
        </w:rPr>
        <w:tab/>
      </w:r>
      <w:r w:rsidRPr="00DF063E">
        <w:rPr>
          <w:u w:val="single"/>
        </w:rPr>
        <w:tab/>
      </w:r>
    </w:p>
    <w:sectPr w:rsidR="00446FE5" w:rsidRPr="00DF063E" w:rsidSect="00E708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D5B" w:rsidRDefault="00730D5B" w:rsidP="00F95C08">
      <w:pPr>
        <w:spacing w:line="240" w:lineRule="auto"/>
      </w:pPr>
    </w:p>
  </w:endnote>
  <w:endnote w:type="continuationSeparator" w:id="0">
    <w:p w:rsidR="00730D5B" w:rsidRPr="00AC3823" w:rsidRDefault="00730D5B" w:rsidP="00AC3823">
      <w:pPr>
        <w:pStyle w:val="Footer"/>
      </w:pPr>
    </w:p>
  </w:endnote>
  <w:endnote w:type="continuationNotice" w:id="1">
    <w:p w:rsidR="00730D5B" w:rsidRDefault="00730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AC" w:rsidRPr="00E708AC" w:rsidRDefault="00E708AC" w:rsidP="00E708AC">
    <w:pPr>
      <w:pStyle w:val="Footer"/>
      <w:tabs>
        <w:tab w:val="right" w:pos="9638"/>
      </w:tabs>
    </w:pPr>
    <w:r w:rsidRPr="00E708AC">
      <w:rPr>
        <w:b/>
        <w:sz w:val="18"/>
      </w:rPr>
      <w:fldChar w:fldCharType="begin"/>
    </w:r>
    <w:r w:rsidRPr="00E708AC">
      <w:rPr>
        <w:b/>
        <w:sz w:val="18"/>
      </w:rPr>
      <w:instrText xml:space="preserve"> PAGE  \* MERGEFORMAT </w:instrText>
    </w:r>
    <w:r w:rsidRPr="00E708AC">
      <w:rPr>
        <w:b/>
        <w:sz w:val="18"/>
      </w:rPr>
      <w:fldChar w:fldCharType="separate"/>
    </w:r>
    <w:r w:rsidR="007D659D">
      <w:rPr>
        <w:b/>
        <w:noProof/>
        <w:sz w:val="18"/>
      </w:rPr>
      <w:t>2</w:t>
    </w:r>
    <w:r w:rsidRPr="00E708AC">
      <w:rPr>
        <w:b/>
        <w:sz w:val="18"/>
      </w:rPr>
      <w:fldChar w:fldCharType="end"/>
    </w:r>
    <w:r>
      <w:rPr>
        <w:b/>
        <w:sz w:val="18"/>
      </w:rPr>
      <w:tab/>
    </w:r>
    <w:r>
      <w:t>GE.18-04931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AC" w:rsidRPr="00E708AC" w:rsidRDefault="00E708AC" w:rsidP="00E708AC">
    <w:pPr>
      <w:pStyle w:val="Footer"/>
      <w:tabs>
        <w:tab w:val="right" w:pos="9638"/>
      </w:tabs>
      <w:rPr>
        <w:b/>
        <w:sz w:val="18"/>
      </w:rPr>
    </w:pPr>
    <w:r>
      <w:t>GE.18-04931</w:t>
    </w:r>
    <w:r>
      <w:tab/>
    </w:r>
    <w:r w:rsidRPr="00E708AC">
      <w:rPr>
        <w:b/>
        <w:sz w:val="18"/>
      </w:rPr>
      <w:fldChar w:fldCharType="begin"/>
    </w:r>
    <w:r w:rsidRPr="00E708AC">
      <w:rPr>
        <w:b/>
        <w:sz w:val="18"/>
      </w:rPr>
      <w:instrText xml:space="preserve"> PAGE  \* MERGEFORMAT </w:instrText>
    </w:r>
    <w:r w:rsidRPr="00E708AC">
      <w:rPr>
        <w:b/>
        <w:sz w:val="18"/>
      </w:rPr>
      <w:fldChar w:fldCharType="separate"/>
    </w:r>
    <w:r w:rsidR="007D659D">
      <w:rPr>
        <w:b/>
        <w:noProof/>
        <w:sz w:val="18"/>
      </w:rPr>
      <w:t>3</w:t>
    </w:r>
    <w:r w:rsidRPr="00E708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708AC" w:rsidRDefault="00E708AC" w:rsidP="00E708AC">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04931</w:t>
    </w:r>
    <w:r w:rsidR="00803DA8">
      <w:rPr>
        <w:sz w:val="20"/>
      </w:rPr>
      <w:t xml:space="preserve"> </w:t>
    </w:r>
    <w:r w:rsidR="00FE4B15">
      <w:rPr>
        <w:sz w:val="20"/>
      </w:rPr>
      <w:t xml:space="preserve"> </w:t>
    </w:r>
    <w:r>
      <w:rPr>
        <w:sz w:val="20"/>
      </w:rPr>
      <w:t>(</w:t>
    </w:r>
    <w:proofErr w:type="gramEnd"/>
    <w:r>
      <w:rPr>
        <w:sz w:val="20"/>
      </w:rPr>
      <w:t>F)</w:t>
    </w:r>
    <w:r w:rsidR="00FE4B15">
      <w:rPr>
        <w:sz w:val="20"/>
      </w:rPr>
      <w:t xml:space="preserve">  </w:t>
    </w:r>
    <w:r w:rsidR="00803DA8">
      <w:rPr>
        <w:sz w:val="20"/>
      </w:rPr>
      <w:t xml:space="preserve">  </w:t>
    </w:r>
    <w:r w:rsidR="00F37EEB">
      <w:rPr>
        <w:sz w:val="20"/>
      </w:rPr>
      <w:t>010518</w:t>
    </w:r>
    <w:r w:rsidR="00FE4B15">
      <w:rPr>
        <w:sz w:val="20"/>
      </w:rPr>
      <w:t xml:space="preserve">  </w:t>
    </w:r>
    <w:r w:rsidR="00803DA8">
      <w:rPr>
        <w:sz w:val="20"/>
      </w:rPr>
      <w:t xml:space="preserve">  </w:t>
    </w:r>
    <w:r w:rsidR="00F37EEB">
      <w:rPr>
        <w:sz w:val="20"/>
      </w:rPr>
      <w:t>090518</w:t>
    </w:r>
    <w:r>
      <w:rPr>
        <w:sz w:val="20"/>
      </w:rPr>
      <w:br/>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sidRPr="00E708A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D5B" w:rsidRPr="00AC3823" w:rsidRDefault="00730D5B" w:rsidP="00AC3823">
      <w:pPr>
        <w:pStyle w:val="Footer"/>
        <w:tabs>
          <w:tab w:val="right" w:pos="2155"/>
        </w:tabs>
        <w:spacing w:after="80" w:line="240" w:lineRule="atLeast"/>
        <w:ind w:left="680"/>
        <w:rPr>
          <w:u w:val="single"/>
        </w:rPr>
      </w:pPr>
      <w:r>
        <w:rPr>
          <w:u w:val="single"/>
        </w:rPr>
        <w:tab/>
      </w:r>
    </w:p>
  </w:footnote>
  <w:footnote w:type="continuationSeparator" w:id="0">
    <w:p w:rsidR="00730D5B" w:rsidRPr="00AC3823" w:rsidRDefault="00730D5B" w:rsidP="00AC3823">
      <w:pPr>
        <w:pStyle w:val="Footer"/>
        <w:tabs>
          <w:tab w:val="right" w:pos="2155"/>
        </w:tabs>
        <w:spacing w:after="80" w:line="240" w:lineRule="atLeast"/>
        <w:ind w:left="680"/>
        <w:rPr>
          <w:u w:val="single"/>
        </w:rPr>
      </w:pPr>
      <w:r>
        <w:rPr>
          <w:u w:val="single"/>
        </w:rPr>
        <w:tab/>
      </w:r>
    </w:p>
  </w:footnote>
  <w:footnote w:type="continuationNotice" w:id="1">
    <w:p w:rsidR="00730D5B" w:rsidRPr="00AC3823" w:rsidRDefault="00730D5B">
      <w:pPr>
        <w:spacing w:line="240" w:lineRule="auto"/>
        <w:rPr>
          <w:sz w:val="2"/>
          <w:szCs w:val="2"/>
        </w:rPr>
      </w:pPr>
    </w:p>
  </w:footnote>
  <w:footnote w:id="2">
    <w:p w:rsidR="00843966" w:rsidRPr="00843966" w:rsidRDefault="00843966">
      <w:pPr>
        <w:pStyle w:val="FootnoteText"/>
      </w:pPr>
      <w:r>
        <w:rPr>
          <w:rStyle w:val="FootnoteReference"/>
        </w:rPr>
        <w:tab/>
      </w:r>
      <w:r w:rsidRPr="00843966">
        <w:rPr>
          <w:rStyle w:val="FootnoteReference"/>
          <w:sz w:val="20"/>
          <w:vertAlign w:val="baseline"/>
        </w:rPr>
        <w:t>*</w:t>
      </w:r>
      <w:r>
        <w:rPr>
          <w:rStyle w:val="FootnoteReference"/>
          <w:sz w:val="20"/>
          <w:vertAlign w:val="baseline"/>
        </w:rPr>
        <w:tab/>
      </w:r>
      <w:r w:rsidRPr="00C94FB2">
        <w:t>Conformément au programme de travail du Sous-comité pour la période biennale 2017</w:t>
      </w:r>
      <w:r w:rsidR="006B237A">
        <w:t>-</w:t>
      </w:r>
      <w:r w:rsidRPr="00C94FB2">
        <w:t>2018, approuvé par le Comité à sa huitième session (voir ST/SG/AC.10/C.3/100, par</w:t>
      </w:r>
      <w:r>
        <w:t>.</w:t>
      </w:r>
      <w:r w:rsidR="006B237A">
        <w:t> </w:t>
      </w:r>
      <w:r>
        <w:t>98</w:t>
      </w:r>
      <w:r w:rsidR="006B237A">
        <w:t>,</w:t>
      </w:r>
      <w:r>
        <w:t xml:space="preserve"> et ST/SG/AC.10/44, par</w:t>
      </w:r>
      <w:r w:rsidRPr="00C94FB2">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AC" w:rsidRPr="00E708AC" w:rsidRDefault="007D659D">
    <w:pPr>
      <w:pStyle w:val="Header"/>
    </w:pPr>
    <w:r>
      <w:fldChar w:fldCharType="begin"/>
    </w:r>
    <w:r>
      <w:instrText xml:space="preserve"> TITLE  \* MERGEFORMAT </w:instrText>
    </w:r>
    <w:r>
      <w:fldChar w:fldCharType="separate"/>
    </w:r>
    <w:r>
      <w:t>ST/SG/AC.10/C.3/2018/28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AC" w:rsidRPr="00E708AC" w:rsidRDefault="007D659D" w:rsidP="00E708AC">
    <w:pPr>
      <w:pStyle w:val="Header"/>
      <w:jc w:val="right"/>
    </w:pPr>
    <w:r>
      <w:fldChar w:fldCharType="begin"/>
    </w:r>
    <w:r>
      <w:instrText xml:space="preserve"> TITLE  \* MERGEFORMAT </w:instrText>
    </w:r>
    <w:r>
      <w:fldChar w:fldCharType="separate"/>
    </w:r>
    <w:r>
      <w:t>ST/SG/AC.10/C.3/2018/28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5B"/>
    <w:rsid w:val="00017F94"/>
    <w:rsid w:val="00023842"/>
    <w:rsid w:val="000305D3"/>
    <w:rsid w:val="000334F9"/>
    <w:rsid w:val="0007796D"/>
    <w:rsid w:val="000B7790"/>
    <w:rsid w:val="00111F2F"/>
    <w:rsid w:val="00132EA9"/>
    <w:rsid w:val="0014365E"/>
    <w:rsid w:val="00176178"/>
    <w:rsid w:val="001F525A"/>
    <w:rsid w:val="00223272"/>
    <w:rsid w:val="0024779E"/>
    <w:rsid w:val="002512DF"/>
    <w:rsid w:val="00283190"/>
    <w:rsid w:val="002832AC"/>
    <w:rsid w:val="002D7C93"/>
    <w:rsid w:val="004157C1"/>
    <w:rsid w:val="00441C3B"/>
    <w:rsid w:val="00446FE5"/>
    <w:rsid w:val="00452396"/>
    <w:rsid w:val="004E468C"/>
    <w:rsid w:val="005505B7"/>
    <w:rsid w:val="00573BE5"/>
    <w:rsid w:val="005828C6"/>
    <w:rsid w:val="00584DC4"/>
    <w:rsid w:val="00586ED3"/>
    <w:rsid w:val="00596AA9"/>
    <w:rsid w:val="005B30DD"/>
    <w:rsid w:val="00642711"/>
    <w:rsid w:val="0068456F"/>
    <w:rsid w:val="006B237A"/>
    <w:rsid w:val="006D74F8"/>
    <w:rsid w:val="0071601D"/>
    <w:rsid w:val="00730D5B"/>
    <w:rsid w:val="007A62E6"/>
    <w:rsid w:val="007D659D"/>
    <w:rsid w:val="00803DA8"/>
    <w:rsid w:val="0080684C"/>
    <w:rsid w:val="00843966"/>
    <w:rsid w:val="00850B4A"/>
    <w:rsid w:val="00871C75"/>
    <w:rsid w:val="008776DC"/>
    <w:rsid w:val="008B40CD"/>
    <w:rsid w:val="009705C8"/>
    <w:rsid w:val="009C1CF4"/>
    <w:rsid w:val="00A30353"/>
    <w:rsid w:val="00A33A9F"/>
    <w:rsid w:val="00AC3823"/>
    <w:rsid w:val="00AC6CC4"/>
    <w:rsid w:val="00AE323C"/>
    <w:rsid w:val="00B00181"/>
    <w:rsid w:val="00B00B0D"/>
    <w:rsid w:val="00B765F7"/>
    <w:rsid w:val="00BA0CA9"/>
    <w:rsid w:val="00C02897"/>
    <w:rsid w:val="00C63671"/>
    <w:rsid w:val="00D3439C"/>
    <w:rsid w:val="00DB1831"/>
    <w:rsid w:val="00DD3BFD"/>
    <w:rsid w:val="00DF063E"/>
    <w:rsid w:val="00DF6678"/>
    <w:rsid w:val="00E708AC"/>
    <w:rsid w:val="00EF2E22"/>
    <w:rsid w:val="00F01738"/>
    <w:rsid w:val="00F37EEB"/>
    <w:rsid w:val="00F660DF"/>
    <w:rsid w:val="00F730C8"/>
    <w:rsid w:val="00F95C08"/>
    <w:rsid w:val="00FE4B1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C8BA39-3491-4456-820F-804A8EA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AC6CC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C6CC4"/>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AC6CC4"/>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AC6CC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ST/SG/AC.10/C.3/2018/28</vt:lpstr>
      <vt:lpstr>ST/SG/AC.10/C.3/2018/28</vt:lpstr>
    </vt:vector>
  </TitlesOfParts>
  <Company>DCM</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ST/SG/AC.10/C.3/2018/28</dc:title>
  <dc:subject/>
  <dc:creator>Nicolas MORIN</dc:creator>
  <cp:keywords/>
  <cp:lastModifiedBy>Laurence Berthet</cp:lastModifiedBy>
  <cp:revision>3</cp:revision>
  <cp:lastPrinted>2018-05-09T15:02:00Z</cp:lastPrinted>
  <dcterms:created xsi:type="dcterms:W3CDTF">2018-05-09T15:02:00Z</dcterms:created>
  <dcterms:modified xsi:type="dcterms:W3CDTF">2018-05-09T15:03:00Z</dcterms:modified>
</cp:coreProperties>
</file>