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6D8ABC64" w14:textId="77777777" w:rsidTr="006D12B1">
        <w:trPr>
          <w:trHeight w:val="851"/>
        </w:trPr>
        <w:tc>
          <w:tcPr>
            <w:tcW w:w="1259" w:type="dxa"/>
            <w:tcBorders>
              <w:top w:val="nil"/>
              <w:left w:val="nil"/>
              <w:bottom w:val="single" w:sz="4" w:space="0" w:color="auto"/>
              <w:right w:val="nil"/>
            </w:tcBorders>
            <w:shd w:val="clear" w:color="auto" w:fill="auto"/>
          </w:tcPr>
          <w:p w14:paraId="51D2D919" w14:textId="77777777" w:rsidR="00446DE4" w:rsidRPr="006500BA" w:rsidRDefault="00446DE4" w:rsidP="006D12B1">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20DF7292" w14:textId="77777777"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373B0064" w14:textId="65443D07" w:rsidR="006D12B1" w:rsidRPr="006500BA" w:rsidRDefault="006D12B1" w:rsidP="000F0C23">
            <w:pPr>
              <w:jc w:val="right"/>
            </w:pPr>
            <w:r w:rsidRPr="006D12B1">
              <w:rPr>
                <w:sz w:val="40"/>
              </w:rPr>
              <w:t>ST</w:t>
            </w:r>
            <w:r>
              <w:t>/SG/AC.10/C.3/201</w:t>
            </w:r>
            <w:r w:rsidR="00C36FC0">
              <w:t>8</w:t>
            </w:r>
            <w:r>
              <w:t>/</w:t>
            </w:r>
            <w:r w:rsidR="00A520F1">
              <w:t>1</w:t>
            </w:r>
            <w:r w:rsidR="008208BE">
              <w:t>10</w:t>
            </w:r>
          </w:p>
        </w:tc>
      </w:tr>
      <w:tr w:rsidR="003107FA" w:rsidRPr="006500BA" w14:paraId="61480391"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7E6A2DC7" w14:textId="77777777" w:rsidR="003107FA" w:rsidRPr="006500BA" w:rsidRDefault="00860540" w:rsidP="006D12B1">
            <w:pPr>
              <w:spacing w:before="120"/>
              <w:jc w:val="center"/>
            </w:pPr>
            <w:r w:rsidRPr="00B70F63">
              <w:rPr>
                <w:noProof/>
                <w:lang w:val="es-ES" w:eastAsia="es-ES"/>
              </w:rPr>
              <w:drawing>
                <wp:inline distT="0" distB="0" distL="0" distR="0" wp14:anchorId="36B6EC8A" wp14:editId="229D4B9E">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4A6B2966" w14:textId="77777777"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0C1FFC82" w14:textId="77777777" w:rsidR="003107FA" w:rsidRDefault="006D12B1" w:rsidP="006D12B1">
            <w:pPr>
              <w:spacing w:before="240" w:line="240" w:lineRule="exact"/>
            </w:pPr>
            <w:r>
              <w:t>Distr.: General</w:t>
            </w:r>
          </w:p>
          <w:p w14:paraId="4226C185" w14:textId="6F6F0620" w:rsidR="006D12B1" w:rsidRPr="00DB63BF" w:rsidRDefault="009F0551" w:rsidP="006D12B1">
            <w:pPr>
              <w:spacing w:line="240" w:lineRule="exact"/>
            </w:pPr>
            <w:r w:rsidRPr="009F0551">
              <w:t>5 September</w:t>
            </w:r>
            <w:r w:rsidR="006A1D67">
              <w:t xml:space="preserve"> 201</w:t>
            </w:r>
            <w:r w:rsidR="00C36FC0">
              <w:t>8</w:t>
            </w:r>
          </w:p>
          <w:p w14:paraId="63DAF14B" w14:textId="77777777" w:rsidR="006D12B1" w:rsidRDefault="006D12B1" w:rsidP="006D12B1">
            <w:pPr>
              <w:spacing w:line="240" w:lineRule="exact"/>
            </w:pPr>
          </w:p>
          <w:p w14:paraId="6167AC40" w14:textId="77777777" w:rsidR="006D12B1" w:rsidRPr="006500BA" w:rsidRDefault="006D12B1" w:rsidP="006D12B1">
            <w:pPr>
              <w:spacing w:line="240" w:lineRule="exact"/>
            </w:pPr>
            <w:r>
              <w:t>Original: English</w:t>
            </w:r>
          </w:p>
        </w:tc>
      </w:tr>
    </w:tbl>
    <w:p w14:paraId="22BDB63B" w14:textId="77777777"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304C621" w14:textId="77777777"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14:paraId="4931D1E1" w14:textId="77777777" w:rsidR="00B51A46" w:rsidRPr="00432930" w:rsidRDefault="0005466E" w:rsidP="00432930">
      <w:pPr>
        <w:spacing w:before="120"/>
        <w:rPr>
          <w:b/>
        </w:rPr>
      </w:pPr>
      <w:r>
        <w:rPr>
          <w:b/>
        </w:rPr>
        <w:t>Fifty-</w:t>
      </w:r>
      <w:r w:rsidR="0018253D">
        <w:rPr>
          <w:b/>
        </w:rPr>
        <w:t>fourth</w:t>
      </w:r>
      <w:r w:rsidRPr="0005466E">
        <w:rPr>
          <w:b/>
        </w:rPr>
        <w:t xml:space="preserve"> session</w:t>
      </w:r>
    </w:p>
    <w:p w14:paraId="174D822D" w14:textId="668379D6" w:rsidR="00BD0239" w:rsidRPr="009F0551" w:rsidRDefault="00B51A46" w:rsidP="00A520F1">
      <w:pPr>
        <w:pStyle w:val="NormalWeb"/>
        <w:rPr>
          <w:b/>
          <w:bCs/>
          <w:sz w:val="20"/>
          <w:szCs w:val="20"/>
        </w:rPr>
      </w:pPr>
      <w:r w:rsidRPr="00432930">
        <w:rPr>
          <w:sz w:val="20"/>
          <w:szCs w:val="20"/>
        </w:rPr>
        <w:t xml:space="preserve">Geneva, </w:t>
      </w:r>
      <w:r w:rsidR="00C36FC0">
        <w:rPr>
          <w:color w:val="333333"/>
          <w:sz w:val="20"/>
          <w:szCs w:val="20"/>
          <w:lang w:eastAsia="it-IT"/>
        </w:rPr>
        <w:t>2</w:t>
      </w:r>
      <w:r w:rsidR="0018253D">
        <w:rPr>
          <w:color w:val="333333"/>
          <w:sz w:val="20"/>
          <w:szCs w:val="20"/>
          <w:lang w:eastAsia="it-IT"/>
        </w:rPr>
        <w:t>6 November</w:t>
      </w:r>
      <w:r w:rsidR="00B63E96">
        <w:rPr>
          <w:color w:val="333333"/>
          <w:sz w:val="20"/>
          <w:szCs w:val="20"/>
          <w:lang w:eastAsia="it-IT"/>
        </w:rPr>
        <w:t>-</w:t>
      </w:r>
      <w:r w:rsidR="00C36FC0">
        <w:rPr>
          <w:color w:val="333333"/>
          <w:sz w:val="20"/>
          <w:szCs w:val="20"/>
          <w:lang w:eastAsia="it-IT"/>
        </w:rPr>
        <w:t>4</w:t>
      </w:r>
      <w:r w:rsidR="00812689" w:rsidRPr="00812689">
        <w:rPr>
          <w:color w:val="333333"/>
          <w:sz w:val="20"/>
          <w:szCs w:val="20"/>
          <w:lang w:eastAsia="it-IT"/>
        </w:rPr>
        <w:t xml:space="preserve"> </w:t>
      </w:r>
      <w:r w:rsidR="0018253D">
        <w:rPr>
          <w:color w:val="333333"/>
          <w:sz w:val="20"/>
          <w:szCs w:val="20"/>
          <w:lang w:eastAsia="it-IT"/>
        </w:rPr>
        <w:t>December</w:t>
      </w:r>
      <w:r w:rsidR="0005466E">
        <w:rPr>
          <w:color w:val="333333"/>
          <w:sz w:val="20"/>
          <w:szCs w:val="20"/>
          <w:lang w:eastAsia="it-IT"/>
        </w:rPr>
        <w:t xml:space="preserve"> 201</w:t>
      </w:r>
      <w:r w:rsidR="00C36FC0">
        <w:rPr>
          <w:color w:val="333333"/>
          <w:sz w:val="20"/>
          <w:szCs w:val="20"/>
          <w:lang w:eastAsia="it-IT"/>
        </w:rPr>
        <w:t>8</w:t>
      </w:r>
      <w:r w:rsidRPr="00432930">
        <w:rPr>
          <w:color w:val="333333"/>
          <w:sz w:val="20"/>
          <w:szCs w:val="20"/>
          <w:lang w:eastAsia="it-IT"/>
        </w:rPr>
        <w:br/>
      </w:r>
      <w:r w:rsidRPr="001F6E40">
        <w:rPr>
          <w:sz w:val="20"/>
          <w:szCs w:val="20"/>
        </w:rPr>
        <w:t xml:space="preserve">Item </w:t>
      </w:r>
      <w:r w:rsidR="001F6E40">
        <w:rPr>
          <w:sz w:val="20"/>
          <w:szCs w:val="20"/>
        </w:rPr>
        <w:t>2 (</w:t>
      </w:r>
      <w:r w:rsidR="009F0551">
        <w:rPr>
          <w:sz w:val="20"/>
          <w:szCs w:val="20"/>
        </w:rPr>
        <w:t>d</w:t>
      </w:r>
      <w:r w:rsidR="001F6E40">
        <w:rPr>
          <w:sz w:val="20"/>
          <w:szCs w:val="20"/>
        </w:rPr>
        <w:t>)</w:t>
      </w:r>
      <w:r w:rsidRPr="001F6E40">
        <w:rPr>
          <w:sz w:val="20"/>
          <w:szCs w:val="20"/>
        </w:rPr>
        <w:t xml:space="preserve"> of the provisional agenda</w:t>
      </w:r>
      <w:r w:rsidRPr="001F6E40">
        <w:rPr>
          <w:sz w:val="20"/>
          <w:szCs w:val="20"/>
        </w:rPr>
        <w:br/>
      </w:r>
      <w:r w:rsidR="001F6E40" w:rsidRPr="001F6E40">
        <w:rPr>
          <w:b/>
          <w:bCs/>
          <w:sz w:val="20"/>
          <w:szCs w:val="20"/>
        </w:rPr>
        <w:t xml:space="preserve">Recommendations made by the Sub-Committee on its fifty-first, </w:t>
      </w:r>
      <w:r w:rsidR="001F6E40" w:rsidRPr="001F6E40">
        <w:rPr>
          <w:b/>
          <w:bCs/>
          <w:sz w:val="20"/>
          <w:szCs w:val="20"/>
        </w:rPr>
        <w:br/>
        <w:t>fifty-second and fifty-third sessions and pending issues:</w:t>
      </w:r>
      <w:r w:rsidR="001F6E40" w:rsidRPr="001F6E40">
        <w:rPr>
          <w:b/>
          <w:bCs/>
          <w:sz w:val="20"/>
          <w:szCs w:val="20"/>
        </w:rPr>
        <w:br/>
      </w:r>
      <w:r w:rsidR="009F0551" w:rsidRPr="009F0551">
        <w:rPr>
          <w:b/>
          <w:bCs/>
          <w:sz w:val="20"/>
          <w:szCs w:val="20"/>
        </w:rPr>
        <w:t>e</w:t>
      </w:r>
      <w:r w:rsidR="009F0551" w:rsidRPr="009F0551">
        <w:rPr>
          <w:b/>
          <w:bCs/>
          <w:sz w:val="20"/>
          <w:szCs w:val="20"/>
        </w:rPr>
        <w:t>lectric storage systems</w:t>
      </w:r>
    </w:p>
    <w:p w14:paraId="6F8B3E45" w14:textId="53D0F7F0" w:rsidR="008208BE" w:rsidRPr="005C41AC" w:rsidRDefault="001F6E40" w:rsidP="008208BE">
      <w:pPr>
        <w:pStyle w:val="HChG"/>
        <w:spacing w:before="240" w:after="0"/>
        <w:jc w:val="both"/>
        <w:rPr>
          <w:lang w:val="de-CH"/>
        </w:rPr>
      </w:pPr>
      <w:r>
        <w:tab/>
      </w:r>
      <w:r w:rsidR="008208BE" w:rsidRPr="005C41AC">
        <w:rPr>
          <w:lang w:val="de-CH"/>
        </w:rPr>
        <w:tab/>
      </w:r>
      <w:r w:rsidR="008208BE" w:rsidRPr="005C41AC">
        <w:rPr>
          <w:lang w:val="de-CH"/>
        </w:rPr>
        <w:tab/>
      </w:r>
      <w:r w:rsidR="008208BE" w:rsidRPr="005C41AC">
        <w:rPr>
          <w:w w:val="105"/>
          <w:szCs w:val="28"/>
          <w:lang w:val="de-CH"/>
        </w:rPr>
        <w:t>Sodium-Nickel chloride (Na-NiCl</w:t>
      </w:r>
      <w:r w:rsidR="008208BE" w:rsidRPr="005C41AC">
        <w:rPr>
          <w:w w:val="105"/>
          <w:position w:val="-2"/>
          <w:szCs w:val="28"/>
          <w:vertAlign w:val="subscript"/>
          <w:lang w:val="de-CH"/>
        </w:rPr>
        <w:t>2</w:t>
      </w:r>
      <w:r w:rsidR="008208BE" w:rsidRPr="005C41AC">
        <w:rPr>
          <w:w w:val="105"/>
          <w:szCs w:val="28"/>
          <w:lang w:val="de-CH"/>
        </w:rPr>
        <w:t>)</w:t>
      </w:r>
      <w:r w:rsidR="008208BE" w:rsidRPr="005C41AC">
        <w:rPr>
          <w:w w:val="105"/>
          <w:sz w:val="20"/>
          <w:lang w:val="de-CH"/>
        </w:rPr>
        <w:t xml:space="preserve"> </w:t>
      </w:r>
    </w:p>
    <w:p w14:paraId="4BE0D9D2" w14:textId="6970F33B" w:rsidR="008208BE" w:rsidRPr="009B4433" w:rsidRDefault="008208BE" w:rsidP="008208BE">
      <w:pPr>
        <w:pStyle w:val="H1G"/>
        <w:spacing w:before="240" w:after="120"/>
        <w:rPr>
          <w:rStyle w:val="FootnoteReference"/>
        </w:rPr>
      </w:pPr>
      <w:r w:rsidRPr="005C41AC">
        <w:rPr>
          <w:lang w:val="de-CH"/>
        </w:rPr>
        <w:tab/>
      </w:r>
      <w:r w:rsidRPr="005C41AC">
        <w:rPr>
          <w:lang w:val="de-CH"/>
        </w:rPr>
        <w:tab/>
      </w:r>
      <w:r w:rsidRPr="009B4433">
        <w:t>Transmitted by the expert from Switzerland</w:t>
      </w:r>
      <w:r>
        <w:rPr>
          <w:rStyle w:val="FootnoteReference"/>
        </w:rPr>
        <w:footnoteReference w:customMarkFollows="1" w:id="2"/>
        <w:t>*</w:t>
      </w:r>
    </w:p>
    <w:tbl>
      <w:tblPr>
        <w:tblStyle w:val="TableGrid"/>
        <w:tblW w:w="0" w:type="auto"/>
        <w:jc w:val="center"/>
        <w:tblLook w:val="05E0" w:firstRow="1" w:lastRow="1" w:firstColumn="1" w:lastColumn="1" w:noHBand="0" w:noVBand="1"/>
      </w:tblPr>
      <w:tblGrid>
        <w:gridCol w:w="9629"/>
      </w:tblGrid>
      <w:tr w:rsidR="008208BE" w:rsidRPr="009B4433" w14:paraId="0B9511F4" w14:textId="77777777" w:rsidTr="00712492">
        <w:trPr>
          <w:jc w:val="center"/>
        </w:trPr>
        <w:tc>
          <w:tcPr>
            <w:tcW w:w="9637" w:type="dxa"/>
            <w:tcBorders>
              <w:bottom w:val="nil"/>
            </w:tcBorders>
          </w:tcPr>
          <w:p w14:paraId="0C1137C4" w14:textId="77777777" w:rsidR="008208BE" w:rsidRPr="009B4433" w:rsidRDefault="008208BE" w:rsidP="008208BE">
            <w:pPr>
              <w:tabs>
                <w:tab w:val="left" w:pos="255"/>
              </w:tabs>
              <w:suppressAutoHyphens w:val="0"/>
              <w:spacing w:before="120"/>
              <w:rPr>
                <w:sz w:val="24"/>
              </w:rPr>
            </w:pPr>
            <w:r w:rsidRPr="009B4433">
              <w:tab/>
            </w:r>
            <w:r w:rsidRPr="009B4433">
              <w:rPr>
                <w:i/>
                <w:sz w:val="24"/>
              </w:rPr>
              <w:t>Summary</w:t>
            </w:r>
          </w:p>
        </w:tc>
      </w:tr>
      <w:tr w:rsidR="008208BE" w:rsidRPr="009B4433" w14:paraId="21755443" w14:textId="77777777" w:rsidTr="00712492">
        <w:trPr>
          <w:jc w:val="center"/>
        </w:trPr>
        <w:tc>
          <w:tcPr>
            <w:tcW w:w="9637" w:type="dxa"/>
            <w:tcBorders>
              <w:top w:val="nil"/>
              <w:bottom w:val="nil"/>
            </w:tcBorders>
            <w:shd w:val="clear" w:color="auto" w:fill="auto"/>
          </w:tcPr>
          <w:p w14:paraId="70DE7682" w14:textId="77777777" w:rsidR="008208BE" w:rsidRPr="00957CCB" w:rsidRDefault="008208BE" w:rsidP="00712492">
            <w:pPr>
              <w:pStyle w:val="SingleTxtG"/>
              <w:ind w:left="2495" w:hanging="2268"/>
              <w:rPr>
                <w:highlight w:val="yellow"/>
              </w:rPr>
            </w:pPr>
            <w:r w:rsidRPr="008D19C2">
              <w:rPr>
                <w:b/>
                <w:bCs/>
              </w:rPr>
              <w:t>Executive summary</w:t>
            </w:r>
            <w:r w:rsidRPr="008D19C2">
              <w:t>:</w:t>
            </w:r>
            <w:r w:rsidRPr="008D19C2">
              <w:tab/>
            </w:r>
            <w:r w:rsidRPr="008D19C2">
              <w:rPr>
                <w:w w:val="105"/>
              </w:rPr>
              <w:t>The extensive experience in the technology of Sodium-Nickel Chloride (Na-NiCl</w:t>
            </w:r>
            <w:r w:rsidRPr="008D19C2">
              <w:rPr>
                <w:w w:val="105"/>
                <w:position w:val="-2"/>
              </w:rPr>
              <w:t>2</w:t>
            </w:r>
            <w:r w:rsidRPr="008D19C2">
              <w:rPr>
                <w:w w:val="105"/>
              </w:rPr>
              <w:t>) secondary batteries in electric and hybrid vehicles, in which the safety requirements are more restrictive than those of stationary storage applications, depicts batteries based in the Na-NiCl</w:t>
            </w:r>
            <w:r w:rsidRPr="008D19C2">
              <w:rPr>
                <w:w w:val="105"/>
                <w:position w:val="-2"/>
              </w:rPr>
              <w:t xml:space="preserve">2 </w:t>
            </w:r>
            <w:r w:rsidRPr="008D19C2">
              <w:rPr>
                <w:w w:val="105"/>
              </w:rPr>
              <w:t>technology as a non-dangerous goods for transport. The risk of ﬁre is negligible because of the intrinsic safety of the cell chemical reactions, related to the sodium-tetrachloroaluminate (NaAlCl</w:t>
            </w:r>
            <w:r w:rsidRPr="008D19C2">
              <w:rPr>
                <w:w w:val="105"/>
                <w:position w:val="-2"/>
              </w:rPr>
              <w:t>4</w:t>
            </w:r>
            <w:r w:rsidRPr="008D19C2">
              <w:rPr>
                <w:w w:val="105"/>
              </w:rPr>
              <w:t>) content into the cell, which acts as a secondary electrolyte (the</w:t>
            </w:r>
            <w:r w:rsidRPr="008D19C2">
              <w:rPr>
                <w:spacing w:val="-5"/>
                <w:w w:val="105"/>
              </w:rPr>
              <w:t xml:space="preserve"> </w:t>
            </w:r>
            <w:r w:rsidRPr="008D19C2">
              <w:rPr>
                <w:w w:val="105"/>
              </w:rPr>
              <w:t>primary</w:t>
            </w:r>
            <w:r w:rsidRPr="008D19C2">
              <w:rPr>
                <w:spacing w:val="-8"/>
                <w:w w:val="105"/>
              </w:rPr>
              <w:t xml:space="preserve"> electrolyte </w:t>
            </w:r>
            <w:r w:rsidRPr="008D19C2">
              <w:rPr>
                <w:w w:val="105"/>
              </w:rPr>
              <w:t>being</w:t>
            </w:r>
            <w:r w:rsidRPr="008D19C2">
              <w:rPr>
                <w:spacing w:val="-5"/>
                <w:w w:val="105"/>
              </w:rPr>
              <w:t xml:space="preserve"> </w:t>
            </w:r>
            <w:r w:rsidRPr="008D19C2">
              <w:rPr>
                <w:w w:val="105"/>
              </w:rPr>
              <w:t>the</w:t>
            </w:r>
            <w:r w:rsidRPr="008D19C2">
              <w:rPr>
                <w:spacing w:val="-5"/>
                <w:w w:val="105"/>
              </w:rPr>
              <w:t xml:space="preserve"> </w:t>
            </w:r>
            <w:r w:rsidRPr="008D19C2">
              <w:rPr>
                <w:w w:val="105"/>
              </w:rPr>
              <w:t>ceramic</w:t>
            </w:r>
            <w:r w:rsidRPr="008D19C2">
              <w:rPr>
                <w:spacing w:val="-6"/>
                <w:w w:val="105"/>
              </w:rPr>
              <w:t xml:space="preserve"> </w:t>
            </w:r>
            <w:r w:rsidRPr="008D19C2">
              <w:t>β”-alumina electrolyte</w:t>
            </w:r>
            <w:r w:rsidRPr="008D19C2">
              <w:rPr>
                <w:w w:val="105"/>
              </w:rPr>
              <w:t xml:space="preserve"> as</w:t>
            </w:r>
            <w:r w:rsidRPr="008D19C2">
              <w:rPr>
                <w:spacing w:val="-6"/>
                <w:w w:val="105"/>
              </w:rPr>
              <w:t xml:space="preserve"> </w:t>
            </w:r>
            <w:r w:rsidRPr="008D19C2">
              <w:rPr>
                <w:w w:val="105"/>
              </w:rPr>
              <w:t>common</w:t>
            </w:r>
            <w:r w:rsidRPr="008D19C2">
              <w:rPr>
                <w:spacing w:val="-6"/>
                <w:w w:val="105"/>
              </w:rPr>
              <w:t xml:space="preserve"> </w:t>
            </w:r>
            <w:r w:rsidRPr="008D19C2">
              <w:rPr>
                <w:w w:val="105"/>
              </w:rPr>
              <w:t>for</w:t>
            </w:r>
            <w:r w:rsidRPr="008D19C2">
              <w:rPr>
                <w:spacing w:val="-5"/>
                <w:w w:val="105"/>
              </w:rPr>
              <w:t xml:space="preserve"> </w:t>
            </w:r>
            <w:r w:rsidRPr="008D19C2">
              <w:rPr>
                <w:w w:val="105"/>
              </w:rPr>
              <w:t>Na-Beta</w:t>
            </w:r>
            <w:r w:rsidRPr="008D19C2">
              <w:rPr>
                <w:spacing w:val="-6"/>
                <w:w w:val="105"/>
              </w:rPr>
              <w:t xml:space="preserve"> </w:t>
            </w:r>
            <w:r w:rsidRPr="008D19C2">
              <w:rPr>
                <w:w w:val="105"/>
              </w:rPr>
              <w:t>batteries)</w:t>
            </w:r>
            <w:r w:rsidRPr="008D19C2">
              <w:t>.</w:t>
            </w:r>
          </w:p>
        </w:tc>
      </w:tr>
      <w:tr w:rsidR="008208BE" w:rsidRPr="008D19C2" w14:paraId="4B4CF625" w14:textId="77777777" w:rsidTr="00712492">
        <w:trPr>
          <w:jc w:val="center"/>
        </w:trPr>
        <w:tc>
          <w:tcPr>
            <w:tcW w:w="9637" w:type="dxa"/>
            <w:tcBorders>
              <w:top w:val="nil"/>
              <w:bottom w:val="nil"/>
            </w:tcBorders>
          </w:tcPr>
          <w:p w14:paraId="2D2E4BB5" w14:textId="77777777" w:rsidR="008208BE" w:rsidRPr="008D19C2" w:rsidRDefault="008208BE" w:rsidP="00712492">
            <w:pPr>
              <w:pStyle w:val="SingleTxtG"/>
              <w:ind w:left="2495" w:hanging="2268"/>
            </w:pPr>
            <w:r w:rsidRPr="008D19C2">
              <w:rPr>
                <w:b/>
                <w:bCs/>
              </w:rPr>
              <w:t>Action to be taken</w:t>
            </w:r>
            <w:r w:rsidRPr="008D19C2">
              <w:t>:</w:t>
            </w:r>
            <w:r w:rsidRPr="008D19C2">
              <w:rPr>
                <w:b/>
                <w:bCs/>
              </w:rPr>
              <w:tab/>
            </w:r>
            <w:r w:rsidRPr="008D19C2">
              <w:t>Exempt the carriage of cells and batteries containing sodium tetrachloroaluminate in a cold state from the Regulations.</w:t>
            </w:r>
          </w:p>
          <w:p w14:paraId="641B2F86" w14:textId="77777777" w:rsidR="008208BE" w:rsidRDefault="008208BE" w:rsidP="008208BE">
            <w:pPr>
              <w:ind w:left="2547" w:right="1134" w:hanging="2333"/>
              <w:rPr>
                <w:color w:val="262626"/>
                <w:highlight w:val="yellow"/>
              </w:rPr>
            </w:pPr>
            <w:r w:rsidRPr="008D19C2">
              <w:rPr>
                <w:b/>
                <w:szCs w:val="22"/>
              </w:rPr>
              <w:t>Background documents</w:t>
            </w:r>
            <w:r w:rsidRPr="008D19C2">
              <w:rPr>
                <w:bCs/>
                <w:szCs w:val="22"/>
              </w:rPr>
              <w:t>:</w:t>
            </w:r>
            <w:r w:rsidRPr="008D19C2">
              <w:rPr>
                <w:b/>
                <w:szCs w:val="22"/>
              </w:rPr>
              <w:tab/>
            </w:r>
            <w:r w:rsidRPr="008D19C2">
              <w:rPr>
                <w:color w:val="262626"/>
              </w:rPr>
              <w:t xml:space="preserve">ST/SG/AC.10/C.3/R.294 (United States of America), </w:t>
            </w:r>
            <w:r w:rsidRPr="008D19C2">
              <w:t xml:space="preserve">ST/SG/AC.10/C.3/2010/30 </w:t>
            </w:r>
            <w:r w:rsidRPr="008D19C2">
              <w:rPr>
                <w:color w:val="262626"/>
              </w:rPr>
              <w:t>(United States of America)</w:t>
            </w:r>
          </w:p>
          <w:p w14:paraId="01FB208B" w14:textId="6CA21547" w:rsidR="008208BE" w:rsidRPr="008D19C2" w:rsidRDefault="008208BE" w:rsidP="00712492">
            <w:pPr>
              <w:ind w:left="2547" w:right="1134" w:firstLine="4"/>
              <w:rPr>
                <w:color w:val="262626"/>
                <w:highlight w:val="yellow"/>
                <w:lang w:val="it-CH"/>
              </w:rPr>
            </w:pPr>
            <w:r w:rsidRPr="008D19C2">
              <w:rPr>
                <w:lang w:val="it-CH"/>
              </w:rPr>
              <w:t>ST/SG/AC.10/C.3/106</w:t>
            </w:r>
            <w:r w:rsidR="009F0551">
              <w:rPr>
                <w:lang w:val="it-CH"/>
              </w:rPr>
              <w:t>, paragraphs 83-85</w:t>
            </w:r>
          </w:p>
          <w:p w14:paraId="45222E09" w14:textId="4EEE229F" w:rsidR="008208BE" w:rsidRPr="008208BE" w:rsidRDefault="008208BE" w:rsidP="008208BE">
            <w:pPr>
              <w:ind w:left="2547" w:right="1134" w:firstLine="4"/>
              <w:rPr>
                <w:color w:val="262626"/>
                <w:highlight w:val="yellow"/>
                <w:lang w:val="it-CH"/>
              </w:rPr>
            </w:pPr>
            <w:r>
              <w:rPr>
                <w:lang w:val="it-CH"/>
              </w:rPr>
              <w:t xml:space="preserve">Informal documents </w:t>
            </w:r>
            <w:r w:rsidRPr="00733B7D">
              <w:rPr>
                <w:lang w:val="it-CH"/>
              </w:rPr>
              <w:t>INF</w:t>
            </w:r>
            <w:r w:rsidR="009F0551">
              <w:rPr>
                <w:lang w:val="it-CH"/>
              </w:rPr>
              <w:t>.</w:t>
            </w:r>
            <w:r w:rsidRPr="00733B7D">
              <w:rPr>
                <w:lang w:val="it-CH"/>
              </w:rPr>
              <w:t>45</w:t>
            </w:r>
            <w:r>
              <w:rPr>
                <w:lang w:val="it-CH"/>
              </w:rPr>
              <w:t xml:space="preserve"> and 4</w:t>
            </w:r>
            <w:r w:rsidR="009F0551">
              <w:rPr>
                <w:w w:val="105"/>
                <w:szCs w:val="28"/>
                <w:lang w:val="it-CH"/>
              </w:rPr>
              <w:t>5/Add.1</w:t>
            </w:r>
            <w:r w:rsidRPr="00733B7D">
              <w:rPr>
                <w:lang w:val="it-CH"/>
              </w:rPr>
              <w:t xml:space="preserve"> </w:t>
            </w:r>
            <w:r>
              <w:rPr>
                <w:lang w:val="it-CH"/>
              </w:rPr>
              <w:t>(</w:t>
            </w:r>
            <w:r w:rsidR="009F0551">
              <w:rPr>
                <w:lang w:val="it-CH"/>
              </w:rPr>
              <w:t>fifty-third</w:t>
            </w:r>
            <w:r>
              <w:rPr>
                <w:lang w:val="it-CH"/>
              </w:rPr>
              <w:t xml:space="preserve"> session) </w:t>
            </w:r>
            <w:r w:rsidRPr="00733B7D">
              <w:rPr>
                <w:lang w:val="it-CH"/>
              </w:rPr>
              <w:t>(Switzerland)</w:t>
            </w:r>
          </w:p>
        </w:tc>
      </w:tr>
      <w:tr w:rsidR="008208BE" w:rsidRPr="008D19C2" w14:paraId="291138D6" w14:textId="77777777" w:rsidTr="008208BE">
        <w:trPr>
          <w:trHeight w:val="60"/>
          <w:jc w:val="center"/>
        </w:trPr>
        <w:tc>
          <w:tcPr>
            <w:tcW w:w="9637" w:type="dxa"/>
            <w:tcBorders>
              <w:top w:val="nil"/>
            </w:tcBorders>
          </w:tcPr>
          <w:p w14:paraId="628BD257" w14:textId="77777777" w:rsidR="008208BE" w:rsidRPr="00733B7D" w:rsidRDefault="008208BE" w:rsidP="00712492">
            <w:pPr>
              <w:suppressAutoHyphens w:val="0"/>
              <w:rPr>
                <w:lang w:val="it-CH"/>
              </w:rPr>
            </w:pPr>
          </w:p>
        </w:tc>
      </w:tr>
    </w:tbl>
    <w:p w14:paraId="14BE2C6E" w14:textId="77777777" w:rsidR="008208BE" w:rsidRPr="009B4433" w:rsidRDefault="008208BE" w:rsidP="008208BE">
      <w:pPr>
        <w:pStyle w:val="HChG"/>
      </w:pPr>
      <w:r w:rsidRPr="00733B7D">
        <w:rPr>
          <w:lang w:val="it-CH"/>
        </w:rPr>
        <w:lastRenderedPageBreak/>
        <w:tab/>
      </w:r>
      <w:r w:rsidRPr="00733B7D">
        <w:rPr>
          <w:lang w:val="it-CH"/>
        </w:rPr>
        <w:tab/>
      </w:r>
      <w:r w:rsidRPr="009B4433">
        <w:t>Introduction</w:t>
      </w:r>
    </w:p>
    <w:p w14:paraId="5EBB44C3" w14:textId="37E7E4A2" w:rsidR="008208BE" w:rsidRPr="009B4433" w:rsidRDefault="008208BE" w:rsidP="008208BE">
      <w:pPr>
        <w:pStyle w:val="SingleTxtG"/>
      </w:pPr>
      <w:r>
        <w:t>1.</w:t>
      </w:r>
      <w:r>
        <w:tab/>
      </w:r>
      <w:r w:rsidR="009F0551">
        <w:t>At the fifty-third session</w:t>
      </w:r>
      <w:r w:rsidRPr="009B4433">
        <w:t xml:space="preserve"> of the Sub-Committee, the expert from Switzerland presented two informal documents </w:t>
      </w:r>
      <w:r w:rsidRPr="009B4433">
        <w:rPr>
          <w:w w:val="105"/>
          <w:szCs w:val="28"/>
        </w:rPr>
        <w:t>INF</w:t>
      </w:r>
      <w:r w:rsidR="009F0551">
        <w:rPr>
          <w:w w:val="105"/>
          <w:szCs w:val="28"/>
        </w:rPr>
        <w:t>.</w:t>
      </w:r>
      <w:r w:rsidRPr="009B4433">
        <w:rPr>
          <w:w w:val="105"/>
          <w:szCs w:val="28"/>
        </w:rPr>
        <w:t>45</w:t>
      </w:r>
      <w:r w:rsidRPr="009B4433">
        <w:t xml:space="preserve"> and </w:t>
      </w:r>
      <w:r w:rsidRPr="009B4433">
        <w:rPr>
          <w:w w:val="105"/>
          <w:szCs w:val="28"/>
        </w:rPr>
        <w:t>INF</w:t>
      </w:r>
      <w:r w:rsidR="009F0551">
        <w:rPr>
          <w:w w:val="105"/>
          <w:szCs w:val="28"/>
        </w:rPr>
        <w:t>.45/</w:t>
      </w:r>
      <w:r w:rsidRPr="009B4433">
        <w:rPr>
          <w:w w:val="105"/>
          <w:szCs w:val="28"/>
        </w:rPr>
        <w:t>Add.1</w:t>
      </w:r>
      <w:r>
        <w:rPr>
          <w:w w:val="105"/>
          <w:szCs w:val="28"/>
        </w:rPr>
        <w:t xml:space="preserve"> </w:t>
      </w:r>
      <w:r w:rsidRPr="009B4433">
        <w:t xml:space="preserve">proposing to exempt the carriage of cells and batteries containing sodium tetrachloroaluminate in a cold state form the Regulations.  These presented informal documents provided: </w:t>
      </w:r>
    </w:p>
    <w:p w14:paraId="5149CDA5" w14:textId="77777777" w:rsidR="008208BE" w:rsidRPr="009B4433" w:rsidRDefault="008208BE" w:rsidP="008208BE">
      <w:pPr>
        <w:pStyle w:val="SingleTxtG"/>
        <w:ind w:left="2268" w:hanging="567"/>
      </w:pPr>
      <w:r w:rsidRPr="009B4433">
        <w:t>(a)</w:t>
      </w:r>
      <w:r w:rsidRPr="009B4433">
        <w:tab/>
        <w:t>A hystory of Sodium/Nickel Chloride battery technology and its classification UN 3292;</w:t>
      </w:r>
    </w:p>
    <w:p w14:paraId="176326DC" w14:textId="77777777" w:rsidR="008208BE" w:rsidRPr="009B4433" w:rsidRDefault="008208BE" w:rsidP="008208BE">
      <w:pPr>
        <w:pStyle w:val="SingleTxtG"/>
        <w:ind w:left="2268" w:hanging="567"/>
      </w:pPr>
      <w:r w:rsidRPr="009B4433">
        <w:t xml:space="preserve">(b) </w:t>
      </w:r>
      <w:r w:rsidRPr="009B4433">
        <w:tab/>
        <w:t>A background to Sodium/Nickel Chloride battery technology and composition;</w:t>
      </w:r>
    </w:p>
    <w:p w14:paraId="51D67952" w14:textId="77777777" w:rsidR="008208BE" w:rsidRPr="009B4433" w:rsidRDefault="008208BE" w:rsidP="008208BE">
      <w:pPr>
        <w:pStyle w:val="SingleTxtG"/>
        <w:ind w:left="2268" w:hanging="567"/>
      </w:pPr>
      <w:r w:rsidRPr="009B4433">
        <w:t>(c)</w:t>
      </w:r>
      <w:r w:rsidRPr="009B4433">
        <w:tab/>
        <w:t xml:space="preserve">Explained the differences in comparison to sodium-sulphur battery technology; </w:t>
      </w:r>
    </w:p>
    <w:p w14:paraId="2BF92FDB" w14:textId="1A671497" w:rsidR="008208BE" w:rsidRPr="009B4433" w:rsidRDefault="008208BE" w:rsidP="008208BE">
      <w:pPr>
        <w:pStyle w:val="SingleTxtG"/>
        <w:ind w:left="2268" w:hanging="567"/>
      </w:pPr>
      <w:r w:rsidRPr="009B4433">
        <w:t>(d)</w:t>
      </w:r>
      <w:r w:rsidRPr="009B4433">
        <w:tab/>
        <w:t xml:space="preserve">Explained the status of "non-battery" in "cold" state (temperature lower </w:t>
      </w:r>
      <w:r>
        <w:t xml:space="preserve">than 90 °C) since </w:t>
      </w:r>
      <w:r w:rsidRPr="009B4433">
        <w:t xml:space="preserve">there is no possibility of any current to circulate through the cell at room temperature; </w:t>
      </w:r>
    </w:p>
    <w:p w14:paraId="11ADC212" w14:textId="77777777" w:rsidR="008208BE" w:rsidRPr="009B4433" w:rsidRDefault="008208BE" w:rsidP="008208BE">
      <w:pPr>
        <w:pStyle w:val="SingleTxtG"/>
        <w:ind w:left="2268" w:hanging="567"/>
      </w:pPr>
      <w:r w:rsidRPr="009B4433">
        <w:t xml:space="preserve">(e) </w:t>
      </w:r>
      <w:r w:rsidRPr="009B4433">
        <w:tab/>
        <w:t xml:space="preserve">Showed market overview and applications, with a fast growing cell demand in the next years; and </w:t>
      </w:r>
    </w:p>
    <w:p w14:paraId="51FAFA64" w14:textId="77777777" w:rsidR="008208BE" w:rsidRPr="009B4433" w:rsidRDefault="008208BE" w:rsidP="008208BE">
      <w:pPr>
        <w:pStyle w:val="SingleTxtG"/>
        <w:ind w:left="2268" w:hanging="567"/>
      </w:pPr>
      <w:r w:rsidRPr="009B4433">
        <w:t>(f)</w:t>
      </w:r>
      <w:r w:rsidRPr="009B4433">
        <w:tab/>
        <w:t>Reported additional safety consideration during operation and examples of tests performed.</w:t>
      </w:r>
    </w:p>
    <w:p w14:paraId="24649D9B" w14:textId="3BF230B7" w:rsidR="008208BE" w:rsidRPr="009B4433" w:rsidRDefault="008208BE" w:rsidP="008208BE">
      <w:pPr>
        <w:pStyle w:val="SingleTxtG"/>
      </w:pPr>
      <w:r>
        <w:t>2.</w:t>
      </w:r>
      <w:r>
        <w:tab/>
      </w:r>
      <w:r w:rsidRPr="009B4433">
        <w:t>During the discussion the risk of electrochemical reaction in the case of cold transport was excluded and experts who took the floor noted that a certain amount of sodium remained in the battery even at the discharged state and consequently the chemical hazard could not be ignored.</w:t>
      </w:r>
    </w:p>
    <w:p w14:paraId="42FEFD87" w14:textId="1DBBE03B" w:rsidR="008208BE" w:rsidRPr="009B4433" w:rsidRDefault="008208BE" w:rsidP="008208BE">
      <w:pPr>
        <w:pStyle w:val="SingleTxtG"/>
      </w:pPr>
      <w:r>
        <w:t>3.</w:t>
      </w:r>
      <w:r>
        <w:tab/>
      </w:r>
      <w:r w:rsidRPr="009B4433">
        <w:t>We stressed the fact that no incidents related to the transport of this type of cells and batteries h</w:t>
      </w:r>
      <w:r w:rsidR="009F0551">
        <w:t>ad been reported for many years. T</w:t>
      </w:r>
      <w:r w:rsidRPr="009B4433">
        <w:t>his safety record should be borne in mind when consid</w:t>
      </w:r>
      <w:r>
        <w:t xml:space="preserve">ering less stringent transport </w:t>
      </w:r>
      <w:r w:rsidRPr="009B4433">
        <w:t>requirements.</w:t>
      </w:r>
    </w:p>
    <w:p w14:paraId="4B51030D" w14:textId="2C1AE3D4" w:rsidR="008208BE" w:rsidRPr="009B4433" w:rsidRDefault="008208BE" w:rsidP="008208BE">
      <w:pPr>
        <w:pStyle w:val="SingleTxtG"/>
      </w:pPr>
      <w:r>
        <w:t>4.</w:t>
      </w:r>
      <w:r>
        <w:tab/>
      </w:r>
      <w:r w:rsidRPr="009B4433">
        <w:t>On the risk generated by the presence of metallic sodium during transport, we remind you that the amount of sodium in the discharged state is around 7 g (1% of the cell weight) while in the charged state is 40 g (6% of the cell weight)</w:t>
      </w:r>
      <w:r>
        <w:t>.</w:t>
      </w:r>
      <w:r w:rsidRPr="009B4433">
        <w:t xml:space="preserve"> </w:t>
      </w:r>
    </w:p>
    <w:p w14:paraId="7DEEEFD9" w14:textId="7EB9EC0B" w:rsidR="008208BE" w:rsidRPr="009B4433" w:rsidRDefault="008208BE" w:rsidP="008208BE">
      <w:pPr>
        <w:pStyle w:val="SingleTxtG"/>
      </w:pPr>
      <w:r>
        <w:t>5.</w:t>
      </w:r>
      <w:r>
        <w:tab/>
      </w:r>
      <w:r w:rsidRPr="009B4433">
        <w:t>The battery is not a container of chemicals but a complex system designed to also withstand stress and accidents, overcoming the tests conducted by third-party bodies of international importance according to specific standards, in particular:</w:t>
      </w:r>
    </w:p>
    <w:p w14:paraId="527447C6" w14:textId="54B371A0" w:rsidR="008208BE" w:rsidRPr="00834DE4" w:rsidRDefault="008208BE" w:rsidP="00834DE4">
      <w:pPr>
        <w:pStyle w:val="Bullet1G"/>
      </w:pPr>
      <w:r w:rsidRPr="00834DE4">
        <w:t>Crash Barrier Penetration</w:t>
      </w:r>
    </w:p>
    <w:p w14:paraId="51F25F27" w14:textId="7E677385" w:rsidR="008208BE" w:rsidRPr="00834DE4" w:rsidRDefault="008208BE" w:rsidP="00834DE4">
      <w:pPr>
        <w:pStyle w:val="Bullet1G"/>
      </w:pPr>
      <w:r w:rsidRPr="00834DE4">
        <w:t>Drop Test (10m)</w:t>
      </w:r>
    </w:p>
    <w:p w14:paraId="5A394E68" w14:textId="189E9BFD" w:rsidR="008208BE" w:rsidRPr="00834DE4" w:rsidRDefault="008208BE" w:rsidP="00834DE4">
      <w:pPr>
        <w:pStyle w:val="Bullet1G"/>
      </w:pPr>
      <w:r w:rsidRPr="00834DE4">
        <w:t>EuroNCAP Crash Test</w:t>
      </w:r>
    </w:p>
    <w:p w14:paraId="6381D38E" w14:textId="24B0CC78" w:rsidR="008208BE" w:rsidRPr="00834DE4" w:rsidRDefault="008208BE" w:rsidP="00834DE4">
      <w:pPr>
        <w:pStyle w:val="Bullet1G"/>
      </w:pPr>
      <w:r w:rsidRPr="00834DE4">
        <w:t>Vibration Test</w:t>
      </w:r>
    </w:p>
    <w:p w14:paraId="069DDE62" w14:textId="6D1DC2A3" w:rsidR="008208BE" w:rsidRPr="00834DE4" w:rsidRDefault="008208BE" w:rsidP="00834DE4">
      <w:pPr>
        <w:pStyle w:val="Bullet1G"/>
      </w:pPr>
      <w:r w:rsidRPr="00834DE4">
        <w:t>Petrol Fire Test</w:t>
      </w:r>
    </w:p>
    <w:p w14:paraId="71690960" w14:textId="5911826B" w:rsidR="008208BE" w:rsidRPr="00834DE4" w:rsidRDefault="008208BE" w:rsidP="00834DE4">
      <w:pPr>
        <w:pStyle w:val="Bullet1G"/>
      </w:pPr>
      <w:r w:rsidRPr="00834DE4">
        <w:t>Salt Water Immersion Test</w:t>
      </w:r>
    </w:p>
    <w:p w14:paraId="6599956B" w14:textId="7DB36BA8" w:rsidR="008208BE" w:rsidRPr="00834DE4" w:rsidRDefault="008208BE" w:rsidP="00834DE4">
      <w:pPr>
        <w:pStyle w:val="Bullet1G"/>
      </w:pPr>
      <w:r w:rsidRPr="00834DE4">
        <w:t>Fire Extinguishing on a Damaged Battery</w:t>
      </w:r>
    </w:p>
    <w:p w14:paraId="5006194A" w14:textId="1881BC22" w:rsidR="008208BE" w:rsidRPr="00834DE4" w:rsidRDefault="008208BE" w:rsidP="00834DE4">
      <w:pPr>
        <w:pStyle w:val="Bullet1G"/>
      </w:pPr>
      <w:r w:rsidRPr="00834DE4">
        <w:t>Shock Test</w:t>
      </w:r>
    </w:p>
    <w:p w14:paraId="1505098C" w14:textId="42680880" w:rsidR="008208BE" w:rsidRPr="00834DE4" w:rsidRDefault="008208BE" w:rsidP="00834DE4">
      <w:pPr>
        <w:pStyle w:val="Bullet1G"/>
      </w:pPr>
      <w:r w:rsidRPr="00834DE4">
        <w:t>Impact Test</w:t>
      </w:r>
    </w:p>
    <w:p w14:paraId="7D4BF548" w14:textId="77777777" w:rsidR="008208BE" w:rsidRPr="009B4433" w:rsidRDefault="008208BE" w:rsidP="008208BE">
      <w:pPr>
        <w:widowControl w:val="0"/>
        <w:suppressAutoHyphens w:val="0"/>
        <w:autoSpaceDE w:val="0"/>
        <w:autoSpaceDN w:val="0"/>
        <w:adjustRightInd w:val="0"/>
        <w:spacing w:line="240" w:lineRule="auto"/>
        <w:ind w:left="1134"/>
        <w:rPr>
          <w:rFonts w:cs="Times"/>
          <w:szCs w:val="32"/>
        </w:rPr>
      </w:pPr>
    </w:p>
    <w:p w14:paraId="660DB88D" w14:textId="43649370" w:rsidR="008208BE" w:rsidRDefault="008208BE" w:rsidP="008208BE">
      <w:pPr>
        <w:pStyle w:val="SingleTxtG"/>
      </w:pPr>
      <w:r>
        <w:lastRenderedPageBreak/>
        <w:t>6.</w:t>
      </w:r>
      <w:r>
        <w:tab/>
      </w:r>
      <w:r w:rsidRPr="009B4433">
        <w:t>However, if we want to make some comparisons with the provisions for the transport of sodium/nickel chloride batteries and other types of batteries, we see that it satisfies the safety requirements, and this can explain the lack of accident reports.</w:t>
      </w:r>
    </w:p>
    <w:p w14:paraId="0C66518E" w14:textId="323B940B" w:rsidR="008208BE" w:rsidRPr="009B4433" w:rsidRDefault="008208BE" w:rsidP="008208BE">
      <w:pPr>
        <w:pStyle w:val="H1G"/>
      </w:pPr>
      <w:r>
        <w:tab/>
      </w:r>
      <w:r>
        <w:tab/>
      </w:r>
      <w:r w:rsidRPr="009B4433">
        <w:t xml:space="preserve">Packagings </w:t>
      </w:r>
    </w:p>
    <w:p w14:paraId="4C537181" w14:textId="1F0B4246" w:rsidR="008208BE" w:rsidRPr="009B4433" w:rsidRDefault="008208BE" w:rsidP="008208BE">
      <w:pPr>
        <w:pStyle w:val="SingleTxtG"/>
      </w:pPr>
      <w:r>
        <w:t>7.</w:t>
      </w:r>
      <w:r>
        <w:tab/>
      </w:r>
      <w:r w:rsidRPr="009B4433">
        <w:t>The sodium/nickel chloride battery container is very robust, in fact, when compared to the packagings required for sodium metal we see that:</w:t>
      </w:r>
    </w:p>
    <w:p w14:paraId="38362F31" w14:textId="57E054F7" w:rsidR="008208BE" w:rsidRPr="009B4433" w:rsidRDefault="008208BE" w:rsidP="008208BE">
      <w:pPr>
        <w:pStyle w:val="SingleTxtG"/>
      </w:pPr>
      <w:r>
        <w:t>8.</w:t>
      </w:r>
      <w:r>
        <w:tab/>
      </w:r>
      <w:r w:rsidRPr="009B4433">
        <w:t xml:space="preserve">For sodium metal (UN 1428), an approved packaging of </w:t>
      </w:r>
      <w:r w:rsidR="009F0551">
        <w:t>packing group (PG)</w:t>
      </w:r>
      <w:r w:rsidRPr="009B4433">
        <w:t xml:space="preserve"> I is required, which must pass drop tests of 1.8 m</w:t>
      </w:r>
      <w:r>
        <w:t>. Relating to</w:t>
      </w:r>
      <w:r w:rsidRPr="00495F2D">
        <w:t xml:space="preserve"> the </w:t>
      </w:r>
      <w:r>
        <w:t>packing provisions</w:t>
      </w:r>
      <w:r w:rsidRPr="00495F2D">
        <w:t>, it is not</w:t>
      </w:r>
      <w:r>
        <w:t xml:space="preserve">iceable </w:t>
      </w:r>
      <w:r w:rsidRPr="00495F2D">
        <w:t xml:space="preserve">that in accordance </w:t>
      </w:r>
      <w:r>
        <w:t xml:space="preserve">to </w:t>
      </w:r>
      <w:r w:rsidR="009F0551">
        <w:t xml:space="preserve">packing instruction </w:t>
      </w:r>
      <w:r>
        <w:t xml:space="preserve">P408 </w:t>
      </w:r>
      <w:r w:rsidRPr="00495F2D">
        <w:t xml:space="preserve">applicable </w:t>
      </w:r>
      <w:r>
        <w:t xml:space="preserve">to </w:t>
      </w:r>
      <w:r w:rsidRPr="00495F2D">
        <w:t>sodium batteries</w:t>
      </w:r>
      <w:r>
        <w:t xml:space="preserve"> (UN 3292)</w:t>
      </w:r>
      <w:r w:rsidRPr="00495F2D">
        <w:t xml:space="preserve">, they can be transported </w:t>
      </w:r>
      <w:r>
        <w:t xml:space="preserve">as well </w:t>
      </w:r>
      <w:r w:rsidRPr="00495F2D">
        <w:t xml:space="preserve">in packaging that </w:t>
      </w:r>
      <w:r>
        <w:t xml:space="preserve">do not need to </w:t>
      </w:r>
      <w:r w:rsidRPr="00495F2D">
        <w:t xml:space="preserve">satisfy </w:t>
      </w:r>
      <w:r>
        <w:t xml:space="preserve">PG I but only PG II, or even unpacked </w:t>
      </w:r>
      <w:r w:rsidRPr="00495F2D">
        <w:t xml:space="preserve">or </w:t>
      </w:r>
      <w:r>
        <w:t xml:space="preserve">simply in </w:t>
      </w:r>
      <w:r w:rsidRPr="00495F2D">
        <w:t xml:space="preserve">protective </w:t>
      </w:r>
      <w:r>
        <w:t>enclosures which do not need to satisfy the approval requirements of 4.1.1.3. This differences in treatment of the risks between metallic sodium and sodium in batteries demonstrates alone that the regulations already have considered that the risk presented by transports of metallic sodium are not comparable to the risks of transports of sodium in batteries. If, as it is the case, it can in addition be established that a specific kind and construction of batteries brings even more safety, this should be taken in consideration by the experts in order to allow more relaxation.</w:t>
      </w:r>
    </w:p>
    <w:p w14:paraId="11BD2FAA" w14:textId="6F90E31C" w:rsidR="008208BE" w:rsidRPr="009B4433" w:rsidRDefault="008208BE" w:rsidP="008208BE">
      <w:pPr>
        <w:pStyle w:val="SingleTxtG"/>
      </w:pPr>
      <w:r>
        <w:t>9.</w:t>
      </w:r>
      <w:r>
        <w:tab/>
      </w:r>
      <w:r w:rsidRPr="009B4433">
        <w:t>Sodium/nickel chloride batteries have overcome drop te</w:t>
      </w:r>
      <w:r>
        <w:t>s</w:t>
      </w:r>
      <w:r w:rsidRPr="009B4433">
        <w:t xml:space="preserve">ts from much higher heights, as documented in </w:t>
      </w:r>
      <w:r w:rsidR="009F0551">
        <w:t>informal document INF.8,</w:t>
      </w:r>
      <w:r w:rsidRPr="009B4433">
        <w:t xml:space="preserve"> the batteries have passed the following tests:</w:t>
      </w:r>
    </w:p>
    <w:p w14:paraId="21DA3D77" w14:textId="52041374" w:rsidR="008208BE" w:rsidRPr="009B4433" w:rsidRDefault="008208BE" w:rsidP="008208BE">
      <w:pPr>
        <w:pStyle w:val="SingleTxtG"/>
      </w:pPr>
      <w:r>
        <w:t>10.</w:t>
      </w:r>
      <w:r>
        <w:tab/>
        <w:t>T</w:t>
      </w:r>
      <w:r w:rsidRPr="009B4433">
        <w:t xml:space="preserve">est </w:t>
      </w:r>
      <w:r w:rsidR="009F0551">
        <w:t xml:space="preserve">No. </w:t>
      </w:r>
      <w:r w:rsidRPr="009B4433">
        <w:t xml:space="preserve">1 </w:t>
      </w:r>
      <w:r w:rsidRPr="009B4433">
        <w:rPr>
          <w:color w:val="000000"/>
        </w:rPr>
        <w:t>was intended to simulate the effects of a side impact from a height of 9.8 meters onto the end of a 1 meter long section of Arm coTM crash barrier so that the barrier impacted the center of the battery's side;</w:t>
      </w:r>
    </w:p>
    <w:p w14:paraId="4C74B441" w14:textId="04F20B9D" w:rsidR="008208BE" w:rsidRPr="009B4433" w:rsidRDefault="008208BE" w:rsidP="008208BE">
      <w:pPr>
        <w:pStyle w:val="SingleTxtG"/>
      </w:pPr>
      <w:r>
        <w:rPr>
          <w:color w:val="000000"/>
        </w:rPr>
        <w:t>11.</w:t>
      </w:r>
      <w:r>
        <w:rPr>
          <w:color w:val="000000"/>
        </w:rPr>
        <w:tab/>
        <w:t>T</w:t>
      </w:r>
      <w:r w:rsidRPr="009B4433">
        <w:rPr>
          <w:color w:val="000000"/>
        </w:rPr>
        <w:t>est</w:t>
      </w:r>
      <w:r>
        <w:rPr>
          <w:color w:val="000000"/>
        </w:rPr>
        <w:t xml:space="preserve"> </w:t>
      </w:r>
      <w:r w:rsidR="009F0551">
        <w:rPr>
          <w:color w:val="000000"/>
        </w:rPr>
        <w:t xml:space="preserve">No. </w:t>
      </w:r>
      <w:r w:rsidRPr="009B4433">
        <w:rPr>
          <w:color w:val="000000"/>
        </w:rPr>
        <w:t>3 was intended to simulate the effects of a side impact into a pole or tree, dropping the battery from a height of 10 meters onto a rigid 150-mm radius half-cylinder</w:t>
      </w:r>
    </w:p>
    <w:p w14:paraId="3433FA08" w14:textId="073149A2" w:rsidR="008208BE" w:rsidRPr="009B4433" w:rsidRDefault="00834DE4" w:rsidP="00834DE4">
      <w:pPr>
        <w:pStyle w:val="SingleTxtG"/>
        <w:rPr>
          <w:b/>
        </w:rPr>
      </w:pPr>
      <w:r>
        <w:tab/>
        <w:t>12.</w:t>
      </w:r>
      <w:r>
        <w:tab/>
      </w:r>
      <w:r w:rsidR="008208BE" w:rsidRPr="009B4433">
        <w:t>In addition, cells and batteries pass Impact (</w:t>
      </w:r>
      <w:r w:rsidR="009F0551">
        <w:t xml:space="preserve">Test No. </w:t>
      </w:r>
      <w:r w:rsidR="008208BE" w:rsidRPr="009B4433">
        <w:t>11), Shock (</w:t>
      </w:r>
      <w:r w:rsidR="009F0551">
        <w:t>Tests No.</w:t>
      </w:r>
      <w:r w:rsidR="008208BE" w:rsidRPr="009B4433">
        <w:t xml:space="preserve"> 9, </w:t>
      </w:r>
      <w:r w:rsidR="009F0551">
        <w:t>No.</w:t>
      </w:r>
      <w:r w:rsidR="008208BE" w:rsidRPr="009B4433">
        <w:t xml:space="preserve"> 14), Crush (</w:t>
      </w:r>
      <w:r w:rsidR="009F0551">
        <w:t>Tests No.</w:t>
      </w:r>
      <w:r w:rsidR="008208BE" w:rsidRPr="009B4433">
        <w:t xml:space="preserve"> 7, </w:t>
      </w:r>
      <w:r w:rsidR="009F0551">
        <w:t>No.</w:t>
      </w:r>
      <w:r w:rsidR="008208BE" w:rsidRPr="009B4433">
        <w:t xml:space="preserve"> 10, </w:t>
      </w:r>
      <w:r w:rsidR="009F0551">
        <w:t>No.</w:t>
      </w:r>
      <w:r w:rsidR="008208BE" w:rsidRPr="009B4433">
        <w:t xml:space="preserve"> 15) tests provided by other standards on "hot" batteri</w:t>
      </w:r>
      <w:r w:rsidR="008208BE">
        <w:t>e</w:t>
      </w:r>
      <w:r w:rsidR="008208BE" w:rsidRPr="009B4433">
        <w:t>s, thus under more critical conditions.</w:t>
      </w:r>
    </w:p>
    <w:p w14:paraId="490BC545" w14:textId="12CB2BEF" w:rsidR="008208BE" w:rsidRPr="009B4433" w:rsidRDefault="008208BE" w:rsidP="008208BE">
      <w:pPr>
        <w:pStyle w:val="H1G"/>
      </w:pPr>
      <w:r>
        <w:tab/>
      </w:r>
      <w:r>
        <w:tab/>
      </w:r>
      <w:r w:rsidR="009F0551">
        <w:t>Immersion in w</w:t>
      </w:r>
      <w:r w:rsidRPr="009B4433">
        <w:t xml:space="preserve">ater </w:t>
      </w:r>
    </w:p>
    <w:p w14:paraId="639BC307" w14:textId="623AB11B" w:rsidR="008208BE" w:rsidRPr="009B4433" w:rsidRDefault="00834DE4" w:rsidP="00834DE4">
      <w:pPr>
        <w:pStyle w:val="SingleTxtG"/>
      </w:pPr>
      <w:r>
        <w:tab/>
        <w:t>13.</w:t>
      </w:r>
      <w:r>
        <w:tab/>
      </w:r>
      <w:r w:rsidR="008208BE" w:rsidRPr="009B4433">
        <w:t>The cells and the intact batteries are sealed in a stainless steel container and do not present problems in contact with water and pass immersion tests for 3 hours in salt water (</w:t>
      </w:r>
      <w:r w:rsidR="009F0551">
        <w:t xml:space="preserve">Tests No. 5, </w:t>
      </w:r>
      <w:r w:rsidR="008208BE" w:rsidRPr="009B4433">
        <w:t>17)</w:t>
      </w:r>
    </w:p>
    <w:p w14:paraId="6995D103" w14:textId="78A76061" w:rsidR="008208BE" w:rsidRPr="009B4433" w:rsidRDefault="00834DE4" w:rsidP="00834DE4">
      <w:pPr>
        <w:pStyle w:val="SingleTxtG"/>
      </w:pPr>
      <w:r>
        <w:tab/>
        <w:t>14.</w:t>
      </w:r>
      <w:r>
        <w:tab/>
      </w:r>
      <w:r w:rsidR="008208BE" w:rsidRPr="009B4433">
        <w:t>Damaged batteries have shown not to react with an aqueous foam fire fighting agent on a fully charged battery by piercing it with a hydraulic ram</w:t>
      </w:r>
      <w:r w:rsidR="008208BE" w:rsidRPr="009B4433">
        <w:rPr>
          <w:color w:val="000000"/>
        </w:rPr>
        <w:t xml:space="preserve"> with drawing the pike, and applying the contents of two `Chubb" handheld fire extingu</w:t>
      </w:r>
      <w:r w:rsidR="009F0551">
        <w:rPr>
          <w:color w:val="000000"/>
        </w:rPr>
        <w:t>ishers—dispensing a total of 18 </w:t>
      </w:r>
      <w:r w:rsidR="008208BE" w:rsidRPr="009B4433">
        <w:rPr>
          <w:color w:val="000000"/>
        </w:rPr>
        <w:t>kg of aqueous foam, the entire contents of the extinguishers —at 3-minute intervals over a 30-minute duration (</w:t>
      </w:r>
      <w:r w:rsidR="009F0551">
        <w:rPr>
          <w:color w:val="000000"/>
        </w:rPr>
        <w:t xml:space="preserve">Test No. </w:t>
      </w:r>
      <w:r w:rsidR="008208BE" w:rsidRPr="009B4433">
        <w:rPr>
          <w:color w:val="000000"/>
        </w:rPr>
        <w:t>2)</w:t>
      </w:r>
    </w:p>
    <w:p w14:paraId="33804864" w14:textId="18F87413" w:rsidR="008208BE" w:rsidRPr="009B4433" w:rsidRDefault="008208BE" w:rsidP="008208BE">
      <w:pPr>
        <w:pStyle w:val="H1G"/>
      </w:pPr>
      <w:r>
        <w:tab/>
      </w:r>
      <w:r>
        <w:tab/>
        <w:t>Resista</w:t>
      </w:r>
      <w:r w:rsidRPr="009B4433">
        <w:t>nce</w:t>
      </w:r>
      <w:r>
        <w:t xml:space="preserve"> to Fire</w:t>
      </w:r>
    </w:p>
    <w:p w14:paraId="5B65F82C" w14:textId="7EB80255" w:rsidR="008208BE" w:rsidRPr="009B4433" w:rsidRDefault="00834DE4" w:rsidP="00834DE4">
      <w:pPr>
        <w:pStyle w:val="SingleTxtG"/>
      </w:pPr>
      <w:r>
        <w:tab/>
        <w:t>15.</w:t>
      </w:r>
      <w:r>
        <w:tab/>
      </w:r>
      <w:r w:rsidR="008208BE" w:rsidRPr="009B4433">
        <w:t>F</w:t>
      </w:r>
      <w:r w:rsidR="008208BE" w:rsidRPr="009B4433">
        <w:rPr>
          <w:color w:val="000000"/>
        </w:rPr>
        <w:t>ully charged, fully operati</w:t>
      </w:r>
      <w:r w:rsidR="009F0551">
        <w:rPr>
          <w:color w:val="000000"/>
        </w:rPr>
        <w:t xml:space="preserve">onal batteries passed the test No. </w:t>
      </w:r>
      <w:r w:rsidR="008208BE" w:rsidRPr="009B4433">
        <w:rPr>
          <w:color w:val="000000"/>
        </w:rPr>
        <w:t>4, suspended 400 mm above a tray containing burning gasoline, and maintained there for 30 minutes. The battery case vacuum was also released to include the loss of its insulating effect</w:t>
      </w:r>
      <w:r w:rsidR="009F0551">
        <w:rPr>
          <w:color w:val="000000"/>
        </w:rPr>
        <w:t xml:space="preserve">. Same positive result in test No. </w:t>
      </w:r>
      <w:r w:rsidR="008208BE" w:rsidRPr="009B4433">
        <w:rPr>
          <w:color w:val="000000"/>
        </w:rPr>
        <w:t>16.</w:t>
      </w:r>
    </w:p>
    <w:p w14:paraId="71EE93A3" w14:textId="65D531D8" w:rsidR="008208BE" w:rsidRPr="009B4433" w:rsidRDefault="008208BE" w:rsidP="008208BE">
      <w:pPr>
        <w:pStyle w:val="H1G"/>
      </w:pPr>
      <w:r>
        <w:lastRenderedPageBreak/>
        <w:tab/>
      </w:r>
      <w:r>
        <w:tab/>
      </w:r>
      <w:r w:rsidRPr="009B4433">
        <w:t>Vibration</w:t>
      </w:r>
    </w:p>
    <w:p w14:paraId="68A2C461" w14:textId="289656F4" w:rsidR="008208BE" w:rsidRPr="009B4433" w:rsidRDefault="00834DE4" w:rsidP="00834DE4">
      <w:pPr>
        <w:pStyle w:val="SingleTxtG"/>
      </w:pPr>
      <w:r>
        <w:rPr>
          <w:color w:val="000000"/>
        </w:rPr>
        <w:tab/>
        <w:t>16.</w:t>
      </w:r>
      <w:r>
        <w:rPr>
          <w:color w:val="000000"/>
        </w:rPr>
        <w:tab/>
      </w:r>
      <w:r w:rsidR="008208BE" w:rsidRPr="009B4433">
        <w:rPr>
          <w:color w:val="000000"/>
        </w:rPr>
        <w:t xml:space="preserve">Many tests have been conducted on </w:t>
      </w:r>
      <w:r w:rsidR="008208BE" w:rsidRPr="009B4433">
        <w:t>sodium/nickel chloride batteries</w:t>
      </w:r>
      <w:r w:rsidR="008208BE">
        <w:t xml:space="preserve"> </w:t>
      </w:r>
      <w:r w:rsidR="009F0551">
        <w:rPr>
          <w:color w:val="000000"/>
        </w:rPr>
        <w:t>(Tests Nos. 6, 8, 12, 12,</w:t>
      </w:r>
      <w:r w:rsidR="008208BE" w:rsidRPr="009B4433">
        <w:rPr>
          <w:color w:val="000000"/>
        </w:rPr>
        <w:t xml:space="preserve"> 13) following different standards, and all exceed the requirements, a test in particular has the same parameters as expected from </w:t>
      </w:r>
      <w:r w:rsidR="009F0551">
        <w:rPr>
          <w:color w:val="000000"/>
        </w:rPr>
        <w:t>special provision (</w:t>
      </w:r>
      <w:r w:rsidR="008208BE" w:rsidRPr="009B4433">
        <w:rPr>
          <w:color w:val="000000"/>
        </w:rPr>
        <w:t>SP</w:t>
      </w:r>
      <w:r w:rsidR="009F0551">
        <w:rPr>
          <w:color w:val="000000"/>
        </w:rPr>
        <w:t>)</w:t>
      </w:r>
      <w:r w:rsidR="008208BE" w:rsidRPr="009B4433">
        <w:rPr>
          <w:color w:val="000000"/>
        </w:rPr>
        <w:t xml:space="preserve"> 238 to classify "non spillable" batteries. "Non spillable" batteries are excluded from the regulation of the transport of dangerous goods if they pass the vibration and differential pressure tests and if no liquid escapes from the broken container.</w:t>
      </w:r>
    </w:p>
    <w:p w14:paraId="4754BA4B" w14:textId="0DEF9C16" w:rsidR="008208BE" w:rsidRPr="009B4433" w:rsidRDefault="008208BE" w:rsidP="008208BE">
      <w:pPr>
        <w:pStyle w:val="H1G"/>
      </w:pPr>
      <w:r>
        <w:tab/>
      </w:r>
      <w:r>
        <w:tab/>
      </w:r>
      <w:r w:rsidRPr="009B4433">
        <w:t>Comparisons with other batteries</w:t>
      </w:r>
    </w:p>
    <w:p w14:paraId="187BAF28" w14:textId="6C010066" w:rsidR="008208BE" w:rsidRPr="00A111E7" w:rsidRDefault="008208BE" w:rsidP="008208BE">
      <w:pPr>
        <w:pStyle w:val="H23G"/>
      </w:pPr>
      <w:r>
        <w:tab/>
      </w:r>
      <w:r>
        <w:tab/>
      </w:r>
      <w:r w:rsidR="009F0551">
        <w:t>Non-s</w:t>
      </w:r>
      <w:r w:rsidR="002951FA">
        <w:t>pillable batteries</w:t>
      </w:r>
    </w:p>
    <w:p w14:paraId="5BFB5830" w14:textId="1C25F6A7" w:rsidR="008208BE" w:rsidRPr="009B4433" w:rsidRDefault="00834DE4" w:rsidP="00834DE4">
      <w:pPr>
        <w:pStyle w:val="SingleTxtG"/>
      </w:pPr>
      <w:r>
        <w:tab/>
        <w:t>17.</w:t>
      </w:r>
      <w:r>
        <w:tab/>
      </w:r>
      <w:r w:rsidR="008208BE" w:rsidRPr="009B4433">
        <w:t>Making a comparison with the vibration test for "non-spillable" batteries, the sodium/nickel chloride b</w:t>
      </w:r>
      <w:r w:rsidR="008208BE">
        <w:t>attery pass the test and does not present any leakage</w:t>
      </w:r>
      <w:r w:rsidR="008208BE" w:rsidRPr="009B4433">
        <w:t>, as shown in the following table:</w:t>
      </w:r>
    </w:p>
    <w:tbl>
      <w:tblPr>
        <w:tblStyle w:val="TableGrid"/>
        <w:tblW w:w="0" w:type="auto"/>
        <w:tblInd w:w="1139" w:type="dxa"/>
        <w:tblLayout w:type="fixed"/>
        <w:tblLook w:val="00A0" w:firstRow="1" w:lastRow="0" w:firstColumn="1" w:lastColumn="0" w:noHBand="0" w:noVBand="0"/>
      </w:tblPr>
      <w:tblGrid>
        <w:gridCol w:w="2127"/>
        <w:gridCol w:w="2835"/>
        <w:gridCol w:w="2409"/>
      </w:tblGrid>
      <w:tr w:rsidR="008208BE" w:rsidRPr="009B4433" w14:paraId="4352D1CB" w14:textId="77777777" w:rsidTr="00712492">
        <w:tc>
          <w:tcPr>
            <w:tcW w:w="2127" w:type="dxa"/>
            <w:vAlign w:val="center"/>
          </w:tcPr>
          <w:p w14:paraId="54730E4A" w14:textId="77777777" w:rsidR="008208BE" w:rsidRPr="009B4433" w:rsidRDefault="008208BE" w:rsidP="00712492">
            <w:pPr>
              <w:pStyle w:val="SingleTxtG"/>
              <w:ind w:left="0" w:right="142"/>
              <w:jc w:val="center"/>
            </w:pPr>
            <w:r w:rsidRPr="009B4433">
              <w:t>SP 238</w:t>
            </w:r>
          </w:p>
        </w:tc>
        <w:tc>
          <w:tcPr>
            <w:tcW w:w="2835" w:type="dxa"/>
            <w:vAlign w:val="center"/>
          </w:tcPr>
          <w:p w14:paraId="5CF81974" w14:textId="483B9C0B" w:rsidR="008208BE" w:rsidRPr="009B4433" w:rsidRDefault="009F0551" w:rsidP="00712492">
            <w:pPr>
              <w:pStyle w:val="SingleTxtG"/>
              <w:ind w:left="0" w:right="142"/>
              <w:jc w:val="center"/>
            </w:pPr>
            <w:r>
              <w:t xml:space="preserve">test No. </w:t>
            </w:r>
            <w:r w:rsidR="008208BE" w:rsidRPr="009B4433">
              <w:t xml:space="preserve">8, </w:t>
            </w:r>
            <w:r w:rsidR="008208BE" w:rsidRPr="009B4433">
              <w:rPr>
                <w:color w:val="000000"/>
              </w:rPr>
              <w:t>test reference is UL1973, section B.2.2.2.</w:t>
            </w:r>
          </w:p>
        </w:tc>
        <w:tc>
          <w:tcPr>
            <w:tcW w:w="2409" w:type="dxa"/>
            <w:vAlign w:val="center"/>
          </w:tcPr>
          <w:p w14:paraId="34F5588C" w14:textId="77777777" w:rsidR="008208BE" w:rsidRPr="009B4433" w:rsidRDefault="008208BE" w:rsidP="00712492">
            <w:pPr>
              <w:pStyle w:val="SingleTxtG"/>
              <w:ind w:left="0" w:right="141"/>
              <w:jc w:val="center"/>
            </w:pPr>
            <w:r w:rsidRPr="009B4433">
              <w:t>Note</w:t>
            </w:r>
          </w:p>
        </w:tc>
      </w:tr>
      <w:tr w:rsidR="008208BE" w:rsidRPr="009B4433" w14:paraId="528560E2" w14:textId="77777777" w:rsidTr="00712492">
        <w:tc>
          <w:tcPr>
            <w:tcW w:w="4962" w:type="dxa"/>
            <w:gridSpan w:val="2"/>
            <w:vAlign w:val="center"/>
          </w:tcPr>
          <w:p w14:paraId="5B4737E7" w14:textId="77777777" w:rsidR="008208BE" w:rsidRPr="009B4433" w:rsidRDefault="008208BE" w:rsidP="00712492">
            <w:pPr>
              <w:pStyle w:val="SingleTxtG"/>
              <w:ind w:left="142" w:right="141"/>
              <w:jc w:val="center"/>
            </w:pPr>
            <w:r w:rsidRPr="009B4433">
              <w:t>simple harmonic motion having an amplitude of 0.8 mm (1.6 mm maximum total excursion) is applied. The frequency is varied at the rate of 1 Hz/min between the limits of 10 Hz and 55 Hz. The entire range of frequencies and return is traversed in 95 ± 5 minutes for each mounting position (direction of vibration) of the battery. The battery is tested in three mutually perpendicular positions</w:t>
            </w:r>
          </w:p>
        </w:tc>
        <w:tc>
          <w:tcPr>
            <w:tcW w:w="2409" w:type="dxa"/>
            <w:vAlign w:val="center"/>
          </w:tcPr>
          <w:p w14:paraId="56388CFB" w14:textId="77777777" w:rsidR="008208BE" w:rsidRPr="009B4433" w:rsidRDefault="008208BE" w:rsidP="00712492">
            <w:pPr>
              <w:pStyle w:val="SingleTxtG"/>
              <w:ind w:left="0" w:right="141"/>
              <w:jc w:val="center"/>
            </w:pPr>
            <w:r w:rsidRPr="009B4433">
              <w:t>passed</w:t>
            </w:r>
          </w:p>
        </w:tc>
      </w:tr>
      <w:tr w:rsidR="008208BE" w:rsidRPr="009B4433" w14:paraId="619023DC" w14:textId="77777777" w:rsidTr="00712492">
        <w:tc>
          <w:tcPr>
            <w:tcW w:w="2127" w:type="dxa"/>
            <w:vAlign w:val="center"/>
          </w:tcPr>
          <w:p w14:paraId="61E2A6ED" w14:textId="77777777" w:rsidR="008208BE" w:rsidRPr="009B4433" w:rsidRDefault="008208BE" w:rsidP="00712492">
            <w:pPr>
              <w:pStyle w:val="SingleTxtG"/>
              <w:ind w:left="0" w:right="142"/>
              <w:jc w:val="center"/>
            </w:pPr>
            <w:r w:rsidRPr="009B4433">
              <w:t>Differential pressure</w:t>
            </w:r>
          </w:p>
        </w:tc>
        <w:tc>
          <w:tcPr>
            <w:tcW w:w="2835" w:type="dxa"/>
            <w:vAlign w:val="center"/>
          </w:tcPr>
          <w:p w14:paraId="4F2AB05B" w14:textId="77777777" w:rsidR="008208BE" w:rsidRPr="009B4433" w:rsidRDefault="008208BE" w:rsidP="00712492">
            <w:pPr>
              <w:pStyle w:val="SingleTxtG"/>
              <w:ind w:left="0" w:right="142"/>
              <w:jc w:val="center"/>
            </w:pPr>
            <w:r w:rsidRPr="009B4433">
              <w:t>n/a</w:t>
            </w:r>
          </w:p>
        </w:tc>
        <w:tc>
          <w:tcPr>
            <w:tcW w:w="2409" w:type="dxa"/>
            <w:vAlign w:val="center"/>
          </w:tcPr>
          <w:p w14:paraId="33BC803B" w14:textId="77777777" w:rsidR="008208BE" w:rsidRPr="009B4433" w:rsidRDefault="008208BE" w:rsidP="00712492">
            <w:pPr>
              <w:pStyle w:val="SingleTxtG"/>
              <w:ind w:left="0" w:right="141"/>
              <w:jc w:val="center"/>
            </w:pPr>
            <w:r w:rsidRPr="009B4433">
              <w:t>no valves, the cell is sealed</w:t>
            </w:r>
          </w:p>
        </w:tc>
      </w:tr>
      <w:tr w:rsidR="008208BE" w:rsidRPr="009B4433" w14:paraId="042EDB8B" w14:textId="77777777" w:rsidTr="00712492">
        <w:tc>
          <w:tcPr>
            <w:tcW w:w="2127" w:type="dxa"/>
            <w:vAlign w:val="center"/>
          </w:tcPr>
          <w:p w14:paraId="71BC9340" w14:textId="77777777" w:rsidR="008208BE" w:rsidRPr="009B4433" w:rsidRDefault="008208BE" w:rsidP="00712492">
            <w:pPr>
              <w:pStyle w:val="SingleTxtG"/>
              <w:ind w:left="0" w:right="142"/>
              <w:jc w:val="center"/>
            </w:pPr>
            <w:r w:rsidRPr="009B4433">
              <w:t>Leakage at 55°C</w:t>
            </w:r>
          </w:p>
        </w:tc>
        <w:tc>
          <w:tcPr>
            <w:tcW w:w="2835" w:type="dxa"/>
            <w:vAlign w:val="center"/>
          </w:tcPr>
          <w:p w14:paraId="6A69E067" w14:textId="77777777" w:rsidR="008208BE" w:rsidRPr="009B4433" w:rsidRDefault="008208BE" w:rsidP="00712492">
            <w:pPr>
              <w:pStyle w:val="SingleTxtG"/>
              <w:ind w:left="0" w:right="142"/>
              <w:jc w:val="center"/>
            </w:pPr>
            <w:r w:rsidRPr="009B4433">
              <w:t>n/a</w:t>
            </w:r>
          </w:p>
        </w:tc>
        <w:tc>
          <w:tcPr>
            <w:tcW w:w="2409" w:type="dxa"/>
            <w:vAlign w:val="center"/>
          </w:tcPr>
          <w:p w14:paraId="7AD2CDD2" w14:textId="77777777" w:rsidR="008208BE" w:rsidRPr="009B4433" w:rsidRDefault="008208BE" w:rsidP="00712492">
            <w:pPr>
              <w:pStyle w:val="SingleTxtG"/>
              <w:ind w:left="0" w:right="141"/>
              <w:jc w:val="center"/>
            </w:pPr>
            <w:r w:rsidRPr="009B4433">
              <w:t>all solid state, no liquid</w:t>
            </w:r>
          </w:p>
        </w:tc>
      </w:tr>
    </w:tbl>
    <w:p w14:paraId="46844B1D" w14:textId="222D9C04" w:rsidR="008208BE" w:rsidRDefault="00834DE4" w:rsidP="00834DE4">
      <w:pPr>
        <w:pStyle w:val="SingleTxtG"/>
        <w:spacing w:before="120"/>
      </w:pPr>
      <w:r>
        <w:tab/>
        <w:t>18.</w:t>
      </w:r>
      <w:r>
        <w:tab/>
      </w:r>
      <w:r w:rsidR="008208BE" w:rsidRPr="008208BE">
        <w:t>It shoul</w:t>
      </w:r>
      <w:r w:rsidR="00F32720">
        <w:t>d be inferred that, as for "Non-</w:t>
      </w:r>
      <w:r w:rsidR="008208BE" w:rsidRPr="008208BE">
        <w:t xml:space="preserve">spillable" batteries, the absence of liquid leakage in the event of case breakage after vibration test, could exclude sodium/nickel chloride batteries from the transport regulation. </w:t>
      </w:r>
    </w:p>
    <w:p w14:paraId="336ABC95" w14:textId="0C869ED5" w:rsidR="008208BE" w:rsidRPr="00A111E7" w:rsidRDefault="002951FA" w:rsidP="002951FA">
      <w:pPr>
        <w:pStyle w:val="H23G"/>
      </w:pPr>
      <w:r>
        <w:tab/>
      </w:r>
      <w:r>
        <w:tab/>
      </w:r>
      <w:r w:rsidR="008208BE" w:rsidRPr="00A111E7">
        <w:t xml:space="preserve">Sodium-sulfur-chloride </w:t>
      </w:r>
      <w:r w:rsidR="008208BE" w:rsidRPr="00F32720">
        <w:rPr>
          <w:i/>
          <w:iCs/>
        </w:rPr>
        <w:t>vs</w:t>
      </w:r>
      <w:r w:rsidR="008208BE" w:rsidRPr="00A111E7">
        <w:t xml:space="preserve"> Sodium-nickel-chloride</w:t>
      </w:r>
    </w:p>
    <w:p w14:paraId="20D16B6F" w14:textId="2123A23B" w:rsidR="008208BE" w:rsidRDefault="00834DE4" w:rsidP="00834DE4">
      <w:pPr>
        <w:pStyle w:val="SingleTxtG"/>
        <w:rPr>
          <w:lang w:val="en-US"/>
        </w:rPr>
      </w:pPr>
      <w:r>
        <w:tab/>
        <w:t>19.</w:t>
      </w:r>
      <w:r>
        <w:tab/>
      </w:r>
      <w:r w:rsidR="008208BE">
        <w:t>Even if both technologies appear under the same UN entry (UN 3292), the sodium-sulfur-chloride and the sodium-nickel-chloride batteries are</w:t>
      </w:r>
      <w:r w:rsidR="008208BE">
        <w:rPr>
          <w:lang w:val="en-US"/>
        </w:rPr>
        <w:t xml:space="preserve"> quite different regarding chemical reactivity and safety issues which should be considered for a decision to allow an exemption in particular conditions. In comparison sodium-sulfur technology the sodium-nickel-cloride technology offers the following advantages in relation to safety issues:</w:t>
      </w:r>
    </w:p>
    <w:p w14:paraId="1D1349DB" w14:textId="76C14A07" w:rsidR="008208BE" w:rsidRPr="001C2048" w:rsidRDefault="00F32720" w:rsidP="00F32720">
      <w:pPr>
        <w:pStyle w:val="SingleTxtG"/>
        <w:ind w:left="1701"/>
        <w:rPr>
          <w:lang w:val="en-US"/>
        </w:rPr>
      </w:pPr>
      <w:r>
        <w:rPr>
          <w:lang w:val="en-US"/>
        </w:rPr>
        <w:tab/>
        <w:t>(a)</w:t>
      </w:r>
      <w:r>
        <w:rPr>
          <w:lang w:val="en-US"/>
        </w:rPr>
        <w:tab/>
      </w:r>
      <w:r w:rsidR="008208BE" w:rsidRPr="001C2048">
        <w:rPr>
          <w:lang w:val="en-US"/>
        </w:rPr>
        <w:t>Safer product of reaction. The exothermic heats of reaction are lower and the vapour pressure of the reactants less than atmospheric up to a temperature level of 900°C</w:t>
      </w:r>
      <w:r>
        <w:rPr>
          <w:lang w:val="en-US"/>
        </w:rPr>
        <w:t>;</w:t>
      </w:r>
    </w:p>
    <w:p w14:paraId="080529CF" w14:textId="7041D51E" w:rsidR="008208BE" w:rsidRPr="001C2048" w:rsidRDefault="00F32720" w:rsidP="00F32720">
      <w:pPr>
        <w:pStyle w:val="SingleTxtG"/>
        <w:ind w:left="1701"/>
        <w:rPr>
          <w:lang w:val="en-US"/>
        </w:rPr>
      </w:pPr>
      <w:r>
        <w:rPr>
          <w:lang w:val="en-US"/>
        </w:rPr>
        <w:tab/>
        <w:t>(b)</w:t>
      </w:r>
      <w:r>
        <w:rPr>
          <w:lang w:val="en-US"/>
        </w:rPr>
        <w:tab/>
      </w:r>
      <w:r w:rsidR="008208BE" w:rsidRPr="001C2048">
        <w:rPr>
          <w:lang w:val="en-US"/>
        </w:rPr>
        <w:t>Less metallic components corrosion. The chemistry of the positive electrode is non-aggressive compared to molten Na2Sx</w:t>
      </w:r>
      <w:r>
        <w:rPr>
          <w:lang w:val="en-US"/>
        </w:rPr>
        <w:t>;</w:t>
      </w:r>
    </w:p>
    <w:p w14:paraId="4921961B" w14:textId="2899D35D" w:rsidR="008208BE" w:rsidRPr="001C2048" w:rsidRDefault="00F32720" w:rsidP="00F32720">
      <w:pPr>
        <w:pStyle w:val="SingleTxtG"/>
        <w:ind w:left="1701"/>
        <w:rPr>
          <w:lang w:val="en-US"/>
        </w:rPr>
      </w:pPr>
      <w:r>
        <w:rPr>
          <w:lang w:val="en-US"/>
        </w:rPr>
        <w:tab/>
        <w:t>(c)</w:t>
      </w:r>
      <w:r>
        <w:rPr>
          <w:lang w:val="en-US"/>
        </w:rPr>
        <w:tab/>
      </w:r>
      <w:r w:rsidR="008208BE" w:rsidRPr="001C2048">
        <w:rPr>
          <w:lang w:val="en-US"/>
        </w:rPr>
        <w:t>Assembly in the fully discharged state without the handling of metallic sodium</w:t>
      </w:r>
      <w:r>
        <w:rPr>
          <w:lang w:val="en-US"/>
        </w:rPr>
        <w:t>;</w:t>
      </w:r>
    </w:p>
    <w:p w14:paraId="28887495" w14:textId="304E6D2E" w:rsidR="008208BE" w:rsidRPr="001C2048" w:rsidRDefault="00F32720" w:rsidP="00F32720">
      <w:pPr>
        <w:pStyle w:val="SingleTxtG"/>
        <w:ind w:left="1701"/>
        <w:rPr>
          <w:lang w:val="en-US"/>
        </w:rPr>
      </w:pPr>
      <w:r>
        <w:rPr>
          <w:lang w:val="en-US"/>
        </w:rPr>
        <w:tab/>
        <w:t>(d)</w:t>
      </w:r>
      <w:r>
        <w:rPr>
          <w:lang w:val="en-US"/>
        </w:rPr>
        <w:tab/>
      </w:r>
      <w:r w:rsidR="008208BE" w:rsidRPr="001C2048">
        <w:rPr>
          <w:lang w:val="en-US"/>
        </w:rPr>
        <w:t>Reliable failure mode. If the ceramic electrolyte fails, sodium will react with the secondary electrolyte to short circuit the cell</w:t>
      </w:r>
      <w:r>
        <w:rPr>
          <w:lang w:val="en-US"/>
        </w:rPr>
        <w:t>.</w:t>
      </w:r>
    </w:p>
    <w:p w14:paraId="15ED4BC0" w14:textId="77777777" w:rsidR="008208BE" w:rsidRDefault="008208BE" w:rsidP="008208BE">
      <w:pPr>
        <w:pStyle w:val="SingleTxtG"/>
        <w:rPr>
          <w:lang w:val="en-US"/>
        </w:rPr>
      </w:pPr>
    </w:p>
    <w:p w14:paraId="4B7FD380" w14:textId="5A143F2E" w:rsidR="008208BE" w:rsidRPr="00A111E7" w:rsidRDefault="002951FA" w:rsidP="002951FA">
      <w:pPr>
        <w:pStyle w:val="H23G"/>
      </w:pPr>
      <w:r>
        <w:lastRenderedPageBreak/>
        <w:tab/>
      </w:r>
      <w:r>
        <w:tab/>
      </w:r>
      <w:r w:rsidR="008208BE" w:rsidRPr="00A111E7">
        <w:t xml:space="preserve">Lithium </w:t>
      </w:r>
      <w:r w:rsidR="008208BE" w:rsidRPr="00F32720">
        <w:rPr>
          <w:i/>
          <w:iCs/>
        </w:rPr>
        <w:t>vs</w:t>
      </w:r>
      <w:r w:rsidR="008208BE" w:rsidRPr="00A111E7">
        <w:t xml:space="preserve"> Sodium</w:t>
      </w:r>
    </w:p>
    <w:p w14:paraId="01E1ABAC" w14:textId="6A4D90B8" w:rsidR="008208BE" w:rsidRDefault="00834DE4" w:rsidP="00834DE4">
      <w:pPr>
        <w:pStyle w:val="SingleTxtG"/>
      </w:pPr>
      <w:r>
        <w:tab/>
        <w:t>20.</w:t>
      </w:r>
      <w:r>
        <w:tab/>
      </w:r>
      <w:r w:rsidR="008208BE">
        <w:t>F</w:t>
      </w:r>
      <w:r w:rsidR="008208BE" w:rsidRPr="00957CCB">
        <w:t>rom a chemical point of view</w:t>
      </w:r>
      <w:r w:rsidR="00F32720">
        <w:t xml:space="preserve"> metallic l</w:t>
      </w:r>
      <w:r w:rsidR="008208BE">
        <w:t>ithium and m</w:t>
      </w:r>
      <w:r w:rsidR="00F32720">
        <w:t>etallic s</w:t>
      </w:r>
      <w:r w:rsidR="008208BE" w:rsidRPr="00957CCB">
        <w:t>odium have similar behaviours</w:t>
      </w:r>
      <w:r w:rsidR="008208BE">
        <w:t xml:space="preserve"> </w:t>
      </w:r>
      <w:r w:rsidR="008208BE" w:rsidRPr="00957CCB">
        <w:t xml:space="preserve">but, as discussed above, </w:t>
      </w:r>
      <w:r w:rsidR="008208BE">
        <w:t xml:space="preserve">the accidentology in relation with </w:t>
      </w:r>
      <w:r w:rsidR="008208BE" w:rsidRPr="00957CCB">
        <w:t xml:space="preserve">lithium </w:t>
      </w:r>
      <w:r w:rsidR="008208BE">
        <w:t xml:space="preserve">metal batteries </w:t>
      </w:r>
      <w:r w:rsidR="008208BE" w:rsidRPr="00957CCB">
        <w:t xml:space="preserve">and </w:t>
      </w:r>
      <w:r w:rsidR="008208BE" w:rsidRPr="009B4433">
        <w:t>sodium/nickel chloride</w:t>
      </w:r>
      <w:r w:rsidR="008208BE">
        <w:t xml:space="preserve"> </w:t>
      </w:r>
      <w:r w:rsidR="008208BE" w:rsidRPr="00957CCB">
        <w:t xml:space="preserve">batteries </w:t>
      </w:r>
      <w:r w:rsidR="008208BE">
        <w:t>reveals the higher safety level of the latter</w:t>
      </w:r>
      <w:r w:rsidR="008208BE" w:rsidRPr="00957CCB">
        <w:t xml:space="preserve"> and we therefore believe that with regard to the transport of </w:t>
      </w:r>
      <w:r w:rsidR="008208BE" w:rsidRPr="009B4433">
        <w:t>sodium/nickel chloride</w:t>
      </w:r>
      <w:r w:rsidR="008208BE">
        <w:t xml:space="preserve"> </w:t>
      </w:r>
      <w:r w:rsidR="008208BE" w:rsidRPr="00957CCB">
        <w:t>batteries, we must take into consideration the real risk</w:t>
      </w:r>
      <w:r w:rsidR="008208BE">
        <w:t>.</w:t>
      </w:r>
    </w:p>
    <w:p w14:paraId="4983949D" w14:textId="1CF3FED2" w:rsidR="008208BE" w:rsidRDefault="00834DE4" w:rsidP="00834DE4">
      <w:pPr>
        <w:pStyle w:val="SingleTxtG"/>
      </w:pPr>
      <w:r>
        <w:tab/>
        <w:t>21.</w:t>
      </w:r>
      <w:r>
        <w:tab/>
      </w:r>
      <w:r w:rsidR="008208BE">
        <w:t>T</w:t>
      </w:r>
      <w:r w:rsidR="008208BE" w:rsidRPr="00957CCB">
        <w:t>he experience gained with sodium-nickel-chloride batteries, of a length comparable to that of lithium</w:t>
      </w:r>
      <w:r w:rsidR="008208BE">
        <w:t xml:space="preserve"> batteries and under </w:t>
      </w:r>
      <w:r w:rsidR="008208BE" w:rsidRPr="00957CCB">
        <w:t xml:space="preserve">extreme operating conditions that lithium batteries can not withstand, shows that no accidents involving </w:t>
      </w:r>
      <w:r w:rsidR="008208BE" w:rsidRPr="009B4433">
        <w:t>sodium/nickel chloride</w:t>
      </w:r>
      <w:r w:rsidR="008208BE">
        <w:t xml:space="preserve"> </w:t>
      </w:r>
      <w:r w:rsidR="008208BE" w:rsidRPr="00957CCB">
        <w:t>batte</w:t>
      </w:r>
      <w:r w:rsidR="008208BE">
        <w:t xml:space="preserve">ries are recorded. </w:t>
      </w:r>
    </w:p>
    <w:p w14:paraId="57E92E8B" w14:textId="26C96660" w:rsidR="008208BE" w:rsidRPr="009B4433" w:rsidRDefault="00834DE4" w:rsidP="00834DE4">
      <w:pPr>
        <w:pStyle w:val="SingleTxtG"/>
        <w:spacing w:before="120"/>
        <w:rPr>
          <w:lang w:eastAsia="en-GB"/>
        </w:rPr>
      </w:pPr>
      <w:r>
        <w:tab/>
        <w:t>22.</w:t>
      </w:r>
      <w:r>
        <w:tab/>
      </w:r>
      <w:r w:rsidR="008208BE">
        <w:t>P</w:t>
      </w:r>
      <w:r w:rsidR="008208BE" w:rsidRPr="00957CCB">
        <w:t xml:space="preserve">acking instructions </w:t>
      </w:r>
      <w:r w:rsidR="008208BE">
        <w:t xml:space="preserve">also reflect </w:t>
      </w:r>
      <w:r w:rsidR="008208BE" w:rsidRPr="00957CCB">
        <w:t>these differences</w:t>
      </w:r>
      <w:r w:rsidR="008208BE">
        <w:t xml:space="preserve">. </w:t>
      </w:r>
      <w:r w:rsidR="008208BE">
        <w:rPr>
          <w:lang w:eastAsia="en-GB"/>
        </w:rPr>
        <w:t>S</w:t>
      </w:r>
      <w:r w:rsidR="008208BE" w:rsidRPr="004A47B2">
        <w:rPr>
          <w:lang w:eastAsia="en-GB"/>
        </w:rPr>
        <w:t xml:space="preserve">odium batteries are considered sufficiently strong no matter the size so that </w:t>
      </w:r>
      <w:r w:rsidR="008208BE">
        <w:rPr>
          <w:lang w:eastAsia="en-GB"/>
        </w:rPr>
        <w:t xml:space="preserve">when transported unpacked </w:t>
      </w:r>
      <w:r w:rsidR="008208BE" w:rsidRPr="004A47B2">
        <w:rPr>
          <w:lang w:eastAsia="en-GB"/>
        </w:rPr>
        <w:t>it is not necessary that the packaging must satisfy the provisions of 4.1.1.3 (</w:t>
      </w:r>
      <w:r w:rsidR="008208BE">
        <w:rPr>
          <w:lang w:eastAsia="en-GB"/>
        </w:rPr>
        <w:t>P408 (2)</w:t>
      </w:r>
      <w:r w:rsidR="008208BE" w:rsidRPr="004A47B2">
        <w:rPr>
          <w:lang w:eastAsia="en-GB"/>
        </w:rPr>
        <w:t xml:space="preserve">). </w:t>
      </w:r>
      <w:r w:rsidR="008208BE">
        <w:rPr>
          <w:lang w:eastAsia="en-GB"/>
        </w:rPr>
        <w:t>For lithium batteries instead</w:t>
      </w:r>
      <w:r w:rsidR="008208BE" w:rsidRPr="004A47B2">
        <w:rPr>
          <w:lang w:eastAsia="en-GB"/>
        </w:rPr>
        <w:t xml:space="preserve"> this level of robustness </w:t>
      </w:r>
      <w:r w:rsidR="008208BE">
        <w:rPr>
          <w:lang w:eastAsia="en-GB"/>
        </w:rPr>
        <w:t xml:space="preserve">appears to be </w:t>
      </w:r>
      <w:r w:rsidR="008208BE" w:rsidRPr="004A47B2">
        <w:rPr>
          <w:lang w:eastAsia="en-GB"/>
        </w:rPr>
        <w:t xml:space="preserve">sufficient only for lithium batteries exceeding 12 kg </w:t>
      </w:r>
      <w:r w:rsidR="008208BE">
        <w:rPr>
          <w:lang w:eastAsia="en-GB"/>
        </w:rPr>
        <w:t>(</w:t>
      </w:r>
      <w:r w:rsidR="008208BE" w:rsidRPr="004A47B2">
        <w:rPr>
          <w:lang w:eastAsia="en-GB"/>
        </w:rPr>
        <w:t xml:space="preserve">P903 </w:t>
      </w:r>
      <w:r w:rsidR="008208BE">
        <w:rPr>
          <w:lang w:eastAsia="en-GB"/>
        </w:rPr>
        <w:t>(</w:t>
      </w:r>
      <w:r w:rsidR="008208BE" w:rsidRPr="004A47B2">
        <w:rPr>
          <w:lang w:eastAsia="en-GB"/>
        </w:rPr>
        <w:t>2)).</w:t>
      </w:r>
    </w:p>
    <w:p w14:paraId="27AB5D5E" w14:textId="77777777" w:rsidR="008208BE" w:rsidRPr="009B4433" w:rsidRDefault="008208BE" w:rsidP="008208BE">
      <w:pPr>
        <w:pStyle w:val="HChG"/>
      </w:pPr>
      <w:r w:rsidRPr="009B4433">
        <w:tab/>
      </w:r>
      <w:r w:rsidRPr="009B4433">
        <w:tab/>
        <w:t>Proposal</w:t>
      </w:r>
    </w:p>
    <w:p w14:paraId="7429B4F0" w14:textId="322351CC" w:rsidR="008208BE" w:rsidRPr="00F32720" w:rsidRDefault="00F32720" w:rsidP="008208BE">
      <w:pPr>
        <w:pStyle w:val="SingleTxtG"/>
      </w:pPr>
      <w:r w:rsidRPr="00F32720">
        <w:t>23</w:t>
      </w:r>
      <w:r w:rsidR="008208BE" w:rsidRPr="00F32720">
        <w:t>.</w:t>
      </w:r>
      <w:r w:rsidR="008208BE" w:rsidRPr="00F32720">
        <w:tab/>
        <w:t>Based on the mentioned long experience, the characteristics of the cold battery described above and the test done in the recent past it is proposed to review the current classification of Sodium - Metal Chloride battery (UN3292, last discussed document: ST/SG/AC.10/C.3/2010/30) in order to apply less restrictive transportation conditions than those required by the current classification.</w:t>
      </w:r>
    </w:p>
    <w:p w14:paraId="7F0F5A90" w14:textId="17D5C1EE" w:rsidR="008208BE" w:rsidRPr="00F32720" w:rsidRDefault="00F32720" w:rsidP="008208BE">
      <w:pPr>
        <w:pStyle w:val="SingleTxtG"/>
      </w:pPr>
      <w:r w:rsidRPr="00F32720">
        <w:t>24</w:t>
      </w:r>
      <w:r w:rsidR="008208BE" w:rsidRPr="00F32720">
        <w:t>.</w:t>
      </w:r>
      <w:r w:rsidR="008208BE" w:rsidRPr="00F32720">
        <w:tab/>
        <w:t>Add the following sentence at the end of special provision 239:</w:t>
      </w:r>
    </w:p>
    <w:p w14:paraId="0B123E6D" w14:textId="77777777" w:rsidR="008208BE" w:rsidRPr="009B4433" w:rsidRDefault="008208BE" w:rsidP="008208BE">
      <w:pPr>
        <w:pStyle w:val="SingleTxtG"/>
      </w:pPr>
      <w:r w:rsidRPr="00F32720">
        <w:t>“Cells and batteries containing sodium tetrachloroaluminate when carried in cold state below 98°C are not subject to these Regulations”.</w:t>
      </w:r>
    </w:p>
    <w:p w14:paraId="55F195AB" w14:textId="77777777" w:rsidR="008208BE" w:rsidRPr="009B4433" w:rsidRDefault="008208BE" w:rsidP="008208BE">
      <w:pPr>
        <w:spacing w:before="240"/>
        <w:jc w:val="center"/>
        <w:rPr>
          <w:u w:val="single"/>
        </w:rPr>
      </w:pPr>
      <w:r w:rsidRPr="009B4433">
        <w:rPr>
          <w:u w:val="single"/>
        </w:rPr>
        <w:tab/>
      </w:r>
      <w:r w:rsidRPr="009B4433">
        <w:rPr>
          <w:u w:val="single"/>
        </w:rPr>
        <w:tab/>
      </w:r>
      <w:r w:rsidRPr="009B4433">
        <w:rPr>
          <w:u w:val="single"/>
        </w:rPr>
        <w:tab/>
      </w:r>
    </w:p>
    <w:p w14:paraId="30079232" w14:textId="77777777" w:rsidR="008208BE" w:rsidRPr="009B4433" w:rsidRDefault="008208BE" w:rsidP="008208BE"/>
    <w:p w14:paraId="44F503C1" w14:textId="77777777" w:rsidR="001F6E40" w:rsidRPr="00A520F1" w:rsidRDefault="001F6E40" w:rsidP="00A520F1">
      <w:pPr>
        <w:pStyle w:val="NormalWeb"/>
        <w:rPr>
          <w:b/>
          <w:bCs/>
          <w:sz w:val="20"/>
          <w:szCs w:val="20"/>
        </w:rPr>
      </w:pPr>
    </w:p>
    <w:sectPr w:rsidR="001F6E40" w:rsidRPr="00A520F1" w:rsidSect="002D0785">
      <w:headerReference w:type="even" r:id="rId9"/>
      <w:headerReference w:type="default" r:id="rId10"/>
      <w:footerReference w:type="even" r:id="rId11"/>
      <w:footerReference w:type="default" r:id="rId12"/>
      <w:headerReference w:type="first" r:id="rId13"/>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2C33" w14:textId="77777777" w:rsidR="00314006" w:rsidRDefault="00314006"/>
  </w:endnote>
  <w:endnote w:type="continuationSeparator" w:id="0">
    <w:p w14:paraId="2D38519E" w14:textId="77777777" w:rsidR="00314006" w:rsidRDefault="00314006"/>
  </w:endnote>
  <w:endnote w:type="continuationNotice" w:id="1">
    <w:p w14:paraId="65FF6A20" w14:textId="77777777" w:rsidR="00314006" w:rsidRDefault="00314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86EB" w14:textId="796BD529"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E647C1">
      <w:rPr>
        <w:b/>
        <w:noProof/>
        <w:sz w:val="18"/>
      </w:rPr>
      <w:t>6</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02AA" w14:textId="6BA349C4"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E647C1">
      <w:rPr>
        <w:b/>
        <w:noProof/>
        <w:sz w:val="18"/>
      </w:rPr>
      <w:t>5</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6638" w14:textId="77777777" w:rsidR="00314006" w:rsidRPr="000B175B" w:rsidRDefault="00314006" w:rsidP="000B175B">
      <w:pPr>
        <w:tabs>
          <w:tab w:val="right" w:pos="2155"/>
        </w:tabs>
        <w:spacing w:after="80"/>
        <w:ind w:left="680"/>
        <w:rPr>
          <w:u w:val="single"/>
        </w:rPr>
      </w:pPr>
      <w:r>
        <w:rPr>
          <w:u w:val="single"/>
        </w:rPr>
        <w:tab/>
      </w:r>
    </w:p>
  </w:footnote>
  <w:footnote w:type="continuationSeparator" w:id="0">
    <w:p w14:paraId="2CF56729" w14:textId="77777777" w:rsidR="00314006" w:rsidRPr="00FC68B7" w:rsidRDefault="00314006" w:rsidP="00FC68B7">
      <w:pPr>
        <w:tabs>
          <w:tab w:val="left" w:pos="2155"/>
        </w:tabs>
        <w:spacing w:after="80"/>
        <w:ind w:left="680"/>
        <w:rPr>
          <w:u w:val="single"/>
        </w:rPr>
      </w:pPr>
      <w:r>
        <w:rPr>
          <w:u w:val="single"/>
        </w:rPr>
        <w:tab/>
      </w:r>
    </w:p>
  </w:footnote>
  <w:footnote w:type="continuationNotice" w:id="1">
    <w:p w14:paraId="11EFCBD7" w14:textId="77777777" w:rsidR="00314006" w:rsidRDefault="00314006"/>
  </w:footnote>
  <w:footnote w:id="2">
    <w:p w14:paraId="2D300AA2" w14:textId="20B2FF10" w:rsidR="008208BE" w:rsidRPr="008208BE" w:rsidRDefault="009F0551" w:rsidP="009F0551">
      <w:pPr>
        <w:pStyle w:val="FootnoteText"/>
        <w:rPr>
          <w:lang w:val="fr-CH"/>
        </w:rPr>
      </w:pPr>
      <w:r>
        <w:tab/>
      </w:r>
      <w:r w:rsidR="008208BE">
        <w:rPr>
          <w:rStyle w:val="FootnoteReference"/>
        </w:rPr>
        <w:t>*</w:t>
      </w:r>
      <w:r w:rsidR="008208BE">
        <w:tab/>
        <w:t xml:space="preserve"> </w:t>
      </w:r>
      <w:r w:rsidR="008208BE" w:rsidRPr="009B35D8">
        <w:rPr>
          <w:color w:val="000000"/>
          <w:lang w:eastAsia="en-GB"/>
        </w:rPr>
        <w:t>In accordance with the programme of work of the Sub-Committee for</w:t>
      </w:r>
      <w:r w:rsidR="008208BE" w:rsidRPr="009B35D8">
        <w:t xml:space="preserve"> 2017–2018 approved by the </w:t>
      </w:r>
      <w:r w:rsidR="008208BE" w:rsidRPr="009F0551">
        <w:t>Committee</w:t>
      </w:r>
      <w:r w:rsidR="008208BE" w:rsidRPr="009B35D8">
        <w:t xml:space="preserve"> at its </w:t>
      </w:r>
      <w:r w:rsidR="008208BE" w:rsidRPr="009B35D8">
        <w:rPr>
          <w:rStyle w:val="Hyperlink"/>
          <w:szCs w:val="18"/>
          <w:lang w:val="en-US"/>
        </w:rPr>
        <w:t>eighth session (see ST/SG/AC.10/C.3/100, paragraph 98 and ST/SG/AC.10/44,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DBC" w14:textId="64728CF9" w:rsidR="00184E75" w:rsidRPr="006D12B1" w:rsidRDefault="00184E75">
    <w:pPr>
      <w:pStyle w:val="Header"/>
    </w:pPr>
    <w:r>
      <w:t>ST/SG/AC.10/C.3/</w:t>
    </w:r>
    <w:r w:rsidR="00B63E96">
      <w:t>201</w:t>
    </w:r>
    <w:r w:rsidR="005967E3">
      <w:t>8</w:t>
    </w:r>
    <w:r w:rsidR="005458AF">
      <w:t>/</w:t>
    </w:r>
    <w:r w:rsidR="008208BE">
      <w:t>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6FF3" w14:textId="48755945" w:rsidR="00184E75" w:rsidRPr="006D12B1" w:rsidRDefault="0023334A" w:rsidP="006D12B1">
    <w:pPr>
      <w:pStyle w:val="Header"/>
      <w:jc w:val="right"/>
    </w:pPr>
    <w:r>
      <w:t>ST/SG/AC.10/C</w:t>
    </w:r>
    <w:r w:rsidR="00A520F1">
      <w:t>.3/2018</w:t>
    </w:r>
    <w:r w:rsidR="005458AF">
      <w:t>/</w:t>
    </w:r>
    <w:r w:rsidR="00396E0E">
      <w:t>110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F493" w14:textId="77777777"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988" w:hanging="778"/>
      </w:pPr>
      <w:rPr>
        <w:b w:val="0"/>
        <w:bCs w:val="0"/>
        <w:w w:val="102"/>
      </w:rPr>
    </w:lvl>
    <w:lvl w:ilvl="1">
      <w:numFmt w:val="bullet"/>
      <w:lvlText w:val="•"/>
      <w:lvlJc w:val="left"/>
      <w:pPr>
        <w:ind w:left="2046" w:hanging="778"/>
      </w:pPr>
    </w:lvl>
    <w:lvl w:ilvl="2">
      <w:numFmt w:val="bullet"/>
      <w:lvlText w:val="•"/>
      <w:lvlJc w:val="left"/>
      <w:pPr>
        <w:ind w:left="3112" w:hanging="778"/>
      </w:pPr>
    </w:lvl>
    <w:lvl w:ilvl="3">
      <w:numFmt w:val="bullet"/>
      <w:lvlText w:val="•"/>
      <w:lvlJc w:val="left"/>
      <w:pPr>
        <w:ind w:left="4179" w:hanging="778"/>
      </w:pPr>
    </w:lvl>
    <w:lvl w:ilvl="4">
      <w:numFmt w:val="bullet"/>
      <w:lvlText w:val="•"/>
      <w:lvlJc w:val="left"/>
      <w:pPr>
        <w:ind w:left="5245" w:hanging="778"/>
      </w:pPr>
    </w:lvl>
    <w:lvl w:ilvl="5">
      <w:numFmt w:val="bullet"/>
      <w:lvlText w:val="•"/>
      <w:lvlJc w:val="left"/>
      <w:pPr>
        <w:ind w:left="6312" w:hanging="778"/>
      </w:pPr>
    </w:lvl>
    <w:lvl w:ilvl="6">
      <w:numFmt w:val="bullet"/>
      <w:lvlText w:val="•"/>
      <w:lvlJc w:val="left"/>
      <w:pPr>
        <w:ind w:left="7378" w:hanging="778"/>
      </w:pPr>
    </w:lvl>
    <w:lvl w:ilvl="7">
      <w:numFmt w:val="bullet"/>
      <w:lvlText w:val="•"/>
      <w:lvlJc w:val="left"/>
      <w:pPr>
        <w:ind w:left="8444" w:hanging="778"/>
      </w:pPr>
    </w:lvl>
    <w:lvl w:ilvl="8">
      <w:numFmt w:val="bullet"/>
      <w:lvlText w:val="•"/>
      <w:lvlJc w:val="left"/>
      <w:pPr>
        <w:ind w:left="9511" w:hanging="778"/>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15:restartNumberingAfterBreak="0">
    <w:nsid w:val="11CA27AB"/>
    <w:multiLevelType w:val="hybridMultilevel"/>
    <w:tmpl w:val="8772964E"/>
    <w:lvl w:ilvl="0" w:tplc="6F520202">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6" w15:restartNumberingAfterBreak="0">
    <w:nsid w:val="11D30763"/>
    <w:multiLevelType w:val="hybridMultilevel"/>
    <w:tmpl w:val="08C0F3E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126606A5"/>
    <w:multiLevelType w:val="hybridMultilevel"/>
    <w:tmpl w:val="EB4C57B6"/>
    <w:lvl w:ilvl="0" w:tplc="E9560FFE">
      <w:start w:val="1"/>
      <w:numFmt w:val="decimal"/>
      <w:lvlText w:val="%1."/>
      <w:lvlJc w:val="left"/>
      <w:pPr>
        <w:ind w:left="1265"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180819F3"/>
    <w:multiLevelType w:val="hybridMultilevel"/>
    <w:tmpl w:val="32B6CCE8"/>
    <w:lvl w:ilvl="0" w:tplc="1F020140">
      <w:start w:val="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8E34429"/>
    <w:multiLevelType w:val="hybridMultilevel"/>
    <w:tmpl w:val="18388FF8"/>
    <w:lvl w:ilvl="0" w:tplc="94282D70">
      <w:start w:val="1"/>
      <w:numFmt w:val="lowerLetter"/>
      <w:lvlText w:val="(%1)"/>
      <w:lvlJc w:val="left"/>
      <w:pPr>
        <w:ind w:left="2098" w:hanging="567"/>
      </w:pPr>
      <w:rPr>
        <w:rFonts w:ascii="Times New Roman" w:eastAsia="Times New Roman" w:hAnsi="Times New Roman" w:cs="Times New Roman" w:hint="default"/>
        <w:w w:val="100"/>
        <w:sz w:val="22"/>
        <w:szCs w:val="22"/>
      </w:rPr>
    </w:lvl>
    <w:lvl w:ilvl="1" w:tplc="AFEC7D5C">
      <w:start w:val="1"/>
      <w:numFmt w:val="lowerRoman"/>
      <w:lvlText w:val="(%2)"/>
      <w:lvlJc w:val="left"/>
      <w:pPr>
        <w:ind w:left="2664" w:hanging="567"/>
      </w:pPr>
      <w:rPr>
        <w:rFonts w:ascii="Times New Roman" w:eastAsia="Times New Roman" w:hAnsi="Times New Roman" w:cs="Times New Roman" w:hint="default"/>
        <w:w w:val="100"/>
        <w:sz w:val="22"/>
        <w:szCs w:val="22"/>
      </w:rPr>
    </w:lvl>
    <w:lvl w:ilvl="2" w:tplc="A8D45138">
      <w:numFmt w:val="bullet"/>
      <w:lvlText w:val="•"/>
      <w:lvlJc w:val="left"/>
      <w:pPr>
        <w:ind w:left="3460" w:hanging="567"/>
      </w:pPr>
      <w:rPr>
        <w:rFonts w:hint="default"/>
      </w:rPr>
    </w:lvl>
    <w:lvl w:ilvl="3" w:tplc="5906BE2E">
      <w:numFmt w:val="bullet"/>
      <w:lvlText w:val="•"/>
      <w:lvlJc w:val="left"/>
      <w:pPr>
        <w:ind w:left="4261" w:hanging="567"/>
      </w:pPr>
      <w:rPr>
        <w:rFonts w:hint="default"/>
      </w:rPr>
    </w:lvl>
    <w:lvl w:ilvl="4" w:tplc="A086DF3A">
      <w:numFmt w:val="bullet"/>
      <w:lvlText w:val="•"/>
      <w:lvlJc w:val="left"/>
      <w:pPr>
        <w:ind w:left="5062" w:hanging="567"/>
      </w:pPr>
      <w:rPr>
        <w:rFonts w:hint="default"/>
      </w:rPr>
    </w:lvl>
    <w:lvl w:ilvl="5" w:tplc="5F00E156">
      <w:numFmt w:val="bullet"/>
      <w:lvlText w:val="•"/>
      <w:lvlJc w:val="left"/>
      <w:pPr>
        <w:ind w:left="5862" w:hanging="567"/>
      </w:pPr>
      <w:rPr>
        <w:rFonts w:hint="default"/>
      </w:rPr>
    </w:lvl>
    <w:lvl w:ilvl="6" w:tplc="3A06543A">
      <w:numFmt w:val="bullet"/>
      <w:lvlText w:val="•"/>
      <w:lvlJc w:val="left"/>
      <w:pPr>
        <w:ind w:left="6663" w:hanging="567"/>
      </w:pPr>
      <w:rPr>
        <w:rFonts w:hint="default"/>
      </w:rPr>
    </w:lvl>
    <w:lvl w:ilvl="7" w:tplc="8AAA3160">
      <w:numFmt w:val="bullet"/>
      <w:lvlText w:val="•"/>
      <w:lvlJc w:val="left"/>
      <w:pPr>
        <w:ind w:left="7464" w:hanging="567"/>
      </w:pPr>
      <w:rPr>
        <w:rFonts w:hint="default"/>
      </w:rPr>
    </w:lvl>
    <w:lvl w:ilvl="8" w:tplc="BA84D858">
      <w:numFmt w:val="bullet"/>
      <w:lvlText w:val="•"/>
      <w:lvlJc w:val="left"/>
      <w:pPr>
        <w:ind w:left="8264" w:hanging="567"/>
      </w:pPr>
      <w:rPr>
        <w:rFonts w:hint="default"/>
      </w:rPr>
    </w:lvl>
  </w:abstractNum>
  <w:abstractNum w:abstractNumId="22" w15:restartNumberingAfterBreak="0">
    <w:nsid w:val="2EEB2789"/>
    <w:multiLevelType w:val="multilevel"/>
    <w:tmpl w:val="525E6DA0"/>
    <w:lvl w:ilvl="0">
      <w:start w:val="2"/>
      <w:numFmt w:val="decimal"/>
      <w:lvlText w:val="%1"/>
      <w:lvlJc w:val="left"/>
      <w:pPr>
        <w:ind w:left="112" w:hanging="1419"/>
      </w:pPr>
      <w:rPr>
        <w:rFonts w:hint="default"/>
      </w:rPr>
    </w:lvl>
    <w:lvl w:ilvl="1">
      <w:start w:val="3"/>
      <w:numFmt w:val="decimal"/>
      <w:lvlText w:val="%1.%2"/>
      <w:lvlJc w:val="left"/>
      <w:pPr>
        <w:ind w:left="112" w:hanging="1419"/>
      </w:pPr>
      <w:rPr>
        <w:rFonts w:hint="default"/>
      </w:rPr>
    </w:lvl>
    <w:lvl w:ilvl="2">
      <w:start w:val="2"/>
      <w:numFmt w:val="decimal"/>
      <w:lvlText w:val="%1.%2.%3"/>
      <w:lvlJc w:val="left"/>
      <w:pPr>
        <w:ind w:left="112" w:hanging="1419"/>
      </w:pPr>
      <w:rPr>
        <w:rFonts w:hint="default"/>
      </w:rPr>
    </w:lvl>
    <w:lvl w:ilvl="3">
      <w:start w:val="1"/>
      <w:numFmt w:val="decimal"/>
      <w:lvlText w:val="%1.%2.%3.%4"/>
      <w:lvlJc w:val="left"/>
      <w:pPr>
        <w:ind w:left="112" w:hanging="1419"/>
      </w:pPr>
      <w:rPr>
        <w:rFonts w:hint="default"/>
      </w:rPr>
    </w:lvl>
    <w:lvl w:ilvl="4">
      <w:start w:val="1"/>
      <w:numFmt w:val="decimal"/>
      <w:lvlText w:val="%1.%2.%3.%4.%5"/>
      <w:lvlJc w:val="left"/>
      <w:pPr>
        <w:ind w:left="112" w:hanging="1419"/>
      </w:pPr>
      <w:rPr>
        <w:rFonts w:ascii="Times New Roman" w:eastAsia="Times New Roman" w:hAnsi="Times New Roman" w:cs="Times New Roman" w:hint="default"/>
        <w:w w:val="100"/>
        <w:sz w:val="22"/>
        <w:szCs w:val="22"/>
      </w:rPr>
    </w:lvl>
    <w:lvl w:ilvl="5">
      <w:numFmt w:val="bullet"/>
      <w:lvlText w:val="-"/>
      <w:lvlJc w:val="left"/>
      <w:pPr>
        <w:ind w:left="2098" w:hanging="567"/>
      </w:pPr>
      <w:rPr>
        <w:rFonts w:ascii="Times New Roman" w:eastAsia="Times New Roman" w:hAnsi="Times New Roman" w:cs="Times New Roman" w:hint="default"/>
        <w:w w:val="100"/>
        <w:sz w:val="22"/>
        <w:szCs w:val="22"/>
      </w:rPr>
    </w:lvl>
    <w:lvl w:ilvl="6">
      <w:numFmt w:val="bullet"/>
      <w:lvlText w:val="•"/>
      <w:lvlJc w:val="left"/>
      <w:pPr>
        <w:ind w:left="6414"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23"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7517C"/>
    <w:multiLevelType w:val="hybridMultilevel"/>
    <w:tmpl w:val="940893EE"/>
    <w:lvl w:ilvl="0" w:tplc="5CC69D0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15:restartNumberingAfterBreak="0">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558D5C7A"/>
    <w:multiLevelType w:val="hybridMultilevel"/>
    <w:tmpl w:val="BA12CEE4"/>
    <w:lvl w:ilvl="0" w:tplc="26223000">
      <w:start w:val="5"/>
      <w:numFmt w:val="bullet"/>
      <w:lvlText w:val="-"/>
      <w:lvlJc w:val="left"/>
      <w:pPr>
        <w:ind w:left="5454" w:hanging="360"/>
      </w:pPr>
      <w:rPr>
        <w:rFonts w:ascii="Arial" w:eastAsia="SimSun" w:hAnsi="Arial" w:cs="Arial" w:hint="default"/>
        <w:sz w:val="22"/>
      </w:rPr>
    </w:lvl>
    <w:lvl w:ilvl="1" w:tplc="0C0A0003" w:tentative="1">
      <w:start w:val="1"/>
      <w:numFmt w:val="bullet"/>
      <w:lvlText w:val="o"/>
      <w:lvlJc w:val="left"/>
      <w:pPr>
        <w:ind w:left="6174" w:hanging="360"/>
      </w:pPr>
      <w:rPr>
        <w:rFonts w:ascii="Courier New" w:hAnsi="Courier New" w:cs="Courier New" w:hint="default"/>
      </w:rPr>
    </w:lvl>
    <w:lvl w:ilvl="2" w:tplc="0C0A0005" w:tentative="1">
      <w:start w:val="1"/>
      <w:numFmt w:val="bullet"/>
      <w:lvlText w:val=""/>
      <w:lvlJc w:val="left"/>
      <w:pPr>
        <w:ind w:left="6894" w:hanging="360"/>
      </w:pPr>
      <w:rPr>
        <w:rFonts w:ascii="Wingdings" w:hAnsi="Wingdings" w:hint="default"/>
      </w:rPr>
    </w:lvl>
    <w:lvl w:ilvl="3" w:tplc="0C0A0001" w:tentative="1">
      <w:start w:val="1"/>
      <w:numFmt w:val="bullet"/>
      <w:lvlText w:val=""/>
      <w:lvlJc w:val="left"/>
      <w:pPr>
        <w:ind w:left="7614" w:hanging="360"/>
      </w:pPr>
      <w:rPr>
        <w:rFonts w:ascii="Symbol" w:hAnsi="Symbol" w:hint="default"/>
      </w:rPr>
    </w:lvl>
    <w:lvl w:ilvl="4" w:tplc="0C0A0003" w:tentative="1">
      <w:start w:val="1"/>
      <w:numFmt w:val="bullet"/>
      <w:lvlText w:val="o"/>
      <w:lvlJc w:val="left"/>
      <w:pPr>
        <w:ind w:left="8334" w:hanging="360"/>
      </w:pPr>
      <w:rPr>
        <w:rFonts w:ascii="Courier New" w:hAnsi="Courier New" w:cs="Courier New" w:hint="default"/>
      </w:rPr>
    </w:lvl>
    <w:lvl w:ilvl="5" w:tplc="0C0A0005" w:tentative="1">
      <w:start w:val="1"/>
      <w:numFmt w:val="bullet"/>
      <w:lvlText w:val=""/>
      <w:lvlJc w:val="left"/>
      <w:pPr>
        <w:ind w:left="9054" w:hanging="360"/>
      </w:pPr>
      <w:rPr>
        <w:rFonts w:ascii="Wingdings" w:hAnsi="Wingdings" w:hint="default"/>
      </w:rPr>
    </w:lvl>
    <w:lvl w:ilvl="6" w:tplc="0C0A0001" w:tentative="1">
      <w:start w:val="1"/>
      <w:numFmt w:val="bullet"/>
      <w:lvlText w:val=""/>
      <w:lvlJc w:val="left"/>
      <w:pPr>
        <w:ind w:left="9774" w:hanging="360"/>
      </w:pPr>
      <w:rPr>
        <w:rFonts w:ascii="Symbol" w:hAnsi="Symbol" w:hint="default"/>
      </w:rPr>
    </w:lvl>
    <w:lvl w:ilvl="7" w:tplc="0C0A0003" w:tentative="1">
      <w:start w:val="1"/>
      <w:numFmt w:val="bullet"/>
      <w:lvlText w:val="o"/>
      <w:lvlJc w:val="left"/>
      <w:pPr>
        <w:ind w:left="10494" w:hanging="360"/>
      </w:pPr>
      <w:rPr>
        <w:rFonts w:ascii="Courier New" w:hAnsi="Courier New" w:cs="Courier New" w:hint="default"/>
      </w:rPr>
    </w:lvl>
    <w:lvl w:ilvl="8" w:tplc="0C0A0005" w:tentative="1">
      <w:start w:val="1"/>
      <w:numFmt w:val="bullet"/>
      <w:lvlText w:val=""/>
      <w:lvlJc w:val="left"/>
      <w:pPr>
        <w:ind w:left="11214" w:hanging="360"/>
      </w:pPr>
      <w:rPr>
        <w:rFonts w:ascii="Wingdings" w:hAnsi="Wingdings" w:hint="default"/>
      </w:rPr>
    </w:lvl>
  </w:abstractNum>
  <w:abstractNum w:abstractNumId="28" w15:restartNumberingAfterBreak="0">
    <w:nsid w:val="56CA5850"/>
    <w:multiLevelType w:val="hybridMultilevel"/>
    <w:tmpl w:val="DFF0A904"/>
    <w:lvl w:ilvl="0" w:tplc="BCB60584">
      <w:start w:val="1"/>
      <w:numFmt w:val="decimal"/>
      <w:lvlText w:val="%1."/>
      <w:lvlJc w:val="left"/>
      <w:pPr>
        <w:ind w:left="1004" w:hanging="360"/>
      </w:pPr>
      <w:rPr>
        <w:rFonts w:ascii="Times New Roman" w:hAnsi="Times New Roman" w:cs="Times New Roman" w:hint="default"/>
        <w:sz w:val="2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15:restartNumberingAfterBreak="0">
    <w:nsid w:val="59B668C8"/>
    <w:multiLevelType w:val="hybridMultilevel"/>
    <w:tmpl w:val="E24866C0"/>
    <w:lvl w:ilvl="0" w:tplc="776C0AE2">
      <w:start w:val="12"/>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EC19DF"/>
    <w:multiLevelType w:val="multilevel"/>
    <w:tmpl w:val="60169FB0"/>
    <w:lvl w:ilvl="0">
      <w:start w:val="5"/>
      <w:numFmt w:val="decimal"/>
      <w:lvlText w:val="%1"/>
      <w:lvlJc w:val="left"/>
      <w:pPr>
        <w:ind w:left="840" w:hanging="840"/>
      </w:pPr>
      <w:rPr>
        <w:rFonts w:hint="default"/>
        <w:sz w:val="22"/>
      </w:rPr>
    </w:lvl>
    <w:lvl w:ilvl="1">
      <w:start w:val="3"/>
      <w:numFmt w:val="decimal"/>
      <w:lvlText w:val="%1.%2"/>
      <w:lvlJc w:val="left"/>
      <w:pPr>
        <w:ind w:left="840" w:hanging="840"/>
      </w:pPr>
      <w:rPr>
        <w:rFonts w:hint="default"/>
        <w:sz w:val="22"/>
      </w:rPr>
    </w:lvl>
    <w:lvl w:ilvl="2">
      <w:start w:val="2"/>
      <w:numFmt w:val="decimal"/>
      <w:lvlText w:val="%1.%2.%3"/>
      <w:lvlJc w:val="left"/>
      <w:pPr>
        <w:ind w:left="840" w:hanging="840"/>
      </w:pPr>
      <w:rPr>
        <w:rFonts w:hint="default"/>
        <w:sz w:val="22"/>
      </w:rPr>
    </w:lvl>
    <w:lvl w:ilvl="3">
      <w:start w:val="5"/>
      <w:numFmt w:val="decimal"/>
      <w:lvlText w:val="%1.%2.%3.%4"/>
      <w:lvlJc w:val="left"/>
      <w:pPr>
        <w:ind w:left="840" w:hanging="840"/>
      </w:pPr>
      <w:rPr>
        <w:rFonts w:hint="default"/>
        <w:sz w:val="22"/>
      </w:rPr>
    </w:lvl>
    <w:lvl w:ilvl="4">
      <w:start w:val="1"/>
      <w:numFmt w:val="decimal"/>
      <w:lvlText w:val="%1.%2.%3.%4.%5"/>
      <w:lvlJc w:val="left"/>
      <w:pPr>
        <w:ind w:left="840" w:hanging="84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0C5535"/>
    <w:multiLevelType w:val="hybridMultilevel"/>
    <w:tmpl w:val="EB4C57B6"/>
    <w:lvl w:ilvl="0" w:tplc="E9560FFE">
      <w:start w:val="1"/>
      <w:numFmt w:val="decimal"/>
      <w:lvlText w:val="%1."/>
      <w:lvlJc w:val="left"/>
      <w:pPr>
        <w:ind w:left="1122" w:hanging="555"/>
      </w:pPr>
      <w:rPr>
        <w:rFonts w:hint="default"/>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636D82"/>
    <w:multiLevelType w:val="hybridMultilevel"/>
    <w:tmpl w:val="C90EC9EA"/>
    <w:lvl w:ilvl="0" w:tplc="0C0A0001">
      <w:start w:val="1"/>
      <w:numFmt w:val="bullet"/>
      <w:lvlText w:val=""/>
      <w:lvlJc w:val="left"/>
      <w:pPr>
        <w:ind w:left="2628" w:hanging="360"/>
      </w:pPr>
      <w:rPr>
        <w:rFonts w:ascii="Symbol" w:hAnsi="Symbol"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36" w15:restartNumberingAfterBreak="0">
    <w:nsid w:val="6D262003"/>
    <w:multiLevelType w:val="hybridMultilevel"/>
    <w:tmpl w:val="7B26C122"/>
    <w:lvl w:ilvl="0" w:tplc="0C0A0001">
      <w:start w:val="1"/>
      <w:numFmt w:val="bullet"/>
      <w:lvlText w:val=""/>
      <w:lvlJc w:val="left"/>
      <w:pPr>
        <w:ind w:left="2409" w:hanging="360"/>
      </w:pPr>
      <w:rPr>
        <w:rFonts w:ascii="Symbol" w:hAnsi="Symbol" w:hint="default"/>
      </w:rPr>
    </w:lvl>
    <w:lvl w:ilvl="1" w:tplc="0C0A0003" w:tentative="1">
      <w:start w:val="1"/>
      <w:numFmt w:val="bullet"/>
      <w:lvlText w:val="o"/>
      <w:lvlJc w:val="left"/>
      <w:pPr>
        <w:ind w:left="3129" w:hanging="360"/>
      </w:pPr>
      <w:rPr>
        <w:rFonts w:ascii="Courier New" w:hAnsi="Courier New" w:cs="Courier New" w:hint="default"/>
      </w:rPr>
    </w:lvl>
    <w:lvl w:ilvl="2" w:tplc="0C0A0005" w:tentative="1">
      <w:start w:val="1"/>
      <w:numFmt w:val="bullet"/>
      <w:lvlText w:val=""/>
      <w:lvlJc w:val="left"/>
      <w:pPr>
        <w:ind w:left="3849" w:hanging="360"/>
      </w:pPr>
      <w:rPr>
        <w:rFonts w:ascii="Wingdings" w:hAnsi="Wingdings" w:hint="default"/>
      </w:rPr>
    </w:lvl>
    <w:lvl w:ilvl="3" w:tplc="0C0A0001" w:tentative="1">
      <w:start w:val="1"/>
      <w:numFmt w:val="bullet"/>
      <w:lvlText w:val=""/>
      <w:lvlJc w:val="left"/>
      <w:pPr>
        <w:ind w:left="4569" w:hanging="360"/>
      </w:pPr>
      <w:rPr>
        <w:rFonts w:ascii="Symbol" w:hAnsi="Symbol" w:hint="default"/>
      </w:rPr>
    </w:lvl>
    <w:lvl w:ilvl="4" w:tplc="0C0A0003" w:tentative="1">
      <w:start w:val="1"/>
      <w:numFmt w:val="bullet"/>
      <w:lvlText w:val="o"/>
      <w:lvlJc w:val="left"/>
      <w:pPr>
        <w:ind w:left="5289" w:hanging="360"/>
      </w:pPr>
      <w:rPr>
        <w:rFonts w:ascii="Courier New" w:hAnsi="Courier New" w:cs="Courier New" w:hint="default"/>
      </w:rPr>
    </w:lvl>
    <w:lvl w:ilvl="5" w:tplc="0C0A0005" w:tentative="1">
      <w:start w:val="1"/>
      <w:numFmt w:val="bullet"/>
      <w:lvlText w:val=""/>
      <w:lvlJc w:val="left"/>
      <w:pPr>
        <w:ind w:left="6009" w:hanging="360"/>
      </w:pPr>
      <w:rPr>
        <w:rFonts w:ascii="Wingdings" w:hAnsi="Wingdings" w:hint="default"/>
      </w:rPr>
    </w:lvl>
    <w:lvl w:ilvl="6" w:tplc="0C0A0001" w:tentative="1">
      <w:start w:val="1"/>
      <w:numFmt w:val="bullet"/>
      <w:lvlText w:val=""/>
      <w:lvlJc w:val="left"/>
      <w:pPr>
        <w:ind w:left="6729" w:hanging="360"/>
      </w:pPr>
      <w:rPr>
        <w:rFonts w:ascii="Symbol" w:hAnsi="Symbol" w:hint="default"/>
      </w:rPr>
    </w:lvl>
    <w:lvl w:ilvl="7" w:tplc="0C0A0003" w:tentative="1">
      <w:start w:val="1"/>
      <w:numFmt w:val="bullet"/>
      <w:lvlText w:val="o"/>
      <w:lvlJc w:val="left"/>
      <w:pPr>
        <w:ind w:left="7449" w:hanging="360"/>
      </w:pPr>
      <w:rPr>
        <w:rFonts w:ascii="Courier New" w:hAnsi="Courier New" w:cs="Courier New" w:hint="default"/>
      </w:rPr>
    </w:lvl>
    <w:lvl w:ilvl="8" w:tplc="0C0A0005" w:tentative="1">
      <w:start w:val="1"/>
      <w:numFmt w:val="bullet"/>
      <w:lvlText w:val=""/>
      <w:lvlJc w:val="left"/>
      <w:pPr>
        <w:ind w:left="8169" w:hanging="360"/>
      </w:pPr>
      <w:rPr>
        <w:rFonts w:ascii="Wingdings" w:hAnsi="Wingdings" w:hint="default"/>
      </w:rPr>
    </w:lvl>
  </w:abstractNum>
  <w:abstractNum w:abstractNumId="37" w15:restartNumberingAfterBreak="0">
    <w:nsid w:val="711B626F"/>
    <w:multiLevelType w:val="hybridMultilevel"/>
    <w:tmpl w:val="103AD42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425AC9"/>
    <w:multiLevelType w:val="hybridMultilevel"/>
    <w:tmpl w:val="ED1CFB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7ACC2AB8"/>
    <w:multiLevelType w:val="hybridMultilevel"/>
    <w:tmpl w:val="BC5A5938"/>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1" w15:restartNumberingAfterBreak="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8"/>
  </w:num>
  <w:num w:numId="13">
    <w:abstractNumId w:val="11"/>
  </w:num>
  <w:num w:numId="14">
    <w:abstractNumId w:val="34"/>
  </w:num>
  <w:num w:numId="15">
    <w:abstractNumId w:val="38"/>
  </w:num>
  <w:num w:numId="16">
    <w:abstractNumId w:val="19"/>
  </w:num>
  <w:num w:numId="17">
    <w:abstractNumId w:val="23"/>
  </w:num>
  <w:num w:numId="18">
    <w:abstractNumId w:val="25"/>
  </w:num>
  <w:num w:numId="19">
    <w:abstractNumId w:val="14"/>
  </w:num>
  <w:num w:numId="20">
    <w:abstractNumId w:val="41"/>
  </w:num>
  <w:num w:numId="21">
    <w:abstractNumId w:val="12"/>
  </w:num>
  <w:num w:numId="22">
    <w:abstractNumId w:val="26"/>
  </w:num>
  <w:num w:numId="23">
    <w:abstractNumId w:val="30"/>
  </w:num>
  <w:num w:numId="24">
    <w:abstractNumId w:val="13"/>
  </w:num>
  <w:num w:numId="25">
    <w:abstractNumId w:val="33"/>
  </w:num>
  <w:num w:numId="26">
    <w:abstractNumId w:val="22"/>
  </w:num>
  <w:num w:numId="27">
    <w:abstractNumId w:val="21"/>
  </w:num>
  <w:num w:numId="28">
    <w:abstractNumId w:val="31"/>
  </w:num>
  <w:num w:numId="29">
    <w:abstractNumId w:val="27"/>
  </w:num>
  <w:num w:numId="30">
    <w:abstractNumId w:val="40"/>
  </w:num>
  <w:num w:numId="31">
    <w:abstractNumId w:val="37"/>
  </w:num>
  <w:num w:numId="32">
    <w:abstractNumId w:val="35"/>
  </w:num>
  <w:num w:numId="33">
    <w:abstractNumId w:val="16"/>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8"/>
  </w:num>
  <w:num w:numId="37">
    <w:abstractNumId w:val="17"/>
  </w:num>
  <w:num w:numId="38">
    <w:abstractNumId w:val="15"/>
  </w:num>
  <w:num w:numId="39">
    <w:abstractNumId w:val="24"/>
  </w:num>
  <w:num w:numId="40">
    <w:abstractNumId w:val="20"/>
  </w:num>
  <w:num w:numId="41">
    <w:abstractNumId w:val="10"/>
  </w:num>
  <w:num w:numId="4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341F"/>
    <w:rsid w:val="000166D2"/>
    <w:rsid w:val="00016B6E"/>
    <w:rsid w:val="00023F08"/>
    <w:rsid w:val="00043551"/>
    <w:rsid w:val="00044556"/>
    <w:rsid w:val="00044590"/>
    <w:rsid w:val="00047F82"/>
    <w:rsid w:val="000504CE"/>
    <w:rsid w:val="00050F6B"/>
    <w:rsid w:val="00053E46"/>
    <w:rsid w:val="0005466E"/>
    <w:rsid w:val="00056439"/>
    <w:rsid w:val="000572CA"/>
    <w:rsid w:val="00057D0C"/>
    <w:rsid w:val="000613BD"/>
    <w:rsid w:val="00066877"/>
    <w:rsid w:val="00072C8C"/>
    <w:rsid w:val="00082AB3"/>
    <w:rsid w:val="00083B73"/>
    <w:rsid w:val="00091419"/>
    <w:rsid w:val="000931C0"/>
    <w:rsid w:val="000A254F"/>
    <w:rsid w:val="000B175B"/>
    <w:rsid w:val="000B3A0F"/>
    <w:rsid w:val="000C2086"/>
    <w:rsid w:val="000D58F6"/>
    <w:rsid w:val="000D734E"/>
    <w:rsid w:val="000E0415"/>
    <w:rsid w:val="000E5EEE"/>
    <w:rsid w:val="000F0C23"/>
    <w:rsid w:val="000F6C26"/>
    <w:rsid w:val="000F7AB3"/>
    <w:rsid w:val="0010339C"/>
    <w:rsid w:val="00105236"/>
    <w:rsid w:val="001166D3"/>
    <w:rsid w:val="00117787"/>
    <w:rsid w:val="00131D42"/>
    <w:rsid w:val="0013210E"/>
    <w:rsid w:val="001633FB"/>
    <w:rsid w:val="00167786"/>
    <w:rsid w:val="001810F7"/>
    <w:rsid w:val="0018253D"/>
    <w:rsid w:val="00184E75"/>
    <w:rsid w:val="00190D67"/>
    <w:rsid w:val="001924C5"/>
    <w:rsid w:val="001A4E9A"/>
    <w:rsid w:val="001A537C"/>
    <w:rsid w:val="001A7DEB"/>
    <w:rsid w:val="001B1F67"/>
    <w:rsid w:val="001B4B04"/>
    <w:rsid w:val="001C3480"/>
    <w:rsid w:val="001C47E0"/>
    <w:rsid w:val="001C6663"/>
    <w:rsid w:val="001C7526"/>
    <w:rsid w:val="001C7895"/>
    <w:rsid w:val="001D26DF"/>
    <w:rsid w:val="001D2FDC"/>
    <w:rsid w:val="001D79DB"/>
    <w:rsid w:val="001E0B44"/>
    <w:rsid w:val="001F3FA0"/>
    <w:rsid w:val="001F6E40"/>
    <w:rsid w:val="00201F4E"/>
    <w:rsid w:val="00205343"/>
    <w:rsid w:val="00210B9C"/>
    <w:rsid w:val="00211E0B"/>
    <w:rsid w:val="002123CF"/>
    <w:rsid w:val="00213AFD"/>
    <w:rsid w:val="00216E92"/>
    <w:rsid w:val="00221506"/>
    <w:rsid w:val="0022235A"/>
    <w:rsid w:val="00224DD5"/>
    <w:rsid w:val="002309A7"/>
    <w:rsid w:val="0023193F"/>
    <w:rsid w:val="00232EC4"/>
    <w:rsid w:val="0023334A"/>
    <w:rsid w:val="00234AEB"/>
    <w:rsid w:val="00237785"/>
    <w:rsid w:val="00241466"/>
    <w:rsid w:val="0024773D"/>
    <w:rsid w:val="00254AD0"/>
    <w:rsid w:val="00255C1E"/>
    <w:rsid w:val="002656C7"/>
    <w:rsid w:val="002725CA"/>
    <w:rsid w:val="00274950"/>
    <w:rsid w:val="00274BB2"/>
    <w:rsid w:val="00277A29"/>
    <w:rsid w:val="00280EB7"/>
    <w:rsid w:val="00281C3B"/>
    <w:rsid w:val="002856AC"/>
    <w:rsid w:val="002951FA"/>
    <w:rsid w:val="00297C91"/>
    <w:rsid w:val="002A5472"/>
    <w:rsid w:val="002B1CDA"/>
    <w:rsid w:val="002B4076"/>
    <w:rsid w:val="002C1AE8"/>
    <w:rsid w:val="002C2549"/>
    <w:rsid w:val="002D0785"/>
    <w:rsid w:val="002D460D"/>
    <w:rsid w:val="0030379C"/>
    <w:rsid w:val="003107FA"/>
    <w:rsid w:val="0031366F"/>
    <w:rsid w:val="00314006"/>
    <w:rsid w:val="0032058E"/>
    <w:rsid w:val="003210B8"/>
    <w:rsid w:val="003229D8"/>
    <w:rsid w:val="00323424"/>
    <w:rsid w:val="0032486A"/>
    <w:rsid w:val="00327CC6"/>
    <w:rsid w:val="00337633"/>
    <w:rsid w:val="00342C3F"/>
    <w:rsid w:val="00344427"/>
    <w:rsid w:val="0034759C"/>
    <w:rsid w:val="00356186"/>
    <w:rsid w:val="0036127B"/>
    <w:rsid w:val="003637DE"/>
    <w:rsid w:val="00364E17"/>
    <w:rsid w:val="00375E8A"/>
    <w:rsid w:val="00383316"/>
    <w:rsid w:val="0039277A"/>
    <w:rsid w:val="00392D73"/>
    <w:rsid w:val="0039660B"/>
    <w:rsid w:val="00396E0E"/>
    <w:rsid w:val="003972E0"/>
    <w:rsid w:val="003A0447"/>
    <w:rsid w:val="003A0C75"/>
    <w:rsid w:val="003A5CDB"/>
    <w:rsid w:val="003C2CC4"/>
    <w:rsid w:val="003D4B23"/>
    <w:rsid w:val="003D679A"/>
    <w:rsid w:val="003D798A"/>
    <w:rsid w:val="003E587F"/>
    <w:rsid w:val="003E5A57"/>
    <w:rsid w:val="003F601E"/>
    <w:rsid w:val="004043C0"/>
    <w:rsid w:val="00406992"/>
    <w:rsid w:val="004116F7"/>
    <w:rsid w:val="0042233A"/>
    <w:rsid w:val="004262E2"/>
    <w:rsid w:val="00427B1C"/>
    <w:rsid w:val="00431FA3"/>
    <w:rsid w:val="004325CB"/>
    <w:rsid w:val="00432930"/>
    <w:rsid w:val="00437F3F"/>
    <w:rsid w:val="00442DF8"/>
    <w:rsid w:val="00445B82"/>
    <w:rsid w:val="00446DE4"/>
    <w:rsid w:val="00451925"/>
    <w:rsid w:val="00454036"/>
    <w:rsid w:val="00465AFB"/>
    <w:rsid w:val="00470BF5"/>
    <w:rsid w:val="00475645"/>
    <w:rsid w:val="00477D30"/>
    <w:rsid w:val="00483009"/>
    <w:rsid w:val="004914ED"/>
    <w:rsid w:val="004B2C9D"/>
    <w:rsid w:val="004B4905"/>
    <w:rsid w:val="004C35BA"/>
    <w:rsid w:val="004C5F8D"/>
    <w:rsid w:val="004C6FBA"/>
    <w:rsid w:val="004C71B6"/>
    <w:rsid w:val="004D4FEF"/>
    <w:rsid w:val="004D66DE"/>
    <w:rsid w:val="004E0188"/>
    <w:rsid w:val="004E05DD"/>
    <w:rsid w:val="004E1A64"/>
    <w:rsid w:val="004F0095"/>
    <w:rsid w:val="004F0881"/>
    <w:rsid w:val="004F60F8"/>
    <w:rsid w:val="00505B93"/>
    <w:rsid w:val="00522AC0"/>
    <w:rsid w:val="00527910"/>
    <w:rsid w:val="0053228D"/>
    <w:rsid w:val="00540BAA"/>
    <w:rsid w:val="005420F2"/>
    <w:rsid w:val="005458AF"/>
    <w:rsid w:val="00546FDA"/>
    <w:rsid w:val="00547C8F"/>
    <w:rsid w:val="005500DD"/>
    <w:rsid w:val="005501BE"/>
    <w:rsid w:val="00562335"/>
    <w:rsid w:val="00563498"/>
    <w:rsid w:val="00574A2E"/>
    <w:rsid w:val="00590144"/>
    <w:rsid w:val="0059588D"/>
    <w:rsid w:val="005967E3"/>
    <w:rsid w:val="00597FF3"/>
    <w:rsid w:val="005A4196"/>
    <w:rsid w:val="005A5510"/>
    <w:rsid w:val="005B03C6"/>
    <w:rsid w:val="005B3DB3"/>
    <w:rsid w:val="005B5195"/>
    <w:rsid w:val="005B77F6"/>
    <w:rsid w:val="005C6796"/>
    <w:rsid w:val="005C7602"/>
    <w:rsid w:val="005D2018"/>
    <w:rsid w:val="005D5DD6"/>
    <w:rsid w:val="005E731E"/>
    <w:rsid w:val="00604E72"/>
    <w:rsid w:val="00611FC4"/>
    <w:rsid w:val="00617637"/>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3F39"/>
    <w:rsid w:val="00676449"/>
    <w:rsid w:val="00677B83"/>
    <w:rsid w:val="00695A46"/>
    <w:rsid w:val="006A1372"/>
    <w:rsid w:val="006A1D67"/>
    <w:rsid w:val="006A7392"/>
    <w:rsid w:val="006B4408"/>
    <w:rsid w:val="006C0D34"/>
    <w:rsid w:val="006D12B1"/>
    <w:rsid w:val="006E564B"/>
    <w:rsid w:val="0070147D"/>
    <w:rsid w:val="00704CDB"/>
    <w:rsid w:val="00705B77"/>
    <w:rsid w:val="00711C13"/>
    <w:rsid w:val="0072632A"/>
    <w:rsid w:val="007277E4"/>
    <w:rsid w:val="007413E7"/>
    <w:rsid w:val="007434BC"/>
    <w:rsid w:val="00744314"/>
    <w:rsid w:val="007506B1"/>
    <w:rsid w:val="00767882"/>
    <w:rsid w:val="00783107"/>
    <w:rsid w:val="00785618"/>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2689"/>
    <w:rsid w:val="008175E9"/>
    <w:rsid w:val="008208BE"/>
    <w:rsid w:val="00823B1A"/>
    <w:rsid w:val="008242D7"/>
    <w:rsid w:val="00824C37"/>
    <w:rsid w:val="00831A89"/>
    <w:rsid w:val="00834DE4"/>
    <w:rsid w:val="00847442"/>
    <w:rsid w:val="00854B0D"/>
    <w:rsid w:val="00860540"/>
    <w:rsid w:val="00871B90"/>
    <w:rsid w:val="00871FD5"/>
    <w:rsid w:val="00875EAC"/>
    <w:rsid w:val="00884FD0"/>
    <w:rsid w:val="00894BC2"/>
    <w:rsid w:val="00895E97"/>
    <w:rsid w:val="008979B1"/>
    <w:rsid w:val="008A6B25"/>
    <w:rsid w:val="008A6C4F"/>
    <w:rsid w:val="008A7962"/>
    <w:rsid w:val="008B57B7"/>
    <w:rsid w:val="008C1297"/>
    <w:rsid w:val="008C1C03"/>
    <w:rsid w:val="008D517B"/>
    <w:rsid w:val="008D53CE"/>
    <w:rsid w:val="008E0E46"/>
    <w:rsid w:val="008F3C62"/>
    <w:rsid w:val="008F79EE"/>
    <w:rsid w:val="00900A39"/>
    <w:rsid w:val="00904FD7"/>
    <w:rsid w:val="00935FEF"/>
    <w:rsid w:val="00945A5D"/>
    <w:rsid w:val="00946A04"/>
    <w:rsid w:val="00953226"/>
    <w:rsid w:val="00957117"/>
    <w:rsid w:val="00962AD6"/>
    <w:rsid w:val="00963CBA"/>
    <w:rsid w:val="0097518C"/>
    <w:rsid w:val="00981190"/>
    <w:rsid w:val="009854F2"/>
    <w:rsid w:val="00986450"/>
    <w:rsid w:val="0099124E"/>
    <w:rsid w:val="00991261"/>
    <w:rsid w:val="009C48E5"/>
    <w:rsid w:val="009D1AAE"/>
    <w:rsid w:val="009D3E53"/>
    <w:rsid w:val="009E38E3"/>
    <w:rsid w:val="009F0551"/>
    <w:rsid w:val="009F0F06"/>
    <w:rsid w:val="009F1F45"/>
    <w:rsid w:val="00A01B3A"/>
    <w:rsid w:val="00A06E09"/>
    <w:rsid w:val="00A07689"/>
    <w:rsid w:val="00A1427D"/>
    <w:rsid w:val="00A144E0"/>
    <w:rsid w:val="00A23088"/>
    <w:rsid w:val="00A26DD0"/>
    <w:rsid w:val="00A33E9B"/>
    <w:rsid w:val="00A36E38"/>
    <w:rsid w:val="00A5197F"/>
    <w:rsid w:val="00A520F1"/>
    <w:rsid w:val="00A5704C"/>
    <w:rsid w:val="00A72F22"/>
    <w:rsid w:val="00A73040"/>
    <w:rsid w:val="00A748A6"/>
    <w:rsid w:val="00A75B6F"/>
    <w:rsid w:val="00A75EC9"/>
    <w:rsid w:val="00A8125E"/>
    <w:rsid w:val="00A8523D"/>
    <w:rsid w:val="00A879A4"/>
    <w:rsid w:val="00A87CAE"/>
    <w:rsid w:val="00A93914"/>
    <w:rsid w:val="00A93EFD"/>
    <w:rsid w:val="00AA04C0"/>
    <w:rsid w:val="00AA73F6"/>
    <w:rsid w:val="00AC1D2F"/>
    <w:rsid w:val="00AC2762"/>
    <w:rsid w:val="00AC5444"/>
    <w:rsid w:val="00AD22A1"/>
    <w:rsid w:val="00AD4A2A"/>
    <w:rsid w:val="00AD5295"/>
    <w:rsid w:val="00AE06E2"/>
    <w:rsid w:val="00AE5C5F"/>
    <w:rsid w:val="00AF523B"/>
    <w:rsid w:val="00AF56F0"/>
    <w:rsid w:val="00AF72E4"/>
    <w:rsid w:val="00B00227"/>
    <w:rsid w:val="00B02F64"/>
    <w:rsid w:val="00B06A8F"/>
    <w:rsid w:val="00B156A7"/>
    <w:rsid w:val="00B20FD5"/>
    <w:rsid w:val="00B250D7"/>
    <w:rsid w:val="00B30179"/>
    <w:rsid w:val="00B3094C"/>
    <w:rsid w:val="00B30FA9"/>
    <w:rsid w:val="00B3317B"/>
    <w:rsid w:val="00B41E3C"/>
    <w:rsid w:val="00B44060"/>
    <w:rsid w:val="00B51A46"/>
    <w:rsid w:val="00B55093"/>
    <w:rsid w:val="00B63E96"/>
    <w:rsid w:val="00B707EC"/>
    <w:rsid w:val="00B81E12"/>
    <w:rsid w:val="00B93068"/>
    <w:rsid w:val="00BA6930"/>
    <w:rsid w:val="00BB0133"/>
    <w:rsid w:val="00BB027F"/>
    <w:rsid w:val="00BC1BF4"/>
    <w:rsid w:val="00BC4EA5"/>
    <w:rsid w:val="00BC74E9"/>
    <w:rsid w:val="00BD0239"/>
    <w:rsid w:val="00BE618E"/>
    <w:rsid w:val="00BF169C"/>
    <w:rsid w:val="00BF7DE7"/>
    <w:rsid w:val="00C031EF"/>
    <w:rsid w:val="00C03C5A"/>
    <w:rsid w:val="00C07513"/>
    <w:rsid w:val="00C07A73"/>
    <w:rsid w:val="00C302FC"/>
    <w:rsid w:val="00C36FC0"/>
    <w:rsid w:val="00C42F21"/>
    <w:rsid w:val="00C44E98"/>
    <w:rsid w:val="00C463DD"/>
    <w:rsid w:val="00C50863"/>
    <w:rsid w:val="00C5283B"/>
    <w:rsid w:val="00C62F76"/>
    <w:rsid w:val="00C6651E"/>
    <w:rsid w:val="00C70190"/>
    <w:rsid w:val="00C745C3"/>
    <w:rsid w:val="00C94877"/>
    <w:rsid w:val="00C9533B"/>
    <w:rsid w:val="00CA2FB6"/>
    <w:rsid w:val="00CA6640"/>
    <w:rsid w:val="00CB2FC3"/>
    <w:rsid w:val="00CB3924"/>
    <w:rsid w:val="00CB44CD"/>
    <w:rsid w:val="00CB4E01"/>
    <w:rsid w:val="00CB567B"/>
    <w:rsid w:val="00CC5473"/>
    <w:rsid w:val="00CD3225"/>
    <w:rsid w:val="00CD4DBA"/>
    <w:rsid w:val="00CD5FED"/>
    <w:rsid w:val="00CD6E3A"/>
    <w:rsid w:val="00CE46BA"/>
    <w:rsid w:val="00CE4A8F"/>
    <w:rsid w:val="00CE5C55"/>
    <w:rsid w:val="00CF5E82"/>
    <w:rsid w:val="00CF74F9"/>
    <w:rsid w:val="00CF7E49"/>
    <w:rsid w:val="00D12328"/>
    <w:rsid w:val="00D1524C"/>
    <w:rsid w:val="00D16675"/>
    <w:rsid w:val="00D2031B"/>
    <w:rsid w:val="00D25FE2"/>
    <w:rsid w:val="00D265D3"/>
    <w:rsid w:val="00D40043"/>
    <w:rsid w:val="00D42D7F"/>
    <w:rsid w:val="00D42E97"/>
    <w:rsid w:val="00D43133"/>
    <w:rsid w:val="00D43252"/>
    <w:rsid w:val="00D46231"/>
    <w:rsid w:val="00D50288"/>
    <w:rsid w:val="00D57D98"/>
    <w:rsid w:val="00D6027D"/>
    <w:rsid w:val="00D625F6"/>
    <w:rsid w:val="00D63ED2"/>
    <w:rsid w:val="00D71E33"/>
    <w:rsid w:val="00D729F2"/>
    <w:rsid w:val="00D753D8"/>
    <w:rsid w:val="00D75958"/>
    <w:rsid w:val="00D770FE"/>
    <w:rsid w:val="00D804E3"/>
    <w:rsid w:val="00D92235"/>
    <w:rsid w:val="00D948D6"/>
    <w:rsid w:val="00D96CC5"/>
    <w:rsid w:val="00D978C6"/>
    <w:rsid w:val="00DA10B3"/>
    <w:rsid w:val="00DA412F"/>
    <w:rsid w:val="00DA4AA3"/>
    <w:rsid w:val="00DA67AD"/>
    <w:rsid w:val="00DA6D5E"/>
    <w:rsid w:val="00DB63BF"/>
    <w:rsid w:val="00DC3045"/>
    <w:rsid w:val="00DD3691"/>
    <w:rsid w:val="00DD62B9"/>
    <w:rsid w:val="00DE71E5"/>
    <w:rsid w:val="00DF1C31"/>
    <w:rsid w:val="00DF6FE9"/>
    <w:rsid w:val="00E01B41"/>
    <w:rsid w:val="00E130AB"/>
    <w:rsid w:val="00E1345B"/>
    <w:rsid w:val="00E1679E"/>
    <w:rsid w:val="00E25396"/>
    <w:rsid w:val="00E36B6D"/>
    <w:rsid w:val="00E555D6"/>
    <w:rsid w:val="00E55A9E"/>
    <w:rsid w:val="00E5644E"/>
    <w:rsid w:val="00E647C1"/>
    <w:rsid w:val="00E7260F"/>
    <w:rsid w:val="00E81230"/>
    <w:rsid w:val="00E81E3C"/>
    <w:rsid w:val="00E8535A"/>
    <w:rsid w:val="00E877D6"/>
    <w:rsid w:val="00E94FBF"/>
    <w:rsid w:val="00E96630"/>
    <w:rsid w:val="00E96952"/>
    <w:rsid w:val="00E97632"/>
    <w:rsid w:val="00EA3854"/>
    <w:rsid w:val="00EA6E78"/>
    <w:rsid w:val="00EA772F"/>
    <w:rsid w:val="00EB459A"/>
    <w:rsid w:val="00EB521D"/>
    <w:rsid w:val="00EB6832"/>
    <w:rsid w:val="00EC271A"/>
    <w:rsid w:val="00EC4D9F"/>
    <w:rsid w:val="00EC6F05"/>
    <w:rsid w:val="00ED14CB"/>
    <w:rsid w:val="00ED4A3F"/>
    <w:rsid w:val="00ED7A2A"/>
    <w:rsid w:val="00ED7CE1"/>
    <w:rsid w:val="00EE2823"/>
    <w:rsid w:val="00EF1D7F"/>
    <w:rsid w:val="00EF6416"/>
    <w:rsid w:val="00F0135D"/>
    <w:rsid w:val="00F120E2"/>
    <w:rsid w:val="00F24FD9"/>
    <w:rsid w:val="00F32720"/>
    <w:rsid w:val="00F346A2"/>
    <w:rsid w:val="00F40E75"/>
    <w:rsid w:val="00F41253"/>
    <w:rsid w:val="00F45F64"/>
    <w:rsid w:val="00F52545"/>
    <w:rsid w:val="00F53EDF"/>
    <w:rsid w:val="00F54674"/>
    <w:rsid w:val="00F608CD"/>
    <w:rsid w:val="00F638EE"/>
    <w:rsid w:val="00F65682"/>
    <w:rsid w:val="00F834A1"/>
    <w:rsid w:val="00F9407A"/>
    <w:rsid w:val="00FB521E"/>
    <w:rsid w:val="00FB7353"/>
    <w:rsid w:val="00FC48A3"/>
    <w:rsid w:val="00FC68B7"/>
    <w:rsid w:val="00FD33E5"/>
    <w:rsid w:val="00FD46DB"/>
    <w:rsid w:val="00FD6B2B"/>
    <w:rsid w:val="00FE4B06"/>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4FD6B4"/>
  <w15:docId w15:val="{67FC2A0C-2772-4702-99C8-6288D219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uiPriority w:val="99"/>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table" w:customStyle="1" w:styleId="TableNormal1">
    <w:name w:val="Table Normal1"/>
    <w:uiPriority w:val="2"/>
    <w:semiHidden/>
    <w:unhideWhenUsed/>
    <w:qFormat/>
    <w:rsid w:val="00C30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02FC"/>
    <w:pPr>
      <w:widowControl w:val="0"/>
      <w:suppressAutoHyphens w:val="0"/>
      <w:autoSpaceDE w:val="0"/>
      <w:autoSpaceDN w:val="0"/>
      <w:spacing w:line="240" w:lineRule="auto"/>
    </w:pPr>
    <w:rPr>
      <w:sz w:val="22"/>
      <w:szCs w:val="22"/>
      <w:lang w:val="en-US" w:bidi="en-US"/>
    </w:rPr>
  </w:style>
  <w:style w:type="paragraph" w:styleId="Revision">
    <w:name w:val="Revision"/>
    <w:hidden/>
    <w:uiPriority w:val="99"/>
    <w:semiHidden/>
    <w:rsid w:val="00FD46D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3085">
      <w:bodyDiv w:val="1"/>
      <w:marLeft w:val="0"/>
      <w:marRight w:val="0"/>
      <w:marTop w:val="0"/>
      <w:marBottom w:val="0"/>
      <w:divBdr>
        <w:top w:val="none" w:sz="0" w:space="0" w:color="auto"/>
        <w:left w:val="none" w:sz="0" w:space="0" w:color="auto"/>
        <w:bottom w:val="none" w:sz="0" w:space="0" w:color="auto"/>
        <w:right w:val="none" w:sz="0" w:space="0" w:color="auto"/>
      </w:divBdr>
    </w:div>
    <w:div w:id="823669675">
      <w:bodyDiv w:val="1"/>
      <w:marLeft w:val="0"/>
      <w:marRight w:val="0"/>
      <w:marTop w:val="0"/>
      <w:marBottom w:val="0"/>
      <w:divBdr>
        <w:top w:val="none" w:sz="0" w:space="0" w:color="auto"/>
        <w:left w:val="none" w:sz="0" w:space="0" w:color="auto"/>
        <w:bottom w:val="none" w:sz="0" w:space="0" w:color="auto"/>
        <w:right w:val="none" w:sz="0" w:space="0" w:color="auto"/>
      </w:divBdr>
    </w:div>
    <w:div w:id="830801897">
      <w:bodyDiv w:val="1"/>
      <w:marLeft w:val="0"/>
      <w:marRight w:val="0"/>
      <w:marTop w:val="0"/>
      <w:marBottom w:val="0"/>
      <w:divBdr>
        <w:top w:val="none" w:sz="0" w:space="0" w:color="auto"/>
        <w:left w:val="none" w:sz="0" w:space="0" w:color="auto"/>
        <w:bottom w:val="none" w:sz="0" w:space="0" w:color="auto"/>
        <w:right w:val="none" w:sz="0" w:space="0" w:color="auto"/>
      </w:divBdr>
    </w:div>
    <w:div w:id="1121845606">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7255-9CB5-432F-973B-3FFD74E2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44</TotalTime>
  <Pages>5</Pages>
  <Words>1728</Words>
  <Characters>9526</Characters>
  <Application>Microsoft Office Word</Application>
  <DocSecurity>0</DocSecurity>
  <Lines>198</Lines>
  <Paragraphs>97</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8</cp:revision>
  <cp:lastPrinted>2018-09-05T12:41:00Z</cp:lastPrinted>
  <dcterms:created xsi:type="dcterms:W3CDTF">2018-08-31T14:58:00Z</dcterms:created>
  <dcterms:modified xsi:type="dcterms:W3CDTF">2018-09-05T12:43:00Z</dcterms:modified>
</cp:coreProperties>
</file>