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C2634F" w14:paraId="59E3EDB1" w14:textId="77777777" w:rsidTr="00145C55">
        <w:tc>
          <w:tcPr>
            <w:tcW w:w="4962" w:type="dxa"/>
          </w:tcPr>
          <w:p w14:paraId="69E9B6A6" w14:textId="2E2F3AE2" w:rsidR="00880B8B" w:rsidRPr="00B5381D" w:rsidRDefault="00852FA8" w:rsidP="00121027">
            <w:pPr>
              <w:pStyle w:val="Header"/>
              <w:rPr>
                <w:sz w:val="20"/>
                <w:szCs w:val="20"/>
                <w:lang w:val="en-GB"/>
              </w:rPr>
            </w:pPr>
            <w:r w:rsidRPr="00B5381D">
              <w:rPr>
                <w:sz w:val="20"/>
                <w:szCs w:val="20"/>
                <w:lang w:val="en-GB"/>
              </w:rPr>
              <w:t xml:space="preserve">Submitted by </w:t>
            </w:r>
            <w:r w:rsidR="00F65389" w:rsidRPr="00B5381D">
              <w:rPr>
                <w:sz w:val="20"/>
                <w:szCs w:val="20"/>
                <w:lang w:val="en-GB"/>
              </w:rPr>
              <w:t xml:space="preserve">the expert from </w:t>
            </w:r>
            <w:r w:rsidR="00F30423">
              <w:rPr>
                <w:sz w:val="20"/>
                <w:szCs w:val="20"/>
                <w:lang w:val="en-GB"/>
              </w:rPr>
              <w:t>The Netherlands</w:t>
            </w:r>
          </w:p>
          <w:p w14:paraId="4610E5B5" w14:textId="77777777" w:rsidR="00880B8B" w:rsidRPr="00B5381D" w:rsidRDefault="00880B8B" w:rsidP="00121027">
            <w:pPr>
              <w:pStyle w:val="Header"/>
              <w:rPr>
                <w:sz w:val="16"/>
                <w:szCs w:val="16"/>
                <w:lang w:val="en-GB"/>
              </w:rPr>
            </w:pPr>
          </w:p>
        </w:tc>
        <w:tc>
          <w:tcPr>
            <w:tcW w:w="4961" w:type="dxa"/>
          </w:tcPr>
          <w:p w14:paraId="11491DB5" w14:textId="19007CCB" w:rsidR="006A522A" w:rsidRPr="00B5381D" w:rsidRDefault="006A522A" w:rsidP="006C3413">
            <w:pPr>
              <w:ind w:left="742"/>
              <w:rPr>
                <w:b/>
                <w:bCs/>
                <w:sz w:val="20"/>
                <w:szCs w:val="20"/>
                <w:lang w:val="en-GB"/>
              </w:rPr>
            </w:pPr>
            <w:r w:rsidRPr="00B5381D">
              <w:rPr>
                <w:sz w:val="20"/>
                <w:szCs w:val="20"/>
                <w:u w:val="single"/>
                <w:lang w:val="en-GB"/>
              </w:rPr>
              <w:t>Informal document</w:t>
            </w:r>
            <w:r w:rsidRPr="00B5381D">
              <w:rPr>
                <w:sz w:val="20"/>
                <w:szCs w:val="20"/>
                <w:lang w:val="en-GB"/>
              </w:rPr>
              <w:t xml:space="preserve"> </w:t>
            </w:r>
            <w:r w:rsidRPr="00B5381D">
              <w:rPr>
                <w:b/>
                <w:bCs/>
                <w:sz w:val="20"/>
                <w:szCs w:val="20"/>
                <w:lang w:val="en-GB"/>
              </w:rPr>
              <w:t>GRSG-</w:t>
            </w:r>
            <w:r w:rsidR="000771D9" w:rsidRPr="00B5381D">
              <w:rPr>
                <w:b/>
                <w:bCs/>
                <w:sz w:val="20"/>
                <w:szCs w:val="20"/>
                <w:lang w:val="en-GB"/>
              </w:rPr>
              <w:t>1</w:t>
            </w:r>
            <w:r w:rsidR="003162B0">
              <w:rPr>
                <w:b/>
                <w:bCs/>
                <w:sz w:val="20"/>
                <w:szCs w:val="20"/>
                <w:lang w:val="en-GB"/>
              </w:rPr>
              <w:t>13</w:t>
            </w:r>
            <w:r w:rsidRPr="00B5381D">
              <w:rPr>
                <w:b/>
                <w:bCs/>
                <w:sz w:val="20"/>
                <w:szCs w:val="20"/>
                <w:lang w:val="en-GB"/>
              </w:rPr>
              <w:t>-</w:t>
            </w:r>
            <w:r w:rsidR="006F5366">
              <w:rPr>
                <w:b/>
                <w:bCs/>
                <w:sz w:val="20"/>
                <w:szCs w:val="20"/>
                <w:lang w:val="en-GB"/>
              </w:rPr>
              <w:t>26</w:t>
            </w:r>
          </w:p>
          <w:p w14:paraId="3D057123" w14:textId="77777777" w:rsidR="006A522A" w:rsidRPr="00B5381D" w:rsidRDefault="007B0133" w:rsidP="00147968">
            <w:pPr>
              <w:pStyle w:val="Header"/>
              <w:ind w:left="742"/>
              <w:rPr>
                <w:sz w:val="20"/>
                <w:szCs w:val="20"/>
                <w:lang w:val="en-GB"/>
              </w:rPr>
            </w:pPr>
            <w:r w:rsidRPr="00B5381D">
              <w:rPr>
                <w:sz w:val="20"/>
                <w:szCs w:val="20"/>
                <w:lang w:val="en-GB"/>
              </w:rPr>
              <w:t>(</w:t>
            </w:r>
            <w:r w:rsidR="00262ADB" w:rsidRPr="00B5381D">
              <w:rPr>
                <w:sz w:val="20"/>
                <w:szCs w:val="20"/>
                <w:lang w:val="en-GB"/>
              </w:rPr>
              <w:t>1</w:t>
            </w:r>
            <w:r w:rsidR="003C3232" w:rsidRPr="00B5381D">
              <w:rPr>
                <w:sz w:val="20"/>
                <w:szCs w:val="20"/>
                <w:lang w:val="en-GB"/>
              </w:rPr>
              <w:t>1</w:t>
            </w:r>
            <w:r w:rsidR="003162B0">
              <w:rPr>
                <w:sz w:val="20"/>
                <w:szCs w:val="20"/>
                <w:lang w:val="en-GB"/>
              </w:rPr>
              <w:t>3</w:t>
            </w:r>
            <w:r w:rsidR="00121027" w:rsidRPr="00B5381D">
              <w:rPr>
                <w:sz w:val="20"/>
                <w:szCs w:val="20"/>
                <w:vertAlign w:val="superscript"/>
                <w:lang w:val="en-GB"/>
              </w:rPr>
              <w:t>th</w:t>
            </w:r>
            <w:r w:rsidR="000771D9" w:rsidRPr="00B5381D">
              <w:rPr>
                <w:sz w:val="20"/>
                <w:szCs w:val="20"/>
                <w:lang w:val="en-GB"/>
              </w:rPr>
              <w:t xml:space="preserve"> </w:t>
            </w:r>
            <w:r w:rsidR="006A522A" w:rsidRPr="00B5381D">
              <w:rPr>
                <w:sz w:val="20"/>
                <w:szCs w:val="20"/>
                <w:lang w:val="en-GB"/>
              </w:rPr>
              <w:t xml:space="preserve">GRSG, </w:t>
            </w:r>
            <w:r w:rsidR="00A119AD" w:rsidRPr="00B5381D">
              <w:rPr>
                <w:sz w:val="20"/>
                <w:szCs w:val="20"/>
                <w:lang w:val="en-GB"/>
              </w:rPr>
              <w:t xml:space="preserve">11-14 October </w:t>
            </w:r>
            <w:r w:rsidR="007B2E2A" w:rsidRPr="00B5381D">
              <w:rPr>
                <w:sz w:val="20"/>
                <w:szCs w:val="20"/>
                <w:lang w:val="en-GB"/>
              </w:rPr>
              <w:t>201</w:t>
            </w:r>
            <w:r w:rsidR="003162B0">
              <w:rPr>
                <w:sz w:val="20"/>
                <w:szCs w:val="20"/>
                <w:lang w:val="en-GB"/>
              </w:rPr>
              <w:t>7</w:t>
            </w:r>
          </w:p>
          <w:p w14:paraId="14D21107" w14:textId="082C5681" w:rsidR="006A522A" w:rsidRPr="00B5381D" w:rsidRDefault="003D4BFE" w:rsidP="00862995">
            <w:pPr>
              <w:pStyle w:val="Header"/>
              <w:ind w:left="742"/>
              <w:rPr>
                <w:sz w:val="20"/>
                <w:szCs w:val="20"/>
                <w:lang w:val="en-GB"/>
              </w:rPr>
            </w:pPr>
            <w:r w:rsidRPr="00B5381D">
              <w:rPr>
                <w:sz w:val="20"/>
                <w:szCs w:val="20"/>
                <w:lang w:val="en-GB"/>
              </w:rPr>
              <w:t>a</w:t>
            </w:r>
            <w:r w:rsidR="00DB209F" w:rsidRPr="00B5381D">
              <w:rPr>
                <w:sz w:val="20"/>
                <w:szCs w:val="20"/>
                <w:lang w:val="en-GB"/>
              </w:rPr>
              <w:t xml:space="preserve">genda item </w:t>
            </w:r>
            <w:r w:rsidR="004A6896">
              <w:rPr>
                <w:sz w:val="20"/>
                <w:szCs w:val="20"/>
                <w:lang w:val="en-GB"/>
              </w:rPr>
              <w:t>6(</w:t>
            </w:r>
            <w:r w:rsidR="00862995">
              <w:rPr>
                <w:sz w:val="20"/>
                <w:szCs w:val="20"/>
                <w:lang w:val="en-GB"/>
              </w:rPr>
              <w:t>b</w:t>
            </w:r>
            <w:r w:rsidR="004A6896">
              <w:rPr>
                <w:sz w:val="20"/>
                <w:szCs w:val="20"/>
                <w:lang w:val="en-GB"/>
              </w:rPr>
              <w:t>)</w:t>
            </w:r>
            <w:r w:rsidR="006A522A" w:rsidRPr="00B5381D">
              <w:rPr>
                <w:sz w:val="20"/>
                <w:szCs w:val="20"/>
                <w:lang w:val="en-GB"/>
              </w:rPr>
              <w:t>)</w:t>
            </w:r>
          </w:p>
        </w:tc>
      </w:tr>
    </w:tbl>
    <w:p w14:paraId="18228954" w14:textId="7E63BA71" w:rsidR="00C07DE9" w:rsidRPr="00B5381D" w:rsidRDefault="002E1BD4" w:rsidP="00490F1F">
      <w:pPr>
        <w:spacing w:before="240" w:line="240" w:lineRule="atLeast"/>
        <w:ind w:left="709" w:right="454"/>
        <w:rPr>
          <w:b/>
          <w:sz w:val="28"/>
          <w:szCs w:val="28"/>
          <w:lang w:val="en-GB" w:eastAsia="en-US"/>
        </w:rPr>
      </w:pPr>
      <w:r w:rsidRPr="00B5381D">
        <w:rPr>
          <w:b/>
          <w:sz w:val="28"/>
          <w:szCs w:val="28"/>
          <w:lang w:val="en-GB" w:eastAsia="en-US"/>
        </w:rPr>
        <w:t xml:space="preserve">Proposal for amendments </w:t>
      </w:r>
      <w:r w:rsidR="00273848">
        <w:rPr>
          <w:b/>
          <w:sz w:val="28"/>
          <w:szCs w:val="28"/>
          <w:lang w:val="en-GB" w:eastAsia="en-US"/>
        </w:rPr>
        <w:t xml:space="preserve">to </w:t>
      </w:r>
      <w:r w:rsidR="003162B0">
        <w:rPr>
          <w:b/>
          <w:sz w:val="28"/>
          <w:szCs w:val="28"/>
          <w:lang w:val="en-GB" w:eastAsia="en-US"/>
        </w:rPr>
        <w:t xml:space="preserve">Regulation No. </w:t>
      </w:r>
      <w:r w:rsidR="00AA3435">
        <w:rPr>
          <w:b/>
          <w:sz w:val="28"/>
          <w:szCs w:val="28"/>
          <w:lang w:val="en-GB" w:eastAsia="en-US"/>
        </w:rPr>
        <w:t>110</w:t>
      </w:r>
      <w:r w:rsidR="00C07DE9" w:rsidRPr="00B5381D">
        <w:rPr>
          <w:b/>
          <w:sz w:val="28"/>
          <w:szCs w:val="28"/>
          <w:lang w:val="en-GB" w:eastAsia="en-US"/>
        </w:rPr>
        <w:t xml:space="preserve"> </w:t>
      </w:r>
      <w:r w:rsidR="003162B0">
        <w:rPr>
          <w:b/>
          <w:sz w:val="28"/>
          <w:szCs w:val="28"/>
          <w:lang w:val="en-GB" w:eastAsia="en-US"/>
        </w:rPr>
        <w:t>–</w:t>
      </w:r>
      <w:r w:rsidR="00C07DE9" w:rsidRPr="00B5381D">
        <w:rPr>
          <w:b/>
          <w:sz w:val="28"/>
          <w:szCs w:val="28"/>
          <w:lang w:val="en-GB" w:eastAsia="en-US"/>
        </w:rPr>
        <w:t xml:space="preserve"> </w:t>
      </w:r>
      <w:r w:rsidR="00AA3435">
        <w:rPr>
          <w:b/>
          <w:sz w:val="28"/>
          <w:szCs w:val="28"/>
          <w:lang w:val="en-GB" w:eastAsia="en-US"/>
        </w:rPr>
        <w:t>CNG/LNG</w:t>
      </w:r>
      <w:r w:rsidR="003162B0">
        <w:rPr>
          <w:b/>
          <w:sz w:val="28"/>
          <w:szCs w:val="28"/>
          <w:lang w:val="en-GB" w:eastAsia="en-US"/>
        </w:rPr>
        <w:t xml:space="preserve"> vehicles</w:t>
      </w:r>
    </w:p>
    <w:p w14:paraId="7FFB0FD0" w14:textId="77777777" w:rsidR="0018173C" w:rsidRPr="00B5381D" w:rsidRDefault="0018173C" w:rsidP="002E1BD4">
      <w:pPr>
        <w:spacing w:line="240" w:lineRule="atLeast"/>
        <w:ind w:left="567" w:right="454"/>
        <w:rPr>
          <w:lang w:val="en-GB"/>
        </w:rPr>
      </w:pPr>
    </w:p>
    <w:p w14:paraId="5D9A9685" w14:textId="2B1B1715" w:rsidR="000B4763" w:rsidRPr="00B5381D" w:rsidRDefault="000B4763" w:rsidP="00AB3A9F">
      <w:pPr>
        <w:ind w:left="709" w:right="593"/>
        <w:jc w:val="both"/>
        <w:rPr>
          <w:sz w:val="20"/>
          <w:szCs w:val="20"/>
          <w:lang w:val="en-GB"/>
        </w:rPr>
      </w:pPr>
      <w:r w:rsidRPr="00B5381D">
        <w:rPr>
          <w:sz w:val="20"/>
          <w:szCs w:val="20"/>
          <w:lang w:val="en-GB"/>
        </w:rPr>
        <w:t xml:space="preserve">The text reproduced below was prepared by </w:t>
      </w:r>
      <w:r w:rsidR="00AA3435">
        <w:rPr>
          <w:sz w:val="20"/>
          <w:szCs w:val="20"/>
          <w:lang w:val="en-GB"/>
        </w:rPr>
        <w:t>The Netherlands</w:t>
      </w:r>
      <w:r w:rsidR="00482935">
        <w:rPr>
          <w:sz w:val="20"/>
          <w:szCs w:val="20"/>
          <w:lang w:val="en-GB"/>
        </w:rPr>
        <w:t xml:space="preserve"> </w:t>
      </w:r>
      <w:r w:rsidRPr="00B5381D">
        <w:rPr>
          <w:sz w:val="20"/>
          <w:szCs w:val="20"/>
          <w:lang w:val="en-GB"/>
        </w:rPr>
        <w:t xml:space="preserve">proposing </w:t>
      </w:r>
      <w:r w:rsidR="001B3605">
        <w:rPr>
          <w:sz w:val="20"/>
          <w:szCs w:val="20"/>
          <w:lang w:val="en-GB"/>
        </w:rPr>
        <w:t xml:space="preserve">to </w:t>
      </w:r>
      <w:r w:rsidR="00BE77B0">
        <w:rPr>
          <w:sz w:val="20"/>
          <w:szCs w:val="20"/>
          <w:lang w:val="en-GB"/>
        </w:rPr>
        <w:t xml:space="preserve">correct </w:t>
      </w:r>
      <w:r w:rsidR="000E21B9">
        <w:rPr>
          <w:sz w:val="20"/>
          <w:szCs w:val="20"/>
          <w:lang w:val="en-GB"/>
        </w:rPr>
        <w:t>and</w:t>
      </w:r>
      <w:r w:rsidR="00BE77B0">
        <w:rPr>
          <w:sz w:val="20"/>
          <w:szCs w:val="20"/>
          <w:lang w:val="en-GB"/>
        </w:rPr>
        <w:t xml:space="preserve"> introduce references</w:t>
      </w:r>
      <w:r w:rsidR="00AA3435">
        <w:rPr>
          <w:sz w:val="20"/>
          <w:szCs w:val="20"/>
          <w:lang w:val="en-GB"/>
        </w:rPr>
        <w:t xml:space="preserve"> </w:t>
      </w:r>
      <w:r w:rsidR="00BE77B0">
        <w:rPr>
          <w:sz w:val="20"/>
          <w:szCs w:val="20"/>
          <w:lang w:val="en-GB"/>
        </w:rPr>
        <w:t xml:space="preserve">within </w:t>
      </w:r>
      <w:r w:rsidR="00AA3435">
        <w:rPr>
          <w:sz w:val="20"/>
          <w:szCs w:val="20"/>
          <w:lang w:val="en-GB"/>
        </w:rPr>
        <w:t xml:space="preserve">UN </w:t>
      </w:r>
      <w:r w:rsidR="00AA3435" w:rsidRPr="00B5381D">
        <w:rPr>
          <w:sz w:val="20"/>
          <w:szCs w:val="20"/>
          <w:lang w:val="en-GB"/>
        </w:rPr>
        <w:t xml:space="preserve">Regulation No. </w:t>
      </w:r>
      <w:r w:rsidR="00AA3435">
        <w:rPr>
          <w:sz w:val="20"/>
          <w:szCs w:val="20"/>
          <w:lang w:val="en-GB"/>
        </w:rPr>
        <w:t>110</w:t>
      </w:r>
      <w:r w:rsidR="003162B0">
        <w:rPr>
          <w:sz w:val="20"/>
          <w:szCs w:val="20"/>
          <w:lang w:val="en-GB"/>
        </w:rPr>
        <w:t xml:space="preserve">. Modifications </w:t>
      </w:r>
      <w:r w:rsidR="00482935">
        <w:rPr>
          <w:sz w:val="20"/>
          <w:szCs w:val="20"/>
          <w:lang w:val="en-GB"/>
        </w:rPr>
        <w:t xml:space="preserve">to the original text </w:t>
      </w:r>
      <w:r w:rsidRPr="00B5381D">
        <w:rPr>
          <w:sz w:val="20"/>
          <w:szCs w:val="20"/>
          <w:lang w:val="en-GB"/>
        </w:rPr>
        <w:t>are marked in bold for new characters and strikethrough for deleted characters.</w:t>
      </w:r>
    </w:p>
    <w:p w14:paraId="0E8D652E" w14:textId="77777777" w:rsidR="000B4763" w:rsidRPr="00304C36" w:rsidRDefault="000B4763" w:rsidP="000B4763">
      <w:pPr>
        <w:spacing w:before="360" w:after="240"/>
        <w:ind w:left="1134" w:right="1134" w:hanging="567"/>
        <w:jc w:val="both"/>
        <w:rPr>
          <w:b/>
          <w:sz w:val="28"/>
          <w:lang w:val="en-GB"/>
        </w:rPr>
      </w:pPr>
      <w:r w:rsidRPr="00304C36">
        <w:rPr>
          <w:b/>
          <w:sz w:val="28"/>
          <w:lang w:val="en-GB"/>
        </w:rPr>
        <w:t>I.</w:t>
      </w:r>
      <w:r w:rsidRPr="00304C36">
        <w:rPr>
          <w:b/>
          <w:sz w:val="28"/>
          <w:lang w:val="en-GB"/>
        </w:rPr>
        <w:tab/>
        <w:t>Proposal</w:t>
      </w:r>
    </w:p>
    <w:p w14:paraId="31C9593E" w14:textId="77777777" w:rsidR="00C2634F" w:rsidRPr="004551B6" w:rsidRDefault="00C2634F" w:rsidP="00C2634F">
      <w:pPr>
        <w:tabs>
          <w:tab w:val="left" w:pos="2835"/>
        </w:tabs>
        <w:spacing w:before="120" w:after="120"/>
        <w:ind w:left="1134" w:right="593"/>
        <w:jc w:val="both"/>
        <w:rPr>
          <w:i/>
          <w:sz w:val="20"/>
          <w:lang w:val="en-GB"/>
        </w:rPr>
      </w:pPr>
      <w:r w:rsidRPr="004551B6">
        <w:rPr>
          <w:i/>
          <w:sz w:val="20"/>
          <w:lang w:val="en-GB"/>
        </w:rPr>
        <w:t>Annex 4D</w:t>
      </w:r>
      <w:r>
        <w:rPr>
          <w:i/>
          <w:sz w:val="20"/>
          <w:lang w:val="en-GB"/>
        </w:rPr>
        <w:t>,</w:t>
      </w:r>
      <w:r w:rsidRPr="004551B6">
        <w:rPr>
          <w:i/>
          <w:sz w:val="20"/>
          <w:lang w:val="en-GB"/>
        </w:rPr>
        <w:t xml:space="preserve"> </w:t>
      </w:r>
      <w:r>
        <w:rPr>
          <w:i/>
          <w:sz w:val="20"/>
          <w:lang w:val="en-GB"/>
        </w:rPr>
        <w:t>paragraph 2.2</w:t>
      </w:r>
      <w:r w:rsidRPr="006F5366">
        <w:rPr>
          <w:sz w:val="20"/>
          <w:lang w:val="en-GB"/>
        </w:rPr>
        <w:t>.</w:t>
      </w:r>
      <w:proofErr w:type="gramStart"/>
      <w:r w:rsidRPr="006F5366">
        <w:rPr>
          <w:sz w:val="20"/>
          <w:lang w:val="en-GB"/>
        </w:rPr>
        <w:t>,</w:t>
      </w:r>
      <w:proofErr w:type="gramEnd"/>
      <w:r w:rsidRPr="006F5366">
        <w:rPr>
          <w:sz w:val="20"/>
          <w:lang w:val="en-GB"/>
        </w:rPr>
        <w:t xml:space="preserve"> insert a new reference to Annex 5Q to read:</w:t>
      </w:r>
    </w:p>
    <w:p w14:paraId="147174DF" w14:textId="77777777" w:rsidR="00C2634F" w:rsidRDefault="00C2634F" w:rsidP="00C2634F">
      <w:pPr>
        <w:tabs>
          <w:tab w:val="left" w:pos="1701"/>
          <w:tab w:val="left" w:pos="2835"/>
        </w:tabs>
        <w:spacing w:before="120" w:after="120"/>
        <w:ind w:left="1701" w:right="593" w:hanging="567"/>
        <w:jc w:val="both"/>
        <w:rPr>
          <w:sz w:val="20"/>
          <w:lang w:val="en-GB"/>
        </w:rPr>
      </w:pPr>
      <w:r>
        <w:rPr>
          <w:sz w:val="20"/>
          <w:lang w:val="en-GB"/>
        </w:rPr>
        <w:t>"2.2.</w:t>
      </w:r>
      <w:r>
        <w:rPr>
          <w:sz w:val="20"/>
          <w:lang w:val="en-GB"/>
        </w:rPr>
        <w:tab/>
      </w:r>
      <w:r w:rsidRPr="004551B6">
        <w:rPr>
          <w:sz w:val="20"/>
          <w:lang w:val="en-GB"/>
        </w:rPr>
        <w:t xml:space="preserve">The materials constituting the regulator which are in contact with the heat exchange medium of the regulator when operating, shall be compatible with that fluid, </w:t>
      </w:r>
      <w:r w:rsidRPr="004551B6">
        <w:rPr>
          <w:b/>
          <w:sz w:val="20"/>
          <w:lang w:val="en-GB"/>
        </w:rPr>
        <w:t>the procedure in Annex 5Q shall be used</w:t>
      </w:r>
      <w:r w:rsidRPr="006F5366">
        <w:rPr>
          <w:sz w:val="20"/>
          <w:lang w:val="en-GB"/>
        </w:rPr>
        <w:t>.</w:t>
      </w:r>
      <w:r>
        <w:rPr>
          <w:sz w:val="20"/>
          <w:lang w:val="en-GB"/>
        </w:rPr>
        <w:t>"</w:t>
      </w:r>
    </w:p>
    <w:p w14:paraId="5F9D3E37" w14:textId="77777777" w:rsidR="00C2634F" w:rsidRPr="006F5366" w:rsidRDefault="00C2634F" w:rsidP="00C2634F">
      <w:pPr>
        <w:tabs>
          <w:tab w:val="left" w:pos="1701"/>
          <w:tab w:val="left" w:pos="2835"/>
        </w:tabs>
        <w:spacing w:before="120" w:after="120"/>
        <w:ind w:left="1701" w:right="593" w:hanging="567"/>
        <w:jc w:val="both"/>
        <w:rPr>
          <w:sz w:val="20"/>
          <w:lang w:val="en-GB"/>
        </w:rPr>
      </w:pPr>
    </w:p>
    <w:p w14:paraId="2E68AE74" w14:textId="77777777" w:rsidR="00C2634F" w:rsidRPr="004551B6" w:rsidRDefault="00C2634F" w:rsidP="00C2634F">
      <w:pPr>
        <w:tabs>
          <w:tab w:val="left" w:pos="1701"/>
          <w:tab w:val="left" w:pos="2835"/>
        </w:tabs>
        <w:spacing w:before="120" w:after="120"/>
        <w:ind w:left="1701" w:right="593" w:hanging="567"/>
        <w:jc w:val="both"/>
        <w:rPr>
          <w:i/>
          <w:sz w:val="20"/>
          <w:lang w:val="en-GB"/>
        </w:rPr>
      </w:pPr>
      <w:r w:rsidRPr="006F5366">
        <w:rPr>
          <w:i/>
          <w:sz w:val="20"/>
          <w:lang w:val="en-GB"/>
        </w:rPr>
        <w:t>Annex 4</w:t>
      </w:r>
      <w:r>
        <w:rPr>
          <w:i/>
          <w:sz w:val="20"/>
          <w:lang w:val="en-GB"/>
        </w:rPr>
        <w:t>I</w:t>
      </w:r>
      <w:r w:rsidRPr="006F5366">
        <w:rPr>
          <w:i/>
          <w:sz w:val="20"/>
          <w:lang w:val="en-GB"/>
        </w:rPr>
        <w:t>, paragraph 2.2</w:t>
      </w:r>
      <w:r w:rsidRPr="006F5366">
        <w:rPr>
          <w:sz w:val="20"/>
          <w:lang w:val="en-GB"/>
        </w:rPr>
        <w:t>.</w:t>
      </w:r>
      <w:proofErr w:type="gramStart"/>
      <w:r w:rsidRPr="006F5366">
        <w:rPr>
          <w:sz w:val="20"/>
          <w:lang w:val="en-GB"/>
        </w:rPr>
        <w:t>,</w:t>
      </w:r>
      <w:proofErr w:type="gramEnd"/>
      <w:r w:rsidRPr="006F5366">
        <w:rPr>
          <w:sz w:val="20"/>
          <w:lang w:val="en-GB"/>
        </w:rPr>
        <w:t xml:space="preserve"> insert a new reference to Annex 5Q to read:</w:t>
      </w:r>
    </w:p>
    <w:p w14:paraId="00F97641" w14:textId="77777777" w:rsidR="00C2634F" w:rsidRPr="004551B6" w:rsidRDefault="00C2634F" w:rsidP="00C2634F">
      <w:pPr>
        <w:tabs>
          <w:tab w:val="left" w:pos="1701"/>
          <w:tab w:val="left" w:pos="2835"/>
        </w:tabs>
        <w:spacing w:before="120" w:after="120"/>
        <w:ind w:left="1701" w:right="593" w:hanging="567"/>
        <w:jc w:val="both"/>
        <w:rPr>
          <w:sz w:val="20"/>
          <w:lang w:val="en-GB"/>
        </w:rPr>
      </w:pPr>
      <w:r>
        <w:rPr>
          <w:sz w:val="20"/>
          <w:lang w:val="en-GB"/>
        </w:rPr>
        <w:t>"2.2.</w:t>
      </w:r>
      <w:r>
        <w:rPr>
          <w:sz w:val="20"/>
          <w:lang w:val="en-GB"/>
        </w:rPr>
        <w:tab/>
      </w:r>
      <w:r w:rsidRPr="004551B6">
        <w:rPr>
          <w:sz w:val="20"/>
          <w:lang w:val="en-GB"/>
        </w:rPr>
        <w:t>The material constituting the LNG heat exchanger - vaporizer which is in contact with the CNG when operating shall be compatible with the test CNG. In order to verify this compatibility, the procedure in Annex 5D shall be used</w:t>
      </w:r>
      <w:bookmarkStart w:id="0" w:name="_GoBack"/>
      <w:bookmarkEnd w:id="0"/>
      <w:r w:rsidRPr="004551B6">
        <w:rPr>
          <w:sz w:val="20"/>
          <w:lang w:val="en-GB"/>
        </w:rPr>
        <w:t>.</w:t>
      </w:r>
    </w:p>
    <w:p w14:paraId="7D3A547B" w14:textId="77777777" w:rsidR="00C2634F" w:rsidRPr="006F5366" w:rsidRDefault="00C2634F" w:rsidP="00C2634F">
      <w:pPr>
        <w:tabs>
          <w:tab w:val="left" w:pos="1701"/>
          <w:tab w:val="left" w:pos="2835"/>
        </w:tabs>
        <w:spacing w:before="120" w:after="120"/>
        <w:ind w:left="1701" w:right="593" w:hanging="567"/>
        <w:jc w:val="both"/>
        <w:rPr>
          <w:sz w:val="20"/>
          <w:lang w:val="en-GB"/>
        </w:rPr>
      </w:pPr>
      <w:r>
        <w:rPr>
          <w:b/>
          <w:sz w:val="20"/>
          <w:lang w:val="en-GB"/>
        </w:rPr>
        <w:tab/>
      </w:r>
      <w:r w:rsidRPr="004551B6">
        <w:rPr>
          <w:b/>
          <w:sz w:val="20"/>
          <w:lang w:val="en-GB"/>
        </w:rPr>
        <w:t>The materials constituting the LNG heat exchanger - vaporizer which are in contact with the heat exchange medium of the regulator when operating, shall be compatible with that fluid, the procedure in Annex 5Q shall be used</w:t>
      </w:r>
      <w:r w:rsidRPr="006F5366">
        <w:rPr>
          <w:sz w:val="20"/>
          <w:lang w:val="en-GB"/>
        </w:rPr>
        <w:t>.</w:t>
      </w:r>
      <w:r>
        <w:rPr>
          <w:sz w:val="20"/>
          <w:lang w:val="en-GB"/>
        </w:rPr>
        <w:t>"</w:t>
      </w:r>
    </w:p>
    <w:p w14:paraId="6690AB7D" w14:textId="77777777" w:rsidR="00C2634F" w:rsidRDefault="00C2634F" w:rsidP="00C2634F">
      <w:pPr>
        <w:tabs>
          <w:tab w:val="left" w:pos="2835"/>
        </w:tabs>
        <w:spacing w:before="120" w:after="120"/>
        <w:ind w:left="2268" w:right="593" w:hanging="1134"/>
        <w:jc w:val="both"/>
        <w:rPr>
          <w:i/>
          <w:sz w:val="20"/>
          <w:lang w:val="en-GB"/>
        </w:rPr>
      </w:pPr>
    </w:p>
    <w:p w14:paraId="570FB5E6" w14:textId="77777777" w:rsidR="00C2634F" w:rsidRDefault="00C2634F" w:rsidP="00C2634F">
      <w:pPr>
        <w:tabs>
          <w:tab w:val="left" w:pos="2835"/>
        </w:tabs>
        <w:spacing w:before="120" w:after="120"/>
        <w:ind w:left="2268" w:right="593" w:hanging="1134"/>
        <w:jc w:val="both"/>
        <w:rPr>
          <w:i/>
          <w:sz w:val="20"/>
          <w:lang w:val="en-GB"/>
        </w:rPr>
      </w:pPr>
      <w:r w:rsidRPr="006F5366">
        <w:rPr>
          <w:i/>
          <w:sz w:val="20"/>
          <w:lang w:val="en-GB"/>
        </w:rPr>
        <w:t xml:space="preserve">Annex </w:t>
      </w:r>
      <w:r>
        <w:rPr>
          <w:i/>
          <w:sz w:val="20"/>
          <w:lang w:val="en-GB"/>
        </w:rPr>
        <w:t>5</w:t>
      </w:r>
      <w:r w:rsidRPr="006F5366">
        <w:rPr>
          <w:i/>
          <w:sz w:val="20"/>
          <w:lang w:val="en-GB"/>
        </w:rPr>
        <w:t xml:space="preserve">, </w:t>
      </w:r>
      <w:r>
        <w:rPr>
          <w:i/>
          <w:sz w:val="20"/>
          <w:lang w:val="en-GB"/>
        </w:rPr>
        <w:t xml:space="preserve">Table </w:t>
      </w:r>
      <w:proofErr w:type="gramStart"/>
      <w:r>
        <w:rPr>
          <w:i/>
          <w:sz w:val="20"/>
          <w:lang w:val="en-GB"/>
        </w:rPr>
        <w:t>5.1</w:t>
      </w:r>
      <w:r w:rsidRPr="006F5366">
        <w:rPr>
          <w:i/>
          <w:sz w:val="20"/>
          <w:lang w:val="en-GB"/>
        </w:rPr>
        <w:t>,</w:t>
      </w:r>
      <w:proofErr w:type="gramEnd"/>
      <w:r w:rsidRPr="006F5366">
        <w:rPr>
          <w:i/>
          <w:sz w:val="20"/>
          <w:lang w:val="en-GB"/>
        </w:rPr>
        <w:t xml:space="preserve"> </w:t>
      </w:r>
      <w:r w:rsidRPr="006F5366">
        <w:rPr>
          <w:sz w:val="20"/>
          <w:lang w:val="en-GB"/>
        </w:rPr>
        <w:t>insert a new reference to Annex 5Q to read:</w:t>
      </w:r>
    </w:p>
    <w:p w14:paraId="10C20A14" w14:textId="135D299E" w:rsidR="00C2634F" w:rsidRPr="004551B6" w:rsidRDefault="00C2634F" w:rsidP="00C2634F">
      <w:pPr>
        <w:tabs>
          <w:tab w:val="left" w:pos="1560"/>
          <w:tab w:val="left" w:pos="2835"/>
        </w:tabs>
        <w:spacing w:before="120" w:after="120"/>
        <w:ind w:left="1134" w:right="1134"/>
        <w:jc w:val="both"/>
        <w:rPr>
          <w:b/>
          <w:sz w:val="20"/>
          <w:lang w:val="en-GB"/>
        </w:rPr>
      </w:pPr>
      <w:r>
        <w:rPr>
          <w:sz w:val="20"/>
          <w:lang w:val="en-GB"/>
        </w:rPr>
        <w:t>"Table</w:t>
      </w:r>
      <w:r w:rsidRPr="004551B6">
        <w:rPr>
          <w:sz w:val="20"/>
          <w:lang w:val="en-GB"/>
        </w:rPr>
        <w:t xml:space="preserve"> </w:t>
      </w:r>
      <w:r>
        <w:rPr>
          <w:sz w:val="20"/>
          <w:lang w:val="en-GB"/>
        </w:rPr>
        <w:t>5.1</w:t>
      </w:r>
    </w:p>
    <w:tbl>
      <w:tblPr>
        <w:tblW w:w="9475" w:type="dxa"/>
        <w:tblInd w:w="807" w:type="dxa"/>
        <w:tblCellMar>
          <w:top w:w="15" w:type="dxa"/>
          <w:left w:w="70" w:type="dxa"/>
          <w:bottom w:w="15" w:type="dxa"/>
          <w:right w:w="70" w:type="dxa"/>
        </w:tblCellMar>
        <w:tblLook w:val="04A0" w:firstRow="1" w:lastRow="0" w:firstColumn="1" w:lastColumn="0" w:noHBand="0" w:noVBand="1"/>
      </w:tblPr>
      <w:tblGrid>
        <w:gridCol w:w="3840"/>
        <w:gridCol w:w="665"/>
        <w:gridCol w:w="665"/>
        <w:gridCol w:w="665"/>
        <w:gridCol w:w="665"/>
        <w:gridCol w:w="665"/>
        <w:gridCol w:w="665"/>
        <w:gridCol w:w="665"/>
        <w:gridCol w:w="980"/>
      </w:tblGrid>
      <w:tr w:rsidR="00C2634F" w:rsidRPr="004551B6" w14:paraId="302A2EAB" w14:textId="77777777" w:rsidTr="00E36F9B">
        <w:trPr>
          <w:trHeight w:val="315"/>
        </w:trPr>
        <w:tc>
          <w:tcPr>
            <w:tcW w:w="3840" w:type="dxa"/>
            <w:tcBorders>
              <w:top w:val="single" w:sz="4" w:space="0" w:color="000000"/>
              <w:left w:val="single" w:sz="4" w:space="0" w:color="000000"/>
              <w:bottom w:val="single" w:sz="12" w:space="0" w:color="000000"/>
              <w:right w:val="single" w:sz="4" w:space="0" w:color="000000"/>
            </w:tcBorders>
            <w:vAlign w:val="bottom"/>
            <w:hideMark/>
          </w:tcPr>
          <w:p w14:paraId="7F096CB7"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Test</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279CA550"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0</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3F7EB937"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1</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7B9453EF"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2</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0464F9AE"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3</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30CB3372"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4</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7E816ED5"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5</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4685DA17"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Class 6</w:t>
            </w:r>
          </w:p>
        </w:tc>
        <w:tc>
          <w:tcPr>
            <w:tcW w:w="980" w:type="dxa"/>
            <w:tcBorders>
              <w:top w:val="single" w:sz="4" w:space="0" w:color="000000"/>
              <w:left w:val="single" w:sz="4" w:space="0" w:color="000000"/>
              <w:bottom w:val="single" w:sz="12" w:space="0" w:color="000000"/>
              <w:right w:val="single" w:sz="4" w:space="0" w:color="auto"/>
            </w:tcBorders>
            <w:vAlign w:val="bottom"/>
            <w:hideMark/>
          </w:tcPr>
          <w:p w14:paraId="180C6FD0" w14:textId="77777777" w:rsidR="00C2634F" w:rsidRPr="004551B6" w:rsidRDefault="00C2634F" w:rsidP="00E36F9B">
            <w:pPr>
              <w:rPr>
                <w:i/>
                <w:iCs/>
                <w:color w:val="000000"/>
                <w:sz w:val="20"/>
                <w:szCs w:val="20"/>
                <w:lang w:val="nl-NL" w:eastAsia="nl-NL"/>
              </w:rPr>
            </w:pPr>
            <w:r w:rsidRPr="004551B6">
              <w:rPr>
                <w:i/>
                <w:iCs/>
                <w:color w:val="000000"/>
                <w:sz w:val="20"/>
                <w:szCs w:val="20"/>
                <w:lang w:val="nl-NL" w:eastAsia="nl-NL"/>
              </w:rPr>
              <w:t>Annex</w:t>
            </w:r>
          </w:p>
        </w:tc>
      </w:tr>
      <w:tr w:rsidR="00C2634F" w:rsidRPr="004551B6" w14:paraId="083DEC57" w14:textId="77777777" w:rsidTr="00E36F9B">
        <w:trPr>
          <w:trHeight w:val="315"/>
        </w:trPr>
        <w:tc>
          <w:tcPr>
            <w:tcW w:w="3840" w:type="dxa"/>
            <w:vMerge w:val="restart"/>
            <w:tcBorders>
              <w:top w:val="single" w:sz="12" w:space="0" w:color="000000"/>
              <w:left w:val="single" w:sz="8" w:space="0" w:color="000000"/>
              <w:bottom w:val="single" w:sz="4" w:space="0" w:color="000000"/>
              <w:right w:val="single" w:sz="4" w:space="0" w:color="000000"/>
            </w:tcBorders>
            <w:vAlign w:val="bottom"/>
            <w:hideMark/>
          </w:tcPr>
          <w:p w14:paraId="5D4D211F"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Overpressure</w:t>
            </w:r>
            <w:proofErr w:type="spellEnd"/>
            <w:r w:rsidRPr="004551B6">
              <w:rPr>
                <w:color w:val="000000"/>
                <w:sz w:val="20"/>
                <w:szCs w:val="20"/>
                <w:lang w:val="nl-NL" w:eastAsia="nl-NL"/>
              </w:rPr>
              <w:t xml:space="preserve"> or </w:t>
            </w:r>
            <w:proofErr w:type="spellStart"/>
            <w:r w:rsidRPr="004551B6">
              <w:rPr>
                <w:color w:val="000000"/>
                <w:sz w:val="20"/>
                <w:szCs w:val="20"/>
                <w:lang w:val="nl-NL" w:eastAsia="nl-NL"/>
              </w:rPr>
              <w:t>strength</w:t>
            </w:r>
            <w:proofErr w:type="spellEnd"/>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72FC9BA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5FEBECA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78E3535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4400BD5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6B6CAE4F"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436808A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091FF31D"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980" w:type="dxa"/>
            <w:vMerge w:val="restart"/>
            <w:tcBorders>
              <w:top w:val="single" w:sz="12" w:space="0" w:color="000000"/>
              <w:left w:val="single" w:sz="4" w:space="0" w:color="000000"/>
              <w:bottom w:val="single" w:sz="4" w:space="0" w:color="000000"/>
              <w:right w:val="single" w:sz="8" w:space="0" w:color="000000"/>
            </w:tcBorders>
            <w:vAlign w:val="bottom"/>
            <w:hideMark/>
          </w:tcPr>
          <w:p w14:paraId="29BE653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5A</w:t>
            </w:r>
          </w:p>
        </w:tc>
      </w:tr>
      <w:tr w:rsidR="00C2634F" w:rsidRPr="004551B6" w14:paraId="535CCBE1" w14:textId="77777777" w:rsidTr="00E36F9B">
        <w:trPr>
          <w:trHeight w:val="464"/>
        </w:trPr>
        <w:tc>
          <w:tcPr>
            <w:tcW w:w="3840" w:type="dxa"/>
            <w:vMerge/>
            <w:tcBorders>
              <w:top w:val="single" w:sz="12" w:space="0" w:color="000000"/>
              <w:left w:val="single" w:sz="8" w:space="0" w:color="000000"/>
              <w:bottom w:val="single" w:sz="4" w:space="0" w:color="000000"/>
              <w:right w:val="single" w:sz="4" w:space="0" w:color="000000"/>
            </w:tcBorders>
            <w:vAlign w:val="center"/>
            <w:hideMark/>
          </w:tcPr>
          <w:p w14:paraId="4AA074A9"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08A853EF"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3CA8B7D0"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2FA0850C"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3C1CF912"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3E8C0DF7"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1E00A230" w14:textId="77777777" w:rsidR="00C2634F" w:rsidRPr="004551B6" w:rsidRDefault="00C2634F" w:rsidP="00E36F9B">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195ABCAB" w14:textId="77777777" w:rsidR="00C2634F" w:rsidRPr="004551B6" w:rsidRDefault="00C2634F" w:rsidP="00E36F9B">
            <w:pPr>
              <w:rPr>
                <w:color w:val="000000"/>
                <w:sz w:val="20"/>
                <w:szCs w:val="20"/>
                <w:lang w:val="nl-NL" w:eastAsia="nl-NL"/>
              </w:rPr>
            </w:pPr>
          </w:p>
        </w:tc>
        <w:tc>
          <w:tcPr>
            <w:tcW w:w="980" w:type="dxa"/>
            <w:vMerge/>
            <w:tcBorders>
              <w:top w:val="single" w:sz="12" w:space="0" w:color="000000"/>
              <w:left w:val="single" w:sz="4" w:space="0" w:color="000000"/>
              <w:bottom w:val="single" w:sz="4" w:space="0" w:color="000000"/>
              <w:right w:val="single" w:sz="8" w:space="0" w:color="000000"/>
            </w:tcBorders>
            <w:vAlign w:val="center"/>
            <w:hideMark/>
          </w:tcPr>
          <w:p w14:paraId="4904AC8F" w14:textId="77777777" w:rsidR="00C2634F" w:rsidRPr="004551B6" w:rsidRDefault="00C2634F" w:rsidP="00E36F9B">
            <w:pPr>
              <w:rPr>
                <w:color w:val="000000"/>
                <w:sz w:val="20"/>
                <w:szCs w:val="20"/>
                <w:lang w:val="nl-NL" w:eastAsia="nl-NL"/>
              </w:rPr>
            </w:pPr>
          </w:p>
        </w:tc>
      </w:tr>
      <w:tr w:rsidR="00C2634F" w:rsidRPr="004551B6" w14:paraId="4B21E380"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2A066017"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External</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leakage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1A114A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BA2B472"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BF1487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275C8E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BA957A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A9486AC"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EFF48A0"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529221A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5B</w:t>
            </w:r>
          </w:p>
        </w:tc>
      </w:tr>
      <w:tr w:rsidR="00C2634F" w:rsidRPr="004551B6" w14:paraId="51150892"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6E218B8D"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Internal</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leakage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7F3893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4E32F6F"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A9FA13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8F8D0C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C6DA680"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599584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6DCD5EA"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4107535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5C</w:t>
            </w:r>
          </w:p>
        </w:tc>
      </w:tr>
      <w:tr w:rsidR="00C2634F" w:rsidRPr="004551B6" w14:paraId="73EE1F25"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2EF6AC52"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Durability</w:t>
            </w:r>
            <w:proofErr w:type="spellEnd"/>
            <w:r w:rsidRPr="004551B6">
              <w:rPr>
                <w:color w:val="000000"/>
                <w:sz w:val="20"/>
                <w:szCs w:val="20"/>
                <w:lang w:val="nl-NL" w:eastAsia="nl-NL"/>
              </w:rPr>
              <w:t xml:space="preserve"> tests</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83D931D"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D41AAC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B40AB8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B01D00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F96A94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1E8277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23EB5A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7ACBB510"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5L</w:t>
            </w:r>
          </w:p>
        </w:tc>
      </w:tr>
      <w:tr w:rsidR="00C2634F" w:rsidRPr="004551B6" w14:paraId="443FBB02"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112DC3D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 xml:space="preserve">CNG/LNG </w:t>
            </w:r>
            <w:proofErr w:type="spellStart"/>
            <w:r w:rsidRPr="004551B6">
              <w:rPr>
                <w:color w:val="000000"/>
                <w:sz w:val="20"/>
                <w:szCs w:val="20"/>
                <w:lang w:val="nl-NL" w:eastAsia="nl-NL"/>
              </w:rPr>
              <w:t>compatibility</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3BF7450"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2DDED0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6DB798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CD1917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EC6BB9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917EB7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5B1435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1C715E6A"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5D</w:t>
            </w:r>
          </w:p>
        </w:tc>
      </w:tr>
      <w:tr w:rsidR="00C2634F" w:rsidRPr="004551B6" w14:paraId="1E3C141E"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5BF625E6"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Corrosion</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resistance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D18D12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C1CB4E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4543BA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E80A78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8A761D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861951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2A0F28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33855C8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5E</w:t>
            </w:r>
          </w:p>
        </w:tc>
      </w:tr>
      <w:tr w:rsidR="00C2634F" w:rsidRPr="004551B6" w14:paraId="514E3AF6"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01DC91A7"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Resistance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to</w:t>
            </w:r>
            <w:proofErr w:type="spellEnd"/>
            <w:r w:rsidRPr="004551B6">
              <w:rPr>
                <w:color w:val="000000"/>
                <w:sz w:val="20"/>
                <w:szCs w:val="20"/>
                <w:lang w:val="nl-NL" w:eastAsia="nl-NL"/>
              </w:rPr>
              <w:t xml:space="preserve"> dry heat</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5CC637A"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D10EE7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D98AC46"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515E9B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4B35D0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004D00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3AE5BF6"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030AD306"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5F</w:t>
            </w:r>
          </w:p>
        </w:tc>
      </w:tr>
      <w:tr w:rsidR="00C2634F" w:rsidRPr="004551B6" w14:paraId="13A82674"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4138C889"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Ozone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ageing</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A72001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27A67C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CEBBC3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AA181E6"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1011346"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14D192D"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5CBCEC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66C7A23F"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5G</w:t>
            </w:r>
          </w:p>
        </w:tc>
      </w:tr>
      <w:tr w:rsidR="00C2634F" w:rsidRPr="004551B6" w14:paraId="5183E844"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34D7E245"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Burst</w:t>
            </w:r>
            <w:proofErr w:type="spellEnd"/>
            <w:r w:rsidRPr="004551B6">
              <w:rPr>
                <w:color w:val="000000"/>
                <w:sz w:val="20"/>
                <w:szCs w:val="20"/>
                <w:lang w:val="nl-NL" w:eastAsia="nl-NL"/>
              </w:rPr>
              <w:t>/</w:t>
            </w:r>
            <w:proofErr w:type="spellStart"/>
            <w:r w:rsidRPr="004551B6">
              <w:rPr>
                <w:color w:val="000000"/>
                <w:sz w:val="20"/>
                <w:szCs w:val="20"/>
                <w:lang w:val="nl-NL" w:eastAsia="nl-NL"/>
              </w:rPr>
              <w:t>destructive</w:t>
            </w:r>
            <w:proofErr w:type="spellEnd"/>
            <w:r w:rsidRPr="004551B6">
              <w:rPr>
                <w:color w:val="000000"/>
                <w:sz w:val="20"/>
                <w:szCs w:val="20"/>
                <w:lang w:val="nl-NL" w:eastAsia="nl-NL"/>
              </w:rPr>
              <w:t xml:space="preserve"> tests</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9103866"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E5077E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0147A0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C9A900C"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09501F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F791FE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4C972C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5F44126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5M</w:t>
            </w:r>
          </w:p>
        </w:tc>
      </w:tr>
      <w:tr w:rsidR="00C2634F" w:rsidRPr="004551B6" w14:paraId="338BF69D"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4C725E88"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Temperature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cycle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AA15B7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B3F298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12890C2"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C463A3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D3444B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93D208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915EB8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38F8957F"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5H</w:t>
            </w:r>
          </w:p>
        </w:tc>
      </w:tr>
      <w:tr w:rsidR="00C2634F" w:rsidRPr="004551B6" w14:paraId="1E41331B"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1B80B7D5"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Pressure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cycle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419353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61AE90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16A82E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E2D2EE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66C992C"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F3D1D9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6A5770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64D36E7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5I</w:t>
            </w:r>
          </w:p>
        </w:tc>
      </w:tr>
      <w:tr w:rsidR="00C2634F" w:rsidRPr="004551B6" w14:paraId="0DDC42E2"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465259EA" w14:textId="77777777" w:rsidR="00C2634F" w:rsidRPr="004551B6" w:rsidRDefault="00C2634F" w:rsidP="00E36F9B">
            <w:pPr>
              <w:rPr>
                <w:color w:val="000000"/>
                <w:sz w:val="20"/>
                <w:szCs w:val="20"/>
                <w:lang w:val="nl-NL" w:eastAsia="nl-NL"/>
              </w:rPr>
            </w:pPr>
            <w:proofErr w:type="spellStart"/>
            <w:r w:rsidRPr="004551B6">
              <w:rPr>
                <w:color w:val="000000"/>
                <w:sz w:val="20"/>
                <w:szCs w:val="20"/>
                <w:lang w:val="nl-NL" w:eastAsia="nl-NL"/>
              </w:rPr>
              <w:t>Vibration</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resistance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0504E4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3D9008C"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6F6B82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20379F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A6B1C1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A20DDD9"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9EB7240"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488ABF5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5N</w:t>
            </w:r>
          </w:p>
        </w:tc>
      </w:tr>
      <w:tr w:rsidR="00C2634F" w:rsidRPr="004551B6" w14:paraId="63DFBB49"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55FE816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 xml:space="preserve">Operating </w:t>
            </w:r>
            <w:proofErr w:type="spellStart"/>
            <w:r w:rsidRPr="004551B6">
              <w:rPr>
                <w:color w:val="000000"/>
                <w:sz w:val="20"/>
                <w:szCs w:val="20"/>
                <w:lang w:val="nl-NL" w:eastAsia="nl-NL"/>
              </w:rPr>
              <w:t>temperatures</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FB6900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9C026F3"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BA2F9EB"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65A6457"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4C851B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3F4D4B1"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2906F02"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49FF57FF"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5O</w:t>
            </w:r>
          </w:p>
        </w:tc>
      </w:tr>
      <w:tr w:rsidR="00C2634F" w:rsidRPr="004551B6" w14:paraId="78E7CA3E" w14:textId="77777777" w:rsidTr="00E36F9B">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1920BDB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 xml:space="preserve">LNG low </w:t>
            </w:r>
            <w:proofErr w:type="spellStart"/>
            <w:r w:rsidRPr="004551B6">
              <w:rPr>
                <w:color w:val="000000"/>
                <w:sz w:val="20"/>
                <w:szCs w:val="20"/>
                <w:lang w:val="nl-NL" w:eastAsia="nl-NL"/>
              </w:rPr>
              <w:t>temperature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81A889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CF6FFC4"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ABEE628"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8907235"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87A47BF"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61F6B30"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E5FF37D"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O</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720D078E" w14:textId="77777777" w:rsidR="00C2634F" w:rsidRPr="004551B6" w:rsidRDefault="00C2634F" w:rsidP="00E36F9B">
            <w:pPr>
              <w:rPr>
                <w:color w:val="000000"/>
                <w:sz w:val="20"/>
                <w:szCs w:val="20"/>
                <w:lang w:val="nl-NL" w:eastAsia="nl-NL"/>
              </w:rPr>
            </w:pPr>
            <w:r w:rsidRPr="004551B6">
              <w:rPr>
                <w:color w:val="000000"/>
                <w:sz w:val="20"/>
                <w:szCs w:val="20"/>
                <w:lang w:val="nl-NL" w:eastAsia="nl-NL"/>
              </w:rPr>
              <w:t>5P</w:t>
            </w:r>
          </w:p>
        </w:tc>
      </w:tr>
      <w:tr w:rsidR="00C2634F" w:rsidRPr="004551B6" w14:paraId="21293A30" w14:textId="77777777" w:rsidTr="00E36F9B">
        <w:trPr>
          <w:trHeight w:val="540"/>
        </w:trPr>
        <w:tc>
          <w:tcPr>
            <w:tcW w:w="3840" w:type="dxa"/>
            <w:tcBorders>
              <w:top w:val="single" w:sz="4" w:space="0" w:color="000000"/>
              <w:left w:val="single" w:sz="8" w:space="0" w:color="000000"/>
              <w:bottom w:val="single" w:sz="8" w:space="0" w:color="000000"/>
              <w:right w:val="single" w:sz="4" w:space="0" w:color="000000"/>
            </w:tcBorders>
            <w:vAlign w:val="bottom"/>
            <w:hideMark/>
          </w:tcPr>
          <w:p w14:paraId="6F46AFDF" w14:textId="77777777" w:rsidR="00C2634F" w:rsidRPr="004551B6" w:rsidRDefault="00C2634F" w:rsidP="00E36F9B">
            <w:pPr>
              <w:rPr>
                <w:b/>
                <w:bCs/>
                <w:color w:val="000000"/>
                <w:sz w:val="20"/>
                <w:szCs w:val="20"/>
                <w:lang w:val="en-US" w:eastAsia="nl-NL"/>
              </w:rPr>
            </w:pPr>
            <w:r w:rsidRPr="004551B6">
              <w:rPr>
                <w:b/>
                <w:bCs/>
                <w:color w:val="000000"/>
                <w:sz w:val="20"/>
                <w:szCs w:val="20"/>
                <w:lang w:val="en-US" w:eastAsia="nl-NL"/>
              </w:rPr>
              <w:t>Compatibility with heat exchange fluids of non-metallic parts</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05D5E7E4"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7A2DBC43"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479C5D83"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54BC3824"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53C296D7"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6B21A72C"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hideMark/>
          </w:tcPr>
          <w:p w14:paraId="05172080"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A</w:t>
            </w:r>
          </w:p>
        </w:tc>
        <w:tc>
          <w:tcPr>
            <w:tcW w:w="980" w:type="dxa"/>
            <w:tcBorders>
              <w:top w:val="single" w:sz="4" w:space="0" w:color="000000"/>
              <w:left w:val="single" w:sz="4" w:space="0" w:color="000000"/>
              <w:bottom w:val="single" w:sz="8" w:space="0" w:color="000000"/>
              <w:right w:val="single" w:sz="8" w:space="0" w:color="000000"/>
            </w:tcBorders>
            <w:vAlign w:val="bottom"/>
            <w:hideMark/>
          </w:tcPr>
          <w:p w14:paraId="634675FC" w14:textId="77777777" w:rsidR="00C2634F" w:rsidRPr="004551B6" w:rsidRDefault="00C2634F" w:rsidP="00E36F9B">
            <w:pPr>
              <w:rPr>
                <w:b/>
                <w:bCs/>
                <w:color w:val="000000"/>
                <w:sz w:val="20"/>
                <w:szCs w:val="20"/>
                <w:lang w:val="nl-NL" w:eastAsia="nl-NL"/>
              </w:rPr>
            </w:pPr>
            <w:r w:rsidRPr="004551B6">
              <w:rPr>
                <w:b/>
                <w:bCs/>
                <w:color w:val="000000"/>
                <w:sz w:val="20"/>
                <w:szCs w:val="20"/>
                <w:lang w:val="nl-NL" w:eastAsia="nl-NL"/>
              </w:rPr>
              <w:t>5Q</w:t>
            </w:r>
          </w:p>
        </w:tc>
      </w:tr>
    </w:tbl>
    <w:p w14:paraId="45A9FDA8" w14:textId="77777777" w:rsidR="00C2634F" w:rsidRDefault="00C2634F" w:rsidP="00C2634F">
      <w:pPr>
        <w:tabs>
          <w:tab w:val="left" w:pos="2835"/>
        </w:tabs>
        <w:spacing w:before="120" w:after="120"/>
        <w:ind w:left="1134" w:right="1134"/>
        <w:jc w:val="both"/>
        <w:rPr>
          <w:sz w:val="20"/>
          <w:lang w:val="en-GB"/>
        </w:rPr>
      </w:pPr>
      <w:r w:rsidRPr="008847CB">
        <w:rPr>
          <w:sz w:val="20"/>
          <w:lang w:val="en-GB"/>
        </w:rPr>
        <w:t>X = Applicable</w:t>
      </w:r>
      <w:r>
        <w:rPr>
          <w:sz w:val="20"/>
          <w:lang w:val="en-GB"/>
        </w:rPr>
        <w:br/>
      </w:r>
      <w:r w:rsidRPr="008847CB">
        <w:rPr>
          <w:sz w:val="20"/>
          <w:lang w:val="en-GB"/>
        </w:rPr>
        <w:t>O = Not applicable</w:t>
      </w:r>
      <w:r>
        <w:rPr>
          <w:sz w:val="20"/>
          <w:lang w:val="en-GB"/>
        </w:rPr>
        <w:br/>
      </w:r>
      <w:r w:rsidRPr="008847CB">
        <w:rPr>
          <w:sz w:val="20"/>
          <w:lang w:val="en-GB"/>
        </w:rPr>
        <w:t xml:space="preserve">A = </w:t>
      </w:r>
      <w:proofErr w:type="gramStart"/>
      <w:r w:rsidRPr="008847CB">
        <w:rPr>
          <w:sz w:val="20"/>
          <w:lang w:val="en-GB"/>
        </w:rPr>
        <w:t>As</w:t>
      </w:r>
      <w:proofErr w:type="gramEnd"/>
      <w:r w:rsidRPr="008847CB">
        <w:rPr>
          <w:sz w:val="20"/>
          <w:lang w:val="en-GB"/>
        </w:rPr>
        <w:t xml:space="preserve"> applicable</w:t>
      </w:r>
    </w:p>
    <w:p w14:paraId="2574F50B" w14:textId="77777777" w:rsidR="00C2634F" w:rsidRPr="008847CB" w:rsidRDefault="00C2634F" w:rsidP="00C2634F">
      <w:pPr>
        <w:tabs>
          <w:tab w:val="left" w:pos="2835"/>
        </w:tabs>
        <w:spacing w:before="120" w:after="120"/>
        <w:ind w:left="1134" w:right="593"/>
        <w:jc w:val="both"/>
        <w:rPr>
          <w:sz w:val="20"/>
          <w:lang w:val="en-GB"/>
        </w:rPr>
      </w:pPr>
      <w:r w:rsidRPr="008847CB">
        <w:rPr>
          <w:sz w:val="20"/>
          <w:lang w:val="en-GB"/>
        </w:rPr>
        <w:t>Remarks:</w:t>
      </w:r>
    </w:p>
    <w:p w14:paraId="12E966C3" w14:textId="77777777" w:rsidR="00C2634F" w:rsidRPr="008847CB" w:rsidRDefault="00C2634F" w:rsidP="00C2634F">
      <w:pPr>
        <w:tabs>
          <w:tab w:val="left" w:pos="1701"/>
          <w:tab w:val="left" w:pos="2835"/>
        </w:tabs>
        <w:spacing w:before="120" w:after="120"/>
        <w:ind w:left="1701" w:right="593" w:hanging="567"/>
        <w:jc w:val="both"/>
        <w:rPr>
          <w:sz w:val="20"/>
          <w:lang w:val="en-GB"/>
        </w:rPr>
      </w:pPr>
      <w:r w:rsidRPr="008847CB">
        <w:rPr>
          <w:sz w:val="20"/>
          <w:lang w:val="en-GB"/>
        </w:rPr>
        <w:t>(a)</w:t>
      </w:r>
      <w:r>
        <w:rPr>
          <w:sz w:val="20"/>
          <w:lang w:val="en-GB"/>
        </w:rPr>
        <w:tab/>
      </w:r>
      <w:r w:rsidRPr="008847CB">
        <w:rPr>
          <w:sz w:val="20"/>
          <w:lang w:val="en-GB"/>
        </w:rPr>
        <w:t xml:space="preserve">Internal leakage: Applicable if the Class of the component consists of internal valve seats that are normally closed during engine </w:t>
      </w:r>
      <w:r>
        <w:rPr>
          <w:sz w:val="20"/>
          <w:lang w:val="en-GB"/>
        </w:rPr>
        <w:t>"</w:t>
      </w:r>
      <w:r w:rsidRPr="008847CB">
        <w:rPr>
          <w:sz w:val="20"/>
          <w:lang w:val="en-GB"/>
        </w:rPr>
        <w:t>OFF</w:t>
      </w:r>
      <w:r>
        <w:rPr>
          <w:sz w:val="20"/>
          <w:lang w:val="en-GB"/>
        </w:rPr>
        <w:t>"</w:t>
      </w:r>
      <w:r w:rsidRPr="008847CB">
        <w:rPr>
          <w:sz w:val="20"/>
          <w:lang w:val="en-GB"/>
        </w:rPr>
        <w:t xml:space="preserve"> condition;</w:t>
      </w:r>
    </w:p>
    <w:p w14:paraId="1F18106C" w14:textId="77777777" w:rsidR="00C2634F" w:rsidRPr="008847CB" w:rsidRDefault="00C2634F" w:rsidP="00C2634F">
      <w:pPr>
        <w:tabs>
          <w:tab w:val="left" w:pos="1701"/>
          <w:tab w:val="left" w:pos="2835"/>
        </w:tabs>
        <w:spacing w:before="120" w:after="120"/>
        <w:ind w:left="1701" w:right="593" w:hanging="567"/>
        <w:jc w:val="both"/>
        <w:rPr>
          <w:sz w:val="20"/>
          <w:lang w:val="en-GB"/>
        </w:rPr>
      </w:pPr>
      <w:r w:rsidRPr="008847CB">
        <w:rPr>
          <w:sz w:val="20"/>
          <w:lang w:val="en-GB"/>
        </w:rPr>
        <w:t>(b)</w:t>
      </w:r>
      <w:r>
        <w:rPr>
          <w:sz w:val="20"/>
          <w:lang w:val="en-GB"/>
        </w:rPr>
        <w:tab/>
      </w:r>
      <w:r w:rsidRPr="008847CB">
        <w:rPr>
          <w:sz w:val="20"/>
          <w:lang w:val="en-GB"/>
        </w:rPr>
        <w:t>Durability test: Applicable if the Class of the component consists of integral parts that will move repeatedly during engine operation;</w:t>
      </w:r>
    </w:p>
    <w:p w14:paraId="793AC0F1" w14:textId="77777777" w:rsidR="00C2634F" w:rsidRPr="008847CB" w:rsidRDefault="00C2634F" w:rsidP="00C2634F">
      <w:pPr>
        <w:tabs>
          <w:tab w:val="left" w:pos="1701"/>
          <w:tab w:val="left" w:pos="2835"/>
        </w:tabs>
        <w:spacing w:before="120" w:after="120"/>
        <w:ind w:left="1701" w:right="593" w:hanging="567"/>
        <w:jc w:val="both"/>
        <w:rPr>
          <w:sz w:val="20"/>
          <w:lang w:val="en-US"/>
        </w:rPr>
      </w:pPr>
      <w:r w:rsidRPr="008847CB">
        <w:rPr>
          <w:sz w:val="20"/>
          <w:lang w:val="en-US"/>
        </w:rPr>
        <w:t>(c)</w:t>
      </w:r>
      <w:r>
        <w:rPr>
          <w:sz w:val="20"/>
          <w:lang w:val="en-US"/>
        </w:rPr>
        <w:tab/>
      </w:r>
      <w:r w:rsidRPr="008847CB">
        <w:rPr>
          <w:sz w:val="20"/>
          <w:lang w:val="en-US"/>
        </w:rPr>
        <w:t>CNG compatibility, resistance to dry heat, ozone ageing: Applicable if the class of the component consists of synthetic / non-metallic parts;</w:t>
      </w:r>
    </w:p>
    <w:p w14:paraId="5E08E937" w14:textId="78123C94" w:rsidR="00C2634F" w:rsidRPr="008847CB" w:rsidRDefault="00C2634F" w:rsidP="00C2634F">
      <w:pPr>
        <w:tabs>
          <w:tab w:val="left" w:pos="1701"/>
          <w:tab w:val="left" w:pos="2835"/>
        </w:tabs>
        <w:spacing w:before="120" w:after="120"/>
        <w:ind w:left="1701" w:right="593" w:hanging="567"/>
        <w:jc w:val="both"/>
        <w:rPr>
          <w:sz w:val="20"/>
          <w:lang w:val="en-US"/>
        </w:rPr>
      </w:pPr>
      <w:r w:rsidRPr="008847CB">
        <w:rPr>
          <w:sz w:val="20"/>
          <w:lang w:val="en-US"/>
        </w:rPr>
        <w:t>(d</w:t>
      </w:r>
      <w:r>
        <w:rPr>
          <w:sz w:val="20"/>
          <w:lang w:val="en-US"/>
        </w:rPr>
        <w:t>)</w:t>
      </w:r>
      <w:r>
        <w:rPr>
          <w:sz w:val="20"/>
          <w:lang w:val="en-US"/>
        </w:rPr>
        <w:tab/>
      </w:r>
      <w:r w:rsidRPr="008847CB">
        <w:rPr>
          <w:sz w:val="20"/>
          <w:lang w:val="en-US"/>
        </w:rPr>
        <w:t>Temperature cyclic test: Applicable if the class of the component consists of synthetic / non-metallic parts;</w:t>
      </w:r>
    </w:p>
    <w:p w14:paraId="16E7D300" w14:textId="77777777" w:rsidR="00C2634F" w:rsidRPr="008847CB" w:rsidRDefault="00C2634F" w:rsidP="00C2634F">
      <w:pPr>
        <w:tabs>
          <w:tab w:val="left" w:pos="1701"/>
          <w:tab w:val="left" w:pos="2835"/>
        </w:tabs>
        <w:spacing w:before="120" w:after="120"/>
        <w:ind w:left="1701" w:right="593" w:hanging="567"/>
        <w:jc w:val="both"/>
        <w:rPr>
          <w:sz w:val="20"/>
          <w:lang w:val="en-US"/>
        </w:rPr>
      </w:pPr>
      <w:r w:rsidRPr="008847CB">
        <w:rPr>
          <w:sz w:val="20"/>
          <w:lang w:val="en-US"/>
        </w:rPr>
        <w:t>(e)</w:t>
      </w:r>
      <w:r>
        <w:rPr>
          <w:sz w:val="20"/>
          <w:lang w:val="en-US"/>
        </w:rPr>
        <w:tab/>
      </w:r>
      <w:r w:rsidRPr="008847CB">
        <w:rPr>
          <w:sz w:val="20"/>
          <w:lang w:val="en-US"/>
        </w:rPr>
        <w:t>Vibration resistance test: Applicable if the Class of the component consists of integral parts that will move repeatedly during engine operation.</w:t>
      </w:r>
    </w:p>
    <w:p w14:paraId="41C7EDB8" w14:textId="56966FAE" w:rsidR="00C2634F" w:rsidRDefault="00C2634F" w:rsidP="00C2634F">
      <w:pPr>
        <w:tabs>
          <w:tab w:val="left" w:pos="1701"/>
          <w:tab w:val="left" w:pos="2835"/>
        </w:tabs>
        <w:spacing w:before="120" w:after="120"/>
        <w:ind w:left="1701" w:right="593" w:hanging="567"/>
        <w:jc w:val="both"/>
        <w:rPr>
          <w:i/>
          <w:sz w:val="20"/>
          <w:lang w:val="en-GB"/>
        </w:rPr>
      </w:pPr>
      <w:r>
        <w:rPr>
          <w:b/>
          <w:sz w:val="20"/>
          <w:lang w:val="en-US"/>
        </w:rPr>
        <w:t>(f)</w:t>
      </w:r>
      <w:r>
        <w:rPr>
          <w:b/>
          <w:sz w:val="20"/>
          <w:lang w:val="en-US"/>
        </w:rPr>
        <w:tab/>
      </w:r>
      <w:r w:rsidRPr="008847CB">
        <w:rPr>
          <w:b/>
          <w:bCs/>
          <w:sz w:val="20"/>
          <w:lang w:val="en-US"/>
        </w:rPr>
        <w:t>Compatibility with heat exchange fluids of non-metallic parts: Applicable</w:t>
      </w:r>
      <w:r>
        <w:rPr>
          <w:b/>
          <w:bCs/>
          <w:sz w:val="20"/>
          <w:lang w:val="en-US"/>
        </w:rPr>
        <w:t>,</w:t>
      </w:r>
      <w:r w:rsidRPr="008847CB">
        <w:rPr>
          <w:b/>
          <w:bCs/>
          <w:sz w:val="20"/>
          <w:lang w:val="en-US"/>
        </w:rPr>
        <w:t xml:space="preserve"> if the Class of the components consist</w:t>
      </w:r>
      <w:r>
        <w:rPr>
          <w:b/>
          <w:bCs/>
          <w:sz w:val="20"/>
          <w:lang w:val="en-US"/>
        </w:rPr>
        <w:t>s</w:t>
      </w:r>
      <w:r w:rsidRPr="008847CB">
        <w:rPr>
          <w:b/>
          <w:bCs/>
          <w:sz w:val="20"/>
          <w:lang w:val="en-US"/>
        </w:rPr>
        <w:t xml:space="preserve"> out of material in contact with the heat exchange fluid</w:t>
      </w:r>
      <w:r w:rsidRPr="006F5366">
        <w:rPr>
          <w:bCs/>
          <w:sz w:val="20"/>
          <w:lang w:val="en-US"/>
        </w:rPr>
        <w:t>.</w:t>
      </w:r>
      <w:r>
        <w:rPr>
          <w:bCs/>
          <w:sz w:val="20"/>
          <w:lang w:val="en-US"/>
        </w:rPr>
        <w:t>"</w:t>
      </w:r>
    </w:p>
    <w:p w14:paraId="0940F9BC" w14:textId="77777777" w:rsidR="00C2634F" w:rsidRDefault="00C2634F" w:rsidP="004551B6">
      <w:pPr>
        <w:tabs>
          <w:tab w:val="left" w:pos="2835"/>
        </w:tabs>
        <w:spacing w:before="120" w:after="120"/>
        <w:ind w:left="2268" w:right="1134" w:hanging="1134"/>
        <w:jc w:val="both"/>
        <w:rPr>
          <w:i/>
          <w:sz w:val="20"/>
          <w:lang w:val="en-GB"/>
        </w:rPr>
      </w:pPr>
    </w:p>
    <w:p w14:paraId="16DBDE89" w14:textId="020F6F2E" w:rsidR="004551B6" w:rsidRPr="006F5366" w:rsidRDefault="006F5366" w:rsidP="004551B6">
      <w:pPr>
        <w:tabs>
          <w:tab w:val="left" w:pos="2835"/>
        </w:tabs>
        <w:spacing w:before="120" w:after="120"/>
        <w:ind w:left="2268" w:right="1134" w:hanging="1134"/>
        <w:jc w:val="both"/>
        <w:rPr>
          <w:sz w:val="20"/>
          <w:lang w:val="en-GB"/>
        </w:rPr>
      </w:pPr>
      <w:r>
        <w:rPr>
          <w:i/>
          <w:sz w:val="20"/>
          <w:lang w:val="en-GB"/>
        </w:rPr>
        <w:t>Annex</w:t>
      </w:r>
      <w:r w:rsidRPr="004551B6">
        <w:rPr>
          <w:i/>
          <w:sz w:val="20"/>
          <w:lang w:val="en-GB"/>
        </w:rPr>
        <w:t xml:space="preserve"> 5Q</w:t>
      </w:r>
      <w:r>
        <w:rPr>
          <w:i/>
          <w:sz w:val="20"/>
          <w:lang w:val="en-GB"/>
        </w:rPr>
        <w:t>,</w:t>
      </w:r>
      <w:r w:rsidRPr="004551B6">
        <w:rPr>
          <w:i/>
          <w:sz w:val="20"/>
          <w:lang w:val="en-GB"/>
        </w:rPr>
        <w:t xml:space="preserve"> Figure 1-2</w:t>
      </w:r>
      <w:r>
        <w:rPr>
          <w:i/>
          <w:sz w:val="20"/>
          <w:lang w:val="en-GB"/>
        </w:rPr>
        <w:t xml:space="preserve">, </w:t>
      </w:r>
      <w:proofErr w:type="gramStart"/>
      <w:r w:rsidRPr="006F5366">
        <w:rPr>
          <w:sz w:val="20"/>
          <w:lang w:val="en-GB"/>
        </w:rPr>
        <w:t>amend</w:t>
      </w:r>
      <w:proofErr w:type="gramEnd"/>
      <w:r w:rsidR="004551B6" w:rsidRPr="006F5366">
        <w:rPr>
          <w:sz w:val="20"/>
          <w:lang w:val="en-GB"/>
        </w:rPr>
        <w:t xml:space="preserve"> to</w:t>
      </w:r>
      <w:r w:rsidRPr="006F5366">
        <w:rPr>
          <w:sz w:val="20"/>
          <w:lang w:val="en-GB"/>
        </w:rPr>
        <w:t xml:space="preserve"> read</w:t>
      </w:r>
      <w:r w:rsidRPr="006F5366">
        <w:rPr>
          <w:i/>
          <w:sz w:val="20"/>
          <w:lang w:val="en-GB"/>
        </w:rPr>
        <w:t xml:space="preserve"> </w:t>
      </w:r>
      <w:r w:rsidRPr="00C2634F">
        <w:rPr>
          <w:sz w:val="20"/>
          <w:lang w:val="en-GB"/>
        </w:rPr>
        <w:t>(also inserting a new row)</w:t>
      </w:r>
      <w:r w:rsidR="004551B6" w:rsidRPr="00C2634F">
        <w:rPr>
          <w:sz w:val="20"/>
          <w:lang w:val="en-GB"/>
        </w:rPr>
        <w:t>:</w:t>
      </w:r>
    </w:p>
    <w:p w14:paraId="76521110" w14:textId="438B9565" w:rsidR="0057181E" w:rsidRDefault="008A742F" w:rsidP="008A742F">
      <w:pPr>
        <w:tabs>
          <w:tab w:val="left" w:pos="1134"/>
          <w:tab w:val="left" w:pos="2835"/>
        </w:tabs>
        <w:spacing w:before="120" w:after="120"/>
        <w:ind w:left="2127" w:right="1134" w:hanging="1134"/>
        <w:jc w:val="both"/>
        <w:rPr>
          <w:b/>
          <w:bCs/>
          <w:sz w:val="20"/>
          <w:lang w:val="en-GB"/>
        </w:rPr>
      </w:pPr>
      <w:r>
        <w:rPr>
          <w:sz w:val="20"/>
          <w:lang w:val="en-GB"/>
        </w:rPr>
        <w:tab/>
      </w:r>
      <w:r w:rsidR="00D617F2">
        <w:rPr>
          <w:sz w:val="20"/>
          <w:lang w:val="en-GB"/>
        </w:rPr>
        <w:t>"</w:t>
      </w:r>
      <w:r w:rsidR="004551B6" w:rsidRPr="004551B6">
        <w:rPr>
          <w:sz w:val="20"/>
          <w:lang w:val="en-GB"/>
        </w:rPr>
        <w:t>Figure 1-2</w:t>
      </w:r>
      <w:r w:rsidR="000D1D73">
        <w:rPr>
          <w:sz w:val="20"/>
          <w:lang w:val="en-GB"/>
        </w:rPr>
        <w:tab/>
      </w:r>
      <w:r w:rsidR="004551B6" w:rsidRPr="000D1D73">
        <w:rPr>
          <w:bCs/>
          <w:sz w:val="20"/>
          <w:lang w:val="en-GB"/>
        </w:rPr>
        <w:t>Tests applicable to specific classes of components (excluding</w:t>
      </w:r>
      <w:r w:rsidR="000D1D73">
        <w:rPr>
          <w:b/>
          <w:bCs/>
          <w:sz w:val="20"/>
          <w:lang w:val="en-GB"/>
        </w:rPr>
        <w:t xml:space="preserve"> CNG cylinders </w:t>
      </w:r>
      <w:r w:rsidR="004551B6" w:rsidRPr="004551B6">
        <w:rPr>
          <w:b/>
          <w:bCs/>
          <w:sz w:val="20"/>
          <w:lang w:val="en-GB"/>
        </w:rPr>
        <w:t>and LNG tank</w:t>
      </w:r>
      <w:r w:rsidR="004551B6" w:rsidRPr="000D1D73">
        <w:rPr>
          <w:bCs/>
          <w:sz w:val="20"/>
          <w:lang w:val="en-GB"/>
        </w:rPr>
        <w:t>)</w:t>
      </w:r>
    </w:p>
    <w:tbl>
      <w:tblPr>
        <w:tblW w:w="9475" w:type="dxa"/>
        <w:tblInd w:w="779" w:type="dxa"/>
        <w:tblCellMar>
          <w:top w:w="15" w:type="dxa"/>
          <w:left w:w="70" w:type="dxa"/>
          <w:bottom w:w="15" w:type="dxa"/>
          <w:right w:w="70" w:type="dxa"/>
        </w:tblCellMar>
        <w:tblLook w:val="04A0" w:firstRow="1" w:lastRow="0" w:firstColumn="1" w:lastColumn="0" w:noHBand="0" w:noVBand="1"/>
      </w:tblPr>
      <w:tblGrid>
        <w:gridCol w:w="3840"/>
        <w:gridCol w:w="665"/>
        <w:gridCol w:w="665"/>
        <w:gridCol w:w="665"/>
        <w:gridCol w:w="665"/>
        <w:gridCol w:w="665"/>
        <w:gridCol w:w="665"/>
        <w:gridCol w:w="665"/>
        <w:gridCol w:w="980"/>
      </w:tblGrid>
      <w:tr w:rsidR="004551B6" w:rsidRPr="002D1CF7" w14:paraId="14A6F9E2" w14:textId="77777777" w:rsidTr="006F5366">
        <w:trPr>
          <w:trHeight w:val="315"/>
        </w:trPr>
        <w:tc>
          <w:tcPr>
            <w:tcW w:w="3840" w:type="dxa"/>
            <w:tcBorders>
              <w:top w:val="single" w:sz="4" w:space="0" w:color="000000"/>
              <w:left w:val="single" w:sz="4" w:space="0" w:color="000000"/>
              <w:bottom w:val="single" w:sz="12" w:space="0" w:color="000000"/>
              <w:right w:val="single" w:sz="4" w:space="0" w:color="000000"/>
            </w:tcBorders>
            <w:vAlign w:val="bottom"/>
            <w:hideMark/>
          </w:tcPr>
          <w:p w14:paraId="7D813F91" w14:textId="77777777" w:rsidR="004551B6" w:rsidRPr="004551B6" w:rsidRDefault="004551B6" w:rsidP="00E75249">
            <w:pPr>
              <w:rPr>
                <w:i/>
                <w:iCs/>
                <w:color w:val="000000"/>
                <w:sz w:val="20"/>
                <w:szCs w:val="20"/>
                <w:lang w:val="nl-NL" w:eastAsia="nl-NL"/>
              </w:rPr>
            </w:pPr>
            <w:bookmarkStart w:id="1" w:name="_Hlk494874262"/>
            <w:r w:rsidRPr="004551B6">
              <w:rPr>
                <w:i/>
                <w:iCs/>
                <w:color w:val="000000"/>
                <w:sz w:val="20"/>
                <w:szCs w:val="20"/>
                <w:lang w:val="nl-NL" w:eastAsia="nl-NL"/>
              </w:rPr>
              <w:t>Test</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62708D04"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0</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12DECF83"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1</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08CB8E23"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2</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04189B60"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3</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3F0D705E"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4</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019C8C5C"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5</w:t>
            </w:r>
          </w:p>
        </w:tc>
        <w:tc>
          <w:tcPr>
            <w:tcW w:w="665" w:type="dxa"/>
            <w:tcBorders>
              <w:top w:val="single" w:sz="4" w:space="0" w:color="000000"/>
              <w:left w:val="single" w:sz="4" w:space="0" w:color="000000"/>
              <w:bottom w:val="single" w:sz="12" w:space="0" w:color="000000"/>
              <w:right w:val="single" w:sz="4" w:space="0" w:color="000000"/>
            </w:tcBorders>
            <w:vAlign w:val="bottom"/>
            <w:hideMark/>
          </w:tcPr>
          <w:p w14:paraId="6DC16077"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Class 6</w:t>
            </w:r>
          </w:p>
        </w:tc>
        <w:tc>
          <w:tcPr>
            <w:tcW w:w="980" w:type="dxa"/>
            <w:tcBorders>
              <w:top w:val="single" w:sz="4" w:space="0" w:color="000000"/>
              <w:left w:val="single" w:sz="4" w:space="0" w:color="000000"/>
              <w:bottom w:val="single" w:sz="12" w:space="0" w:color="000000"/>
              <w:right w:val="single" w:sz="4" w:space="0" w:color="auto"/>
            </w:tcBorders>
            <w:vAlign w:val="bottom"/>
            <w:hideMark/>
          </w:tcPr>
          <w:p w14:paraId="2E9E942B" w14:textId="77777777" w:rsidR="004551B6" w:rsidRPr="004551B6" w:rsidRDefault="004551B6" w:rsidP="00E75249">
            <w:pPr>
              <w:rPr>
                <w:i/>
                <w:iCs/>
                <w:color w:val="000000"/>
                <w:sz w:val="20"/>
                <w:szCs w:val="20"/>
                <w:lang w:val="nl-NL" w:eastAsia="nl-NL"/>
              </w:rPr>
            </w:pPr>
            <w:r w:rsidRPr="004551B6">
              <w:rPr>
                <w:i/>
                <w:iCs/>
                <w:color w:val="000000"/>
                <w:sz w:val="20"/>
                <w:szCs w:val="20"/>
                <w:lang w:val="nl-NL" w:eastAsia="nl-NL"/>
              </w:rPr>
              <w:t>Annex</w:t>
            </w:r>
          </w:p>
        </w:tc>
      </w:tr>
      <w:tr w:rsidR="004551B6" w:rsidRPr="002D1CF7" w14:paraId="57218277" w14:textId="77777777" w:rsidTr="006F5366">
        <w:trPr>
          <w:trHeight w:val="315"/>
        </w:trPr>
        <w:tc>
          <w:tcPr>
            <w:tcW w:w="3840" w:type="dxa"/>
            <w:vMerge w:val="restart"/>
            <w:tcBorders>
              <w:top w:val="single" w:sz="12" w:space="0" w:color="000000"/>
              <w:left w:val="single" w:sz="8" w:space="0" w:color="000000"/>
              <w:bottom w:val="single" w:sz="4" w:space="0" w:color="000000"/>
              <w:right w:val="single" w:sz="4" w:space="0" w:color="000000"/>
            </w:tcBorders>
            <w:vAlign w:val="bottom"/>
            <w:hideMark/>
          </w:tcPr>
          <w:p w14:paraId="64CD18C8"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Overpressure</w:t>
            </w:r>
            <w:proofErr w:type="spellEnd"/>
            <w:r w:rsidRPr="004551B6">
              <w:rPr>
                <w:color w:val="000000"/>
                <w:sz w:val="20"/>
                <w:szCs w:val="20"/>
                <w:lang w:val="nl-NL" w:eastAsia="nl-NL"/>
              </w:rPr>
              <w:t xml:space="preserve"> or </w:t>
            </w:r>
            <w:proofErr w:type="spellStart"/>
            <w:r w:rsidRPr="004551B6">
              <w:rPr>
                <w:color w:val="000000"/>
                <w:sz w:val="20"/>
                <w:szCs w:val="20"/>
                <w:lang w:val="nl-NL" w:eastAsia="nl-NL"/>
              </w:rPr>
              <w:t>strength</w:t>
            </w:r>
            <w:proofErr w:type="spellEnd"/>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2B3CAE0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51EC7E82"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78BE1DC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3088A83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05A93E4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48C7523B"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vMerge w:val="restart"/>
            <w:tcBorders>
              <w:top w:val="single" w:sz="12" w:space="0" w:color="000000"/>
              <w:left w:val="single" w:sz="4" w:space="0" w:color="000000"/>
              <w:bottom w:val="single" w:sz="4" w:space="0" w:color="000000"/>
              <w:right w:val="single" w:sz="4" w:space="0" w:color="000000"/>
            </w:tcBorders>
            <w:vAlign w:val="bottom"/>
            <w:hideMark/>
          </w:tcPr>
          <w:p w14:paraId="21AA87D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980" w:type="dxa"/>
            <w:vMerge w:val="restart"/>
            <w:tcBorders>
              <w:top w:val="single" w:sz="12" w:space="0" w:color="000000"/>
              <w:left w:val="single" w:sz="4" w:space="0" w:color="000000"/>
              <w:bottom w:val="single" w:sz="4" w:space="0" w:color="000000"/>
              <w:right w:val="single" w:sz="8" w:space="0" w:color="000000"/>
            </w:tcBorders>
            <w:vAlign w:val="bottom"/>
            <w:hideMark/>
          </w:tcPr>
          <w:p w14:paraId="262AE86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5A</w:t>
            </w:r>
          </w:p>
        </w:tc>
      </w:tr>
      <w:tr w:rsidR="004551B6" w:rsidRPr="002D1CF7" w14:paraId="700000B5" w14:textId="77777777" w:rsidTr="006F5366">
        <w:trPr>
          <w:trHeight w:val="464"/>
        </w:trPr>
        <w:tc>
          <w:tcPr>
            <w:tcW w:w="3840" w:type="dxa"/>
            <w:vMerge/>
            <w:tcBorders>
              <w:top w:val="single" w:sz="12" w:space="0" w:color="000000"/>
              <w:left w:val="single" w:sz="8" w:space="0" w:color="000000"/>
              <w:bottom w:val="single" w:sz="4" w:space="0" w:color="000000"/>
              <w:right w:val="single" w:sz="4" w:space="0" w:color="000000"/>
            </w:tcBorders>
            <w:vAlign w:val="center"/>
            <w:hideMark/>
          </w:tcPr>
          <w:p w14:paraId="3B96F608"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296972D7"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4D676517"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129E0C09"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54405F3A"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4492297C"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364E45BA" w14:textId="77777777" w:rsidR="004551B6" w:rsidRPr="004551B6" w:rsidRDefault="004551B6" w:rsidP="00E75249">
            <w:pPr>
              <w:rPr>
                <w:color w:val="000000"/>
                <w:sz w:val="20"/>
                <w:szCs w:val="20"/>
                <w:lang w:val="nl-NL" w:eastAsia="nl-NL"/>
              </w:rPr>
            </w:pPr>
          </w:p>
        </w:tc>
        <w:tc>
          <w:tcPr>
            <w:tcW w:w="665" w:type="dxa"/>
            <w:vMerge/>
            <w:tcBorders>
              <w:top w:val="single" w:sz="12" w:space="0" w:color="000000"/>
              <w:left w:val="single" w:sz="4" w:space="0" w:color="000000"/>
              <w:bottom w:val="single" w:sz="4" w:space="0" w:color="000000"/>
              <w:right w:val="single" w:sz="4" w:space="0" w:color="000000"/>
            </w:tcBorders>
            <w:vAlign w:val="center"/>
            <w:hideMark/>
          </w:tcPr>
          <w:p w14:paraId="73D5B594" w14:textId="77777777" w:rsidR="004551B6" w:rsidRPr="004551B6" w:rsidRDefault="004551B6" w:rsidP="00E75249">
            <w:pPr>
              <w:rPr>
                <w:color w:val="000000"/>
                <w:sz w:val="20"/>
                <w:szCs w:val="20"/>
                <w:lang w:val="nl-NL" w:eastAsia="nl-NL"/>
              </w:rPr>
            </w:pPr>
          </w:p>
        </w:tc>
        <w:tc>
          <w:tcPr>
            <w:tcW w:w="980" w:type="dxa"/>
            <w:vMerge/>
            <w:tcBorders>
              <w:top w:val="single" w:sz="12" w:space="0" w:color="000000"/>
              <w:left w:val="single" w:sz="4" w:space="0" w:color="000000"/>
              <w:bottom w:val="single" w:sz="4" w:space="0" w:color="000000"/>
              <w:right w:val="single" w:sz="8" w:space="0" w:color="000000"/>
            </w:tcBorders>
            <w:vAlign w:val="center"/>
            <w:hideMark/>
          </w:tcPr>
          <w:p w14:paraId="68A3D3C4" w14:textId="77777777" w:rsidR="004551B6" w:rsidRPr="004551B6" w:rsidRDefault="004551B6" w:rsidP="00E75249">
            <w:pPr>
              <w:rPr>
                <w:color w:val="000000"/>
                <w:sz w:val="20"/>
                <w:szCs w:val="20"/>
                <w:lang w:val="nl-NL" w:eastAsia="nl-NL"/>
              </w:rPr>
            </w:pPr>
          </w:p>
        </w:tc>
      </w:tr>
      <w:tr w:rsidR="004551B6" w:rsidRPr="002D1CF7" w14:paraId="553C3706"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4B281F48"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External</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leakage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D44ECD7"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83ECC3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C2D718F"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66A666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AE71CA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F4375C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A0A533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7926815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5B</w:t>
            </w:r>
          </w:p>
        </w:tc>
      </w:tr>
      <w:tr w:rsidR="004551B6" w:rsidRPr="002D1CF7" w14:paraId="7D28B962"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0217D459"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Internal</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leakage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73A14C6"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A3BE3D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6A0C63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0E1D3C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287177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39B3E3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5ADB1A6"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6384EA98"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5C</w:t>
            </w:r>
          </w:p>
        </w:tc>
      </w:tr>
      <w:tr w:rsidR="004551B6" w:rsidRPr="002D1CF7" w14:paraId="392947BA"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1E5CE196"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Durability</w:t>
            </w:r>
            <w:proofErr w:type="spellEnd"/>
            <w:r w:rsidRPr="004551B6">
              <w:rPr>
                <w:color w:val="000000"/>
                <w:sz w:val="20"/>
                <w:szCs w:val="20"/>
                <w:lang w:val="nl-NL" w:eastAsia="nl-NL"/>
              </w:rPr>
              <w:t xml:space="preserve"> tests</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C46EA1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78E7F5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0B72AE8"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DF5D01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A3CB29C"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59CE39C"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ED4C8D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5428B80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5L</w:t>
            </w:r>
          </w:p>
        </w:tc>
      </w:tr>
      <w:tr w:rsidR="004551B6" w:rsidRPr="002D1CF7" w14:paraId="41E8B34A"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7FB17A37"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 xml:space="preserve">CNG/LNG </w:t>
            </w:r>
            <w:proofErr w:type="spellStart"/>
            <w:r w:rsidRPr="004551B6">
              <w:rPr>
                <w:color w:val="000000"/>
                <w:sz w:val="20"/>
                <w:szCs w:val="20"/>
                <w:lang w:val="nl-NL" w:eastAsia="nl-NL"/>
              </w:rPr>
              <w:t>compatibility</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6AA9367"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8E5C72F"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2173E1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0B53D3C"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3FB1AF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345317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088937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528E8DF4"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5D</w:t>
            </w:r>
          </w:p>
        </w:tc>
      </w:tr>
      <w:tr w:rsidR="004551B6" w:rsidRPr="002D1CF7" w14:paraId="059675A9"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1732FC12"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Corrosion</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resistance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9FCFE6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9B79FC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479C5F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EACC72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5604FD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AE4124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A9DC41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1179B80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5E</w:t>
            </w:r>
          </w:p>
        </w:tc>
      </w:tr>
      <w:tr w:rsidR="004551B6" w:rsidRPr="002D1CF7" w14:paraId="448EA88D"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782C8AF0"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Resistance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to</w:t>
            </w:r>
            <w:proofErr w:type="spellEnd"/>
            <w:r w:rsidRPr="004551B6">
              <w:rPr>
                <w:color w:val="000000"/>
                <w:sz w:val="20"/>
                <w:szCs w:val="20"/>
                <w:lang w:val="nl-NL" w:eastAsia="nl-NL"/>
              </w:rPr>
              <w:t xml:space="preserve"> dry heat</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FDB226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4C2D38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13AD32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8C2DCC6"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69C89E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E62FAAC"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6376236"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25BFA7A2"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5F</w:t>
            </w:r>
          </w:p>
        </w:tc>
      </w:tr>
      <w:tr w:rsidR="004551B6" w:rsidRPr="002D1CF7" w14:paraId="2BF4D9EA"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2FE4F3A1"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Ozone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ageing</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D63291F"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02D8EF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ED24138"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31CD09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37C1DFB"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B97054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BB1EEC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6422F3E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5G</w:t>
            </w:r>
          </w:p>
        </w:tc>
      </w:tr>
      <w:tr w:rsidR="004551B6" w:rsidRPr="002D1CF7" w14:paraId="5DD9909D"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6B58A16C"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Burst</w:t>
            </w:r>
            <w:proofErr w:type="spellEnd"/>
            <w:r w:rsidRPr="004551B6">
              <w:rPr>
                <w:color w:val="000000"/>
                <w:sz w:val="20"/>
                <w:szCs w:val="20"/>
                <w:lang w:val="nl-NL" w:eastAsia="nl-NL"/>
              </w:rPr>
              <w:t>/</w:t>
            </w:r>
            <w:proofErr w:type="spellStart"/>
            <w:r w:rsidRPr="004551B6">
              <w:rPr>
                <w:color w:val="000000"/>
                <w:sz w:val="20"/>
                <w:szCs w:val="20"/>
                <w:lang w:val="nl-NL" w:eastAsia="nl-NL"/>
              </w:rPr>
              <w:t>destructive</w:t>
            </w:r>
            <w:proofErr w:type="spellEnd"/>
            <w:r w:rsidRPr="004551B6">
              <w:rPr>
                <w:color w:val="000000"/>
                <w:sz w:val="20"/>
                <w:szCs w:val="20"/>
                <w:lang w:val="nl-NL" w:eastAsia="nl-NL"/>
              </w:rPr>
              <w:t xml:space="preserve"> tests</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235AE0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06173A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59E5084"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583AE0C"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7B8D0E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83255BB"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E0FA26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28D711FB"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5M</w:t>
            </w:r>
          </w:p>
        </w:tc>
      </w:tr>
      <w:tr w:rsidR="004551B6" w:rsidRPr="002D1CF7" w14:paraId="763636B4"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7E8DCD58"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Temperature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cycle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10BA1E8"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64EFB3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F07BD07"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6EB85C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47884D4"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E8C88D1"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0697E9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5A291C7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5H</w:t>
            </w:r>
          </w:p>
        </w:tc>
      </w:tr>
      <w:tr w:rsidR="004551B6" w:rsidRPr="002D1CF7" w14:paraId="3FA346A1"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18DD950C"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Pressure</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cycle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7ABB85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1CC9AC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15BB492"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62AEF7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830E147"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63F1F3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E9D19DB"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1BF5CC17"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5I</w:t>
            </w:r>
          </w:p>
        </w:tc>
      </w:tr>
      <w:tr w:rsidR="004551B6" w:rsidRPr="002D1CF7" w14:paraId="5F746784"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75D951C5" w14:textId="77777777" w:rsidR="004551B6" w:rsidRPr="004551B6" w:rsidRDefault="004551B6" w:rsidP="00E75249">
            <w:pPr>
              <w:rPr>
                <w:color w:val="000000"/>
                <w:sz w:val="20"/>
                <w:szCs w:val="20"/>
                <w:lang w:val="nl-NL" w:eastAsia="nl-NL"/>
              </w:rPr>
            </w:pPr>
            <w:proofErr w:type="spellStart"/>
            <w:r w:rsidRPr="004551B6">
              <w:rPr>
                <w:color w:val="000000"/>
                <w:sz w:val="20"/>
                <w:szCs w:val="20"/>
                <w:lang w:val="nl-NL" w:eastAsia="nl-NL"/>
              </w:rPr>
              <w:t>Vibration</w:t>
            </w:r>
            <w:proofErr w:type="spellEnd"/>
            <w:r w:rsidRPr="004551B6">
              <w:rPr>
                <w:color w:val="000000"/>
                <w:sz w:val="20"/>
                <w:szCs w:val="20"/>
                <w:lang w:val="nl-NL" w:eastAsia="nl-NL"/>
              </w:rPr>
              <w:t xml:space="preserve"> </w:t>
            </w:r>
            <w:proofErr w:type="spellStart"/>
            <w:r w:rsidRPr="004551B6">
              <w:rPr>
                <w:color w:val="000000"/>
                <w:sz w:val="20"/>
                <w:szCs w:val="20"/>
                <w:lang w:val="nl-NL" w:eastAsia="nl-NL"/>
              </w:rPr>
              <w:t>resistance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2D22F71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16EF9D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972781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775771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066E022"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5B1615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0EF995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A</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42DAD04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5N</w:t>
            </w:r>
          </w:p>
        </w:tc>
      </w:tr>
      <w:tr w:rsidR="004551B6" w:rsidRPr="002D1CF7" w14:paraId="10B9B10A"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0FB4103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 xml:space="preserve">Operating </w:t>
            </w:r>
            <w:proofErr w:type="spellStart"/>
            <w:r w:rsidRPr="004551B6">
              <w:rPr>
                <w:color w:val="000000"/>
                <w:sz w:val="20"/>
                <w:szCs w:val="20"/>
                <w:lang w:val="nl-NL" w:eastAsia="nl-NL"/>
              </w:rPr>
              <w:t>temperatures</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9DFD37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6AC07E3B"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75B77CE4"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1B3F2068"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FCAE6B5"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6019F0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73F5B6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24A2B2FF"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5O</w:t>
            </w:r>
          </w:p>
        </w:tc>
      </w:tr>
      <w:tr w:rsidR="004551B6" w:rsidRPr="002D1CF7" w14:paraId="27FCC61B" w14:textId="77777777" w:rsidTr="006F5366">
        <w:trPr>
          <w:trHeight w:val="300"/>
        </w:trPr>
        <w:tc>
          <w:tcPr>
            <w:tcW w:w="3840" w:type="dxa"/>
            <w:tcBorders>
              <w:top w:val="single" w:sz="4" w:space="0" w:color="000000"/>
              <w:left w:val="single" w:sz="8" w:space="0" w:color="000000"/>
              <w:bottom w:val="single" w:sz="4" w:space="0" w:color="000000"/>
              <w:right w:val="single" w:sz="4" w:space="0" w:color="000000"/>
            </w:tcBorders>
            <w:vAlign w:val="bottom"/>
            <w:hideMark/>
          </w:tcPr>
          <w:p w14:paraId="3EC97C4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 xml:space="preserve">LNG low </w:t>
            </w:r>
            <w:proofErr w:type="spellStart"/>
            <w:r w:rsidRPr="004551B6">
              <w:rPr>
                <w:color w:val="000000"/>
                <w:sz w:val="20"/>
                <w:szCs w:val="20"/>
                <w:lang w:val="nl-NL" w:eastAsia="nl-NL"/>
              </w:rPr>
              <w:t>temperature</w:t>
            </w:r>
            <w:proofErr w:type="spellEnd"/>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2B1EA7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0E7BB67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B12A1CE"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4D641BD"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3AA4CAB3"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5F01031A"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X</w:t>
            </w:r>
          </w:p>
        </w:tc>
        <w:tc>
          <w:tcPr>
            <w:tcW w:w="665" w:type="dxa"/>
            <w:tcBorders>
              <w:top w:val="single" w:sz="4" w:space="0" w:color="000000"/>
              <w:left w:val="single" w:sz="4" w:space="0" w:color="000000"/>
              <w:bottom w:val="single" w:sz="4" w:space="0" w:color="000000"/>
              <w:right w:val="single" w:sz="4" w:space="0" w:color="000000"/>
            </w:tcBorders>
            <w:vAlign w:val="bottom"/>
            <w:hideMark/>
          </w:tcPr>
          <w:p w14:paraId="44E0E0A0"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O</w:t>
            </w:r>
          </w:p>
        </w:tc>
        <w:tc>
          <w:tcPr>
            <w:tcW w:w="980" w:type="dxa"/>
            <w:tcBorders>
              <w:top w:val="single" w:sz="4" w:space="0" w:color="000000"/>
              <w:left w:val="single" w:sz="4" w:space="0" w:color="000000"/>
              <w:bottom w:val="single" w:sz="4" w:space="0" w:color="000000"/>
              <w:right w:val="single" w:sz="8" w:space="0" w:color="000000"/>
            </w:tcBorders>
            <w:vAlign w:val="bottom"/>
            <w:hideMark/>
          </w:tcPr>
          <w:p w14:paraId="02162E59" w14:textId="77777777" w:rsidR="004551B6" w:rsidRPr="004551B6" w:rsidRDefault="004551B6" w:rsidP="00E75249">
            <w:pPr>
              <w:rPr>
                <w:color w:val="000000"/>
                <w:sz w:val="20"/>
                <w:szCs w:val="20"/>
                <w:lang w:val="nl-NL" w:eastAsia="nl-NL"/>
              </w:rPr>
            </w:pPr>
            <w:r w:rsidRPr="004551B6">
              <w:rPr>
                <w:color w:val="000000"/>
                <w:sz w:val="20"/>
                <w:szCs w:val="20"/>
                <w:lang w:val="nl-NL" w:eastAsia="nl-NL"/>
              </w:rPr>
              <w:t>5P</w:t>
            </w:r>
          </w:p>
        </w:tc>
      </w:tr>
      <w:tr w:rsidR="000D1D73" w:rsidRPr="004551B6" w14:paraId="1311F35C" w14:textId="77777777" w:rsidTr="006F5366">
        <w:trPr>
          <w:trHeight w:val="540"/>
        </w:trPr>
        <w:tc>
          <w:tcPr>
            <w:tcW w:w="3840" w:type="dxa"/>
            <w:tcBorders>
              <w:top w:val="single" w:sz="4" w:space="0" w:color="000000"/>
              <w:left w:val="single" w:sz="8" w:space="0" w:color="000000"/>
              <w:bottom w:val="single" w:sz="8" w:space="0" w:color="000000"/>
              <w:right w:val="single" w:sz="4" w:space="0" w:color="000000"/>
            </w:tcBorders>
            <w:vAlign w:val="bottom"/>
          </w:tcPr>
          <w:p w14:paraId="395B2BF6" w14:textId="7BD76CBD" w:rsidR="000D1D73" w:rsidRPr="004551B6" w:rsidRDefault="000D1D73" w:rsidP="00E75249">
            <w:pPr>
              <w:rPr>
                <w:b/>
                <w:bCs/>
                <w:color w:val="000000"/>
                <w:sz w:val="20"/>
                <w:szCs w:val="20"/>
                <w:lang w:val="en-US" w:eastAsia="nl-NL"/>
              </w:rPr>
            </w:pPr>
            <w:r w:rsidRPr="004551B6">
              <w:rPr>
                <w:b/>
                <w:bCs/>
                <w:color w:val="000000"/>
                <w:sz w:val="20"/>
                <w:szCs w:val="20"/>
                <w:lang w:val="en-US" w:eastAsia="nl-NL"/>
              </w:rPr>
              <w:t>Compatibility with heat exchange fluids of non-metallic parts</w:t>
            </w:r>
          </w:p>
        </w:tc>
        <w:tc>
          <w:tcPr>
            <w:tcW w:w="665" w:type="dxa"/>
            <w:tcBorders>
              <w:top w:val="single" w:sz="4" w:space="0" w:color="000000"/>
              <w:left w:val="single" w:sz="4" w:space="0" w:color="000000"/>
              <w:bottom w:val="single" w:sz="8" w:space="0" w:color="000000"/>
              <w:right w:val="single" w:sz="4" w:space="0" w:color="000000"/>
            </w:tcBorders>
            <w:vAlign w:val="bottom"/>
          </w:tcPr>
          <w:p w14:paraId="79B255D4" w14:textId="127396A8"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tcPr>
          <w:p w14:paraId="4993A192" w14:textId="77677894"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tcPr>
          <w:p w14:paraId="3FAA4C1C" w14:textId="5789C5E4"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tcPr>
          <w:p w14:paraId="0336A17F" w14:textId="5B79ACE5"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tcPr>
          <w:p w14:paraId="61DE3803" w14:textId="65EAAAB3"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tcPr>
          <w:p w14:paraId="2517B1BF" w14:textId="76A3893D"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665" w:type="dxa"/>
            <w:tcBorders>
              <w:top w:val="single" w:sz="4" w:space="0" w:color="000000"/>
              <w:left w:val="single" w:sz="4" w:space="0" w:color="000000"/>
              <w:bottom w:val="single" w:sz="8" w:space="0" w:color="000000"/>
              <w:right w:val="single" w:sz="4" w:space="0" w:color="000000"/>
            </w:tcBorders>
            <w:vAlign w:val="bottom"/>
          </w:tcPr>
          <w:p w14:paraId="190AB106" w14:textId="7AD4DECB"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A</w:t>
            </w:r>
          </w:p>
        </w:tc>
        <w:tc>
          <w:tcPr>
            <w:tcW w:w="980" w:type="dxa"/>
            <w:tcBorders>
              <w:top w:val="single" w:sz="4" w:space="0" w:color="000000"/>
              <w:left w:val="single" w:sz="4" w:space="0" w:color="000000"/>
              <w:bottom w:val="single" w:sz="8" w:space="0" w:color="000000"/>
              <w:right w:val="single" w:sz="8" w:space="0" w:color="000000"/>
            </w:tcBorders>
            <w:vAlign w:val="bottom"/>
          </w:tcPr>
          <w:p w14:paraId="4A35F557" w14:textId="537418B1" w:rsidR="000D1D73" w:rsidRPr="004551B6" w:rsidRDefault="000D1D73" w:rsidP="00E75249">
            <w:pPr>
              <w:rPr>
                <w:b/>
                <w:bCs/>
                <w:color w:val="000000"/>
                <w:sz w:val="20"/>
                <w:szCs w:val="20"/>
                <w:lang w:val="nl-NL" w:eastAsia="nl-NL"/>
              </w:rPr>
            </w:pPr>
            <w:r w:rsidRPr="004551B6">
              <w:rPr>
                <w:b/>
                <w:bCs/>
                <w:color w:val="000000"/>
                <w:sz w:val="20"/>
                <w:szCs w:val="20"/>
                <w:lang w:val="nl-NL" w:eastAsia="nl-NL"/>
              </w:rPr>
              <w:t>5Q</w:t>
            </w:r>
          </w:p>
        </w:tc>
      </w:tr>
      <w:tr w:rsidR="000D1D73" w:rsidRPr="00C2634F" w14:paraId="1D883C31" w14:textId="77777777" w:rsidTr="006F5366">
        <w:trPr>
          <w:trHeight w:val="540"/>
        </w:trPr>
        <w:tc>
          <w:tcPr>
            <w:tcW w:w="3840" w:type="dxa"/>
            <w:tcBorders>
              <w:top w:val="single" w:sz="4" w:space="0" w:color="000000"/>
              <w:left w:val="single" w:sz="8" w:space="0" w:color="000000"/>
              <w:bottom w:val="single" w:sz="8" w:space="0" w:color="000000"/>
              <w:right w:val="single" w:sz="4" w:space="0" w:color="000000"/>
            </w:tcBorders>
            <w:vAlign w:val="bottom"/>
          </w:tcPr>
          <w:p w14:paraId="2748AF03" w14:textId="1A56657F" w:rsidR="000D1D73" w:rsidRPr="000D1D73" w:rsidRDefault="000D1D73" w:rsidP="00E75249">
            <w:pPr>
              <w:rPr>
                <w:bCs/>
                <w:color w:val="000000"/>
                <w:sz w:val="20"/>
                <w:szCs w:val="20"/>
                <w:lang w:val="en-US" w:eastAsia="nl-NL"/>
              </w:rPr>
            </w:pPr>
            <w:r w:rsidRPr="008847CB">
              <w:rPr>
                <w:sz w:val="20"/>
                <w:lang w:val="en-GB"/>
              </w:rPr>
              <w:t>X = Applicable</w:t>
            </w:r>
            <w:r>
              <w:rPr>
                <w:sz w:val="20"/>
                <w:lang w:val="en-GB"/>
              </w:rPr>
              <w:br/>
            </w:r>
            <w:r w:rsidRPr="008847CB">
              <w:rPr>
                <w:sz w:val="20"/>
                <w:lang w:val="en-GB"/>
              </w:rPr>
              <w:t>O = Not applicable</w:t>
            </w:r>
            <w:r>
              <w:rPr>
                <w:sz w:val="20"/>
                <w:lang w:val="en-GB"/>
              </w:rPr>
              <w:br/>
            </w:r>
            <w:r w:rsidRPr="008847CB">
              <w:rPr>
                <w:sz w:val="20"/>
                <w:lang w:val="en-GB"/>
              </w:rPr>
              <w:t>A = As applicable</w:t>
            </w:r>
          </w:p>
        </w:tc>
        <w:tc>
          <w:tcPr>
            <w:tcW w:w="665" w:type="dxa"/>
            <w:tcBorders>
              <w:top w:val="single" w:sz="4" w:space="0" w:color="000000"/>
              <w:left w:val="single" w:sz="4" w:space="0" w:color="000000"/>
              <w:bottom w:val="single" w:sz="8" w:space="0" w:color="000000"/>
              <w:right w:val="single" w:sz="4" w:space="0" w:color="000000"/>
            </w:tcBorders>
            <w:vAlign w:val="bottom"/>
          </w:tcPr>
          <w:p w14:paraId="2A6ECF39" w14:textId="50F46A98" w:rsidR="000D1D73" w:rsidRPr="000D1D73" w:rsidRDefault="000D1D73" w:rsidP="00E75249">
            <w:pPr>
              <w:rPr>
                <w:b/>
                <w:bCs/>
                <w:color w:val="000000"/>
                <w:sz w:val="20"/>
                <w:szCs w:val="20"/>
                <w:lang w:val="en-GB" w:eastAsia="nl-NL"/>
              </w:rPr>
            </w:pPr>
          </w:p>
        </w:tc>
        <w:tc>
          <w:tcPr>
            <w:tcW w:w="665" w:type="dxa"/>
            <w:tcBorders>
              <w:top w:val="single" w:sz="4" w:space="0" w:color="000000"/>
              <w:left w:val="single" w:sz="4" w:space="0" w:color="000000"/>
              <w:bottom w:val="single" w:sz="8" w:space="0" w:color="000000"/>
              <w:right w:val="single" w:sz="4" w:space="0" w:color="000000"/>
            </w:tcBorders>
            <w:vAlign w:val="bottom"/>
          </w:tcPr>
          <w:p w14:paraId="78107BF8" w14:textId="31CE4331" w:rsidR="000D1D73" w:rsidRPr="000D1D73" w:rsidRDefault="000D1D73" w:rsidP="00E75249">
            <w:pPr>
              <w:rPr>
                <w:b/>
                <w:bCs/>
                <w:color w:val="000000"/>
                <w:sz w:val="20"/>
                <w:szCs w:val="20"/>
                <w:lang w:val="en-GB" w:eastAsia="nl-NL"/>
              </w:rPr>
            </w:pPr>
          </w:p>
        </w:tc>
        <w:tc>
          <w:tcPr>
            <w:tcW w:w="665" w:type="dxa"/>
            <w:tcBorders>
              <w:top w:val="single" w:sz="4" w:space="0" w:color="000000"/>
              <w:left w:val="single" w:sz="4" w:space="0" w:color="000000"/>
              <w:bottom w:val="single" w:sz="8" w:space="0" w:color="000000"/>
              <w:right w:val="single" w:sz="4" w:space="0" w:color="000000"/>
            </w:tcBorders>
            <w:vAlign w:val="bottom"/>
          </w:tcPr>
          <w:p w14:paraId="2B70D720" w14:textId="694FB48C" w:rsidR="000D1D73" w:rsidRPr="000D1D73" w:rsidRDefault="000D1D73" w:rsidP="00E75249">
            <w:pPr>
              <w:rPr>
                <w:b/>
                <w:bCs/>
                <w:color w:val="000000"/>
                <w:sz w:val="20"/>
                <w:szCs w:val="20"/>
                <w:lang w:val="en-GB" w:eastAsia="nl-NL"/>
              </w:rPr>
            </w:pPr>
          </w:p>
        </w:tc>
        <w:tc>
          <w:tcPr>
            <w:tcW w:w="665" w:type="dxa"/>
            <w:tcBorders>
              <w:top w:val="single" w:sz="4" w:space="0" w:color="000000"/>
              <w:left w:val="single" w:sz="4" w:space="0" w:color="000000"/>
              <w:bottom w:val="single" w:sz="8" w:space="0" w:color="000000"/>
              <w:right w:val="single" w:sz="4" w:space="0" w:color="000000"/>
            </w:tcBorders>
            <w:vAlign w:val="bottom"/>
          </w:tcPr>
          <w:p w14:paraId="22F9AE09" w14:textId="38A9E8AB" w:rsidR="000D1D73" w:rsidRPr="000D1D73" w:rsidRDefault="000D1D73" w:rsidP="00E75249">
            <w:pPr>
              <w:rPr>
                <w:b/>
                <w:bCs/>
                <w:color w:val="000000"/>
                <w:sz w:val="20"/>
                <w:szCs w:val="20"/>
                <w:lang w:val="en-GB" w:eastAsia="nl-NL"/>
              </w:rPr>
            </w:pPr>
          </w:p>
        </w:tc>
        <w:tc>
          <w:tcPr>
            <w:tcW w:w="665" w:type="dxa"/>
            <w:tcBorders>
              <w:top w:val="single" w:sz="4" w:space="0" w:color="000000"/>
              <w:left w:val="single" w:sz="4" w:space="0" w:color="000000"/>
              <w:bottom w:val="single" w:sz="8" w:space="0" w:color="000000"/>
              <w:right w:val="single" w:sz="4" w:space="0" w:color="000000"/>
            </w:tcBorders>
            <w:vAlign w:val="bottom"/>
          </w:tcPr>
          <w:p w14:paraId="5F9646B7" w14:textId="13F8538C" w:rsidR="000D1D73" w:rsidRPr="000D1D73" w:rsidRDefault="000D1D73" w:rsidP="00E75249">
            <w:pPr>
              <w:rPr>
                <w:b/>
                <w:bCs/>
                <w:color w:val="000000"/>
                <w:sz w:val="20"/>
                <w:szCs w:val="20"/>
                <w:lang w:val="en-GB" w:eastAsia="nl-NL"/>
              </w:rPr>
            </w:pPr>
          </w:p>
        </w:tc>
        <w:tc>
          <w:tcPr>
            <w:tcW w:w="665" w:type="dxa"/>
            <w:tcBorders>
              <w:top w:val="single" w:sz="4" w:space="0" w:color="000000"/>
              <w:left w:val="single" w:sz="4" w:space="0" w:color="000000"/>
              <w:bottom w:val="single" w:sz="8" w:space="0" w:color="000000"/>
              <w:right w:val="single" w:sz="4" w:space="0" w:color="000000"/>
            </w:tcBorders>
            <w:vAlign w:val="bottom"/>
          </w:tcPr>
          <w:p w14:paraId="2323C435" w14:textId="3DC043DD" w:rsidR="000D1D73" w:rsidRPr="000D1D73" w:rsidRDefault="000D1D73" w:rsidP="00E75249">
            <w:pPr>
              <w:rPr>
                <w:b/>
                <w:bCs/>
                <w:color w:val="000000"/>
                <w:sz w:val="20"/>
                <w:szCs w:val="20"/>
                <w:lang w:val="en-GB" w:eastAsia="nl-NL"/>
              </w:rPr>
            </w:pPr>
          </w:p>
        </w:tc>
        <w:tc>
          <w:tcPr>
            <w:tcW w:w="665" w:type="dxa"/>
            <w:tcBorders>
              <w:top w:val="single" w:sz="4" w:space="0" w:color="000000"/>
              <w:left w:val="single" w:sz="4" w:space="0" w:color="000000"/>
              <w:bottom w:val="single" w:sz="8" w:space="0" w:color="000000"/>
              <w:right w:val="single" w:sz="4" w:space="0" w:color="000000"/>
            </w:tcBorders>
            <w:vAlign w:val="bottom"/>
          </w:tcPr>
          <w:p w14:paraId="2E2AE40C" w14:textId="4D07C292" w:rsidR="000D1D73" w:rsidRPr="000D1D73" w:rsidRDefault="000D1D73" w:rsidP="00E75249">
            <w:pPr>
              <w:rPr>
                <w:b/>
                <w:bCs/>
                <w:color w:val="000000"/>
                <w:sz w:val="20"/>
                <w:szCs w:val="20"/>
                <w:lang w:val="en-GB" w:eastAsia="nl-NL"/>
              </w:rPr>
            </w:pPr>
          </w:p>
        </w:tc>
        <w:tc>
          <w:tcPr>
            <w:tcW w:w="980" w:type="dxa"/>
            <w:tcBorders>
              <w:top w:val="single" w:sz="4" w:space="0" w:color="000000"/>
              <w:left w:val="single" w:sz="4" w:space="0" w:color="000000"/>
              <w:bottom w:val="single" w:sz="8" w:space="0" w:color="000000"/>
              <w:right w:val="single" w:sz="8" w:space="0" w:color="000000"/>
            </w:tcBorders>
            <w:vAlign w:val="bottom"/>
          </w:tcPr>
          <w:p w14:paraId="3E7B5C14" w14:textId="6BDB097C" w:rsidR="000D1D73" w:rsidRPr="000D1D73" w:rsidRDefault="000D1D73" w:rsidP="00E75249">
            <w:pPr>
              <w:rPr>
                <w:b/>
                <w:bCs/>
                <w:color w:val="000000"/>
                <w:sz w:val="20"/>
                <w:szCs w:val="20"/>
                <w:lang w:val="en-GB" w:eastAsia="nl-NL"/>
              </w:rPr>
            </w:pPr>
          </w:p>
        </w:tc>
      </w:tr>
    </w:tbl>
    <w:bookmarkEnd w:id="1"/>
    <w:p w14:paraId="2D87FDA4" w14:textId="5C3B7CDA" w:rsidR="004551B6" w:rsidRPr="004551B6" w:rsidRDefault="00D617F2" w:rsidP="006F5366">
      <w:pPr>
        <w:tabs>
          <w:tab w:val="left" w:pos="2835"/>
        </w:tabs>
        <w:spacing w:before="120" w:after="120"/>
        <w:ind w:left="1134" w:right="593"/>
        <w:jc w:val="right"/>
        <w:rPr>
          <w:sz w:val="20"/>
          <w:lang w:val="en-GB"/>
        </w:rPr>
      </w:pPr>
      <w:r>
        <w:rPr>
          <w:sz w:val="20"/>
          <w:lang w:val="en-GB"/>
        </w:rPr>
        <w:t>"</w:t>
      </w:r>
    </w:p>
    <w:p w14:paraId="63E22FC5" w14:textId="24803C29" w:rsidR="008847CB" w:rsidRPr="008847CB" w:rsidRDefault="008847CB" w:rsidP="00885A0D">
      <w:pPr>
        <w:tabs>
          <w:tab w:val="left" w:pos="1701"/>
          <w:tab w:val="left" w:pos="2835"/>
        </w:tabs>
        <w:spacing w:before="120" w:after="120"/>
        <w:ind w:left="1701" w:right="1134" w:hanging="567"/>
        <w:jc w:val="both"/>
        <w:rPr>
          <w:sz w:val="20"/>
          <w:lang w:val="en-US"/>
        </w:rPr>
      </w:pPr>
    </w:p>
    <w:p w14:paraId="41041A80" w14:textId="77777777" w:rsidR="00121027" w:rsidRPr="00304C36" w:rsidRDefault="00121027" w:rsidP="00121027">
      <w:pPr>
        <w:pStyle w:val="HChG"/>
        <w:tabs>
          <w:tab w:val="clear" w:pos="851"/>
        </w:tabs>
        <w:ind w:hanging="567"/>
      </w:pPr>
      <w:r w:rsidRPr="00304C36">
        <w:lastRenderedPageBreak/>
        <w:t>II.</w:t>
      </w:r>
      <w:r w:rsidRPr="00304C36">
        <w:tab/>
        <w:t>Justification</w:t>
      </w:r>
      <w:r w:rsidR="006A7F64" w:rsidRPr="00304C36">
        <w:t>s</w:t>
      </w:r>
    </w:p>
    <w:p w14:paraId="15323046" w14:textId="2EFA9B0E" w:rsidR="00636397" w:rsidRDefault="00D617F2" w:rsidP="00D617F2">
      <w:pPr>
        <w:tabs>
          <w:tab w:val="left" w:pos="1701"/>
        </w:tabs>
        <w:autoSpaceDE w:val="0"/>
        <w:autoSpaceDN w:val="0"/>
        <w:spacing w:after="120"/>
        <w:ind w:left="1134" w:right="1117"/>
        <w:jc w:val="both"/>
        <w:rPr>
          <w:sz w:val="20"/>
          <w:szCs w:val="20"/>
          <w:lang w:val="en-GB"/>
        </w:rPr>
      </w:pPr>
      <w:r>
        <w:rPr>
          <w:sz w:val="20"/>
          <w:szCs w:val="20"/>
          <w:lang w:val="en-GB"/>
        </w:rPr>
        <w:t>1.</w:t>
      </w:r>
      <w:r>
        <w:rPr>
          <w:sz w:val="20"/>
          <w:szCs w:val="20"/>
          <w:lang w:val="en-GB"/>
        </w:rPr>
        <w:tab/>
      </w:r>
      <w:r w:rsidR="00636397" w:rsidRPr="00636397">
        <w:rPr>
          <w:sz w:val="20"/>
          <w:szCs w:val="20"/>
          <w:lang w:val="en-GB"/>
        </w:rPr>
        <w:t xml:space="preserve">Currently, the test requirement </w:t>
      </w:r>
      <w:r>
        <w:rPr>
          <w:sz w:val="20"/>
          <w:szCs w:val="20"/>
          <w:lang w:val="en-GB"/>
        </w:rPr>
        <w:t>"</w:t>
      </w:r>
      <w:r w:rsidR="00636397" w:rsidRPr="00636397">
        <w:rPr>
          <w:sz w:val="20"/>
          <w:szCs w:val="20"/>
          <w:lang w:val="en-GB"/>
        </w:rPr>
        <w:t>Compatibility with heat exchange fluids of non-metallic parts</w:t>
      </w:r>
      <w:r>
        <w:rPr>
          <w:sz w:val="20"/>
          <w:szCs w:val="20"/>
          <w:lang w:val="en-GB"/>
        </w:rPr>
        <w:t>"</w:t>
      </w:r>
      <w:r w:rsidR="00636397" w:rsidRPr="00636397">
        <w:rPr>
          <w:sz w:val="20"/>
          <w:szCs w:val="20"/>
          <w:lang w:val="en-GB"/>
        </w:rPr>
        <w:t xml:space="preserve"> Annex 5Q is part of </w:t>
      </w:r>
      <w:r>
        <w:rPr>
          <w:sz w:val="20"/>
          <w:szCs w:val="20"/>
          <w:lang w:val="en-GB"/>
        </w:rPr>
        <w:t xml:space="preserve">UN </w:t>
      </w:r>
      <w:r w:rsidR="00636397" w:rsidRPr="00636397">
        <w:rPr>
          <w:sz w:val="20"/>
          <w:szCs w:val="20"/>
          <w:lang w:val="en-GB"/>
        </w:rPr>
        <w:t>R</w:t>
      </w:r>
      <w:r>
        <w:rPr>
          <w:sz w:val="20"/>
          <w:szCs w:val="20"/>
          <w:lang w:val="en-GB"/>
        </w:rPr>
        <w:t xml:space="preserve">egulation No. </w:t>
      </w:r>
      <w:r w:rsidR="00636397" w:rsidRPr="00636397">
        <w:rPr>
          <w:sz w:val="20"/>
          <w:szCs w:val="20"/>
          <w:lang w:val="en-GB"/>
        </w:rPr>
        <w:t>110. In Annex 4D</w:t>
      </w:r>
      <w:r w:rsidR="00BA6698">
        <w:rPr>
          <w:sz w:val="20"/>
          <w:szCs w:val="20"/>
          <w:lang w:val="en-GB"/>
        </w:rPr>
        <w:t>,</w:t>
      </w:r>
      <w:r w:rsidR="00636397" w:rsidRPr="00636397">
        <w:rPr>
          <w:sz w:val="20"/>
          <w:szCs w:val="20"/>
          <w:lang w:val="en-GB"/>
        </w:rPr>
        <w:t xml:space="preserve"> the wording </w:t>
      </w:r>
      <w:r>
        <w:rPr>
          <w:sz w:val="20"/>
          <w:szCs w:val="20"/>
          <w:lang w:val="en-GB"/>
        </w:rPr>
        <w:t>"</w:t>
      </w:r>
      <w:r w:rsidR="00636397" w:rsidRPr="00636397">
        <w:rPr>
          <w:sz w:val="20"/>
          <w:szCs w:val="20"/>
          <w:lang w:val="en-GB"/>
        </w:rPr>
        <w:t>Compatibility with heat exchange fluids</w:t>
      </w:r>
      <w:r>
        <w:rPr>
          <w:sz w:val="20"/>
          <w:szCs w:val="20"/>
          <w:lang w:val="en-GB"/>
        </w:rPr>
        <w:t>"</w:t>
      </w:r>
      <w:r w:rsidR="00636397" w:rsidRPr="00636397">
        <w:rPr>
          <w:sz w:val="20"/>
          <w:szCs w:val="20"/>
          <w:lang w:val="en-GB"/>
        </w:rPr>
        <w:t xml:space="preserve"> is used but there is no reference to the applicable tests.</w:t>
      </w:r>
    </w:p>
    <w:p w14:paraId="4172B80F" w14:textId="228F485B" w:rsidR="00636397" w:rsidRDefault="00D617F2" w:rsidP="00D617F2">
      <w:pPr>
        <w:tabs>
          <w:tab w:val="left" w:pos="1701"/>
        </w:tabs>
        <w:autoSpaceDE w:val="0"/>
        <w:autoSpaceDN w:val="0"/>
        <w:spacing w:after="120"/>
        <w:ind w:left="1134" w:right="1117"/>
        <w:jc w:val="both"/>
        <w:rPr>
          <w:sz w:val="20"/>
          <w:szCs w:val="20"/>
          <w:lang w:val="en-GB"/>
        </w:rPr>
      </w:pPr>
      <w:r>
        <w:rPr>
          <w:sz w:val="20"/>
          <w:szCs w:val="20"/>
          <w:lang w:val="en-GB"/>
        </w:rPr>
        <w:t>2.</w:t>
      </w:r>
      <w:r>
        <w:rPr>
          <w:sz w:val="20"/>
          <w:szCs w:val="20"/>
          <w:lang w:val="en-GB"/>
        </w:rPr>
        <w:tab/>
        <w:t>In Annex 4I,</w:t>
      </w:r>
      <w:r w:rsidR="00636397" w:rsidRPr="00636397">
        <w:rPr>
          <w:sz w:val="20"/>
          <w:szCs w:val="20"/>
          <w:lang w:val="en-GB"/>
        </w:rPr>
        <w:t xml:space="preserve"> the component </w:t>
      </w:r>
      <w:r>
        <w:rPr>
          <w:sz w:val="20"/>
          <w:szCs w:val="20"/>
          <w:lang w:val="en-GB"/>
        </w:rPr>
        <w:t>"</w:t>
      </w:r>
      <w:r w:rsidR="00636397" w:rsidRPr="00636397">
        <w:rPr>
          <w:sz w:val="20"/>
          <w:szCs w:val="20"/>
          <w:lang w:val="en-GB"/>
        </w:rPr>
        <w:t>LNG heat exchanger – vaporizer</w:t>
      </w:r>
      <w:r>
        <w:rPr>
          <w:sz w:val="20"/>
          <w:szCs w:val="20"/>
          <w:lang w:val="en-GB"/>
        </w:rPr>
        <w:t>"</w:t>
      </w:r>
      <w:r w:rsidR="00636397" w:rsidRPr="00636397">
        <w:rPr>
          <w:sz w:val="20"/>
          <w:szCs w:val="20"/>
          <w:lang w:val="en-GB"/>
        </w:rPr>
        <w:t xml:space="preserve"> consist out of material in contact with the heat exchange fluid. Therefore</w:t>
      </w:r>
      <w:r>
        <w:rPr>
          <w:sz w:val="20"/>
          <w:szCs w:val="20"/>
          <w:lang w:val="en-GB"/>
        </w:rPr>
        <w:t>,</w:t>
      </w:r>
      <w:r w:rsidR="00636397" w:rsidRPr="00636397">
        <w:rPr>
          <w:sz w:val="20"/>
          <w:szCs w:val="20"/>
          <w:lang w:val="en-GB"/>
        </w:rPr>
        <w:t xml:space="preserve"> reference to this Annex 5Q should be made.</w:t>
      </w:r>
    </w:p>
    <w:p w14:paraId="10E55A46" w14:textId="43694D69" w:rsidR="00D61EA5" w:rsidRPr="00862995" w:rsidRDefault="00D617F2" w:rsidP="00D617F2">
      <w:pPr>
        <w:tabs>
          <w:tab w:val="left" w:pos="1701"/>
        </w:tabs>
        <w:autoSpaceDE w:val="0"/>
        <w:autoSpaceDN w:val="0"/>
        <w:spacing w:after="120"/>
        <w:ind w:left="1134" w:right="1117"/>
        <w:jc w:val="both"/>
        <w:rPr>
          <w:sz w:val="20"/>
          <w:szCs w:val="20"/>
          <w:lang w:val="en-GB"/>
        </w:rPr>
      </w:pPr>
      <w:r>
        <w:rPr>
          <w:sz w:val="20"/>
          <w:szCs w:val="20"/>
          <w:lang w:val="en-GB"/>
        </w:rPr>
        <w:t>3.</w:t>
      </w:r>
      <w:r>
        <w:rPr>
          <w:sz w:val="20"/>
          <w:szCs w:val="20"/>
          <w:lang w:val="en-GB"/>
        </w:rPr>
        <w:tab/>
      </w:r>
      <w:r w:rsidR="00636397" w:rsidRPr="00636397">
        <w:rPr>
          <w:sz w:val="20"/>
          <w:szCs w:val="20"/>
          <w:lang w:val="en-GB"/>
        </w:rPr>
        <w:t xml:space="preserve">Also in the general overview Figure 1-2, with all tests from Annex 5, and Table 5.1 in Annex 5 does not have any reference to the mentioned test, already present in the current revision of </w:t>
      </w:r>
      <w:r>
        <w:rPr>
          <w:sz w:val="20"/>
          <w:szCs w:val="20"/>
          <w:lang w:val="en-GB"/>
        </w:rPr>
        <w:t>UN</w:t>
      </w:r>
      <w:r w:rsidR="00636397" w:rsidRPr="00636397">
        <w:rPr>
          <w:sz w:val="20"/>
          <w:szCs w:val="20"/>
          <w:lang w:val="en-GB"/>
        </w:rPr>
        <w:t xml:space="preserve"> </w:t>
      </w:r>
      <w:r>
        <w:rPr>
          <w:sz w:val="20"/>
          <w:szCs w:val="20"/>
          <w:lang w:val="en-GB"/>
        </w:rPr>
        <w:t xml:space="preserve">Regulation No. </w:t>
      </w:r>
      <w:r w:rsidR="00636397" w:rsidRPr="00636397">
        <w:rPr>
          <w:sz w:val="20"/>
          <w:szCs w:val="20"/>
          <w:lang w:val="en-GB"/>
        </w:rPr>
        <w:t>110.</w:t>
      </w:r>
    </w:p>
    <w:p w14:paraId="585B5A53" w14:textId="77777777" w:rsidR="00471B60" w:rsidRPr="00B5381D" w:rsidRDefault="00471B60" w:rsidP="00FD1A35">
      <w:pPr>
        <w:ind w:left="1134" w:right="1160"/>
        <w:jc w:val="center"/>
        <w:rPr>
          <w:lang w:val="en-GB"/>
        </w:rPr>
      </w:pPr>
      <w:r w:rsidRPr="00B5381D">
        <w:rPr>
          <w:lang w:val="en-GB"/>
        </w:rPr>
        <w:t>__________</w:t>
      </w:r>
    </w:p>
    <w:sectPr w:rsidR="00471B60" w:rsidRPr="00B5381D" w:rsidSect="008F4208">
      <w:headerReference w:type="default" r:id="rId9"/>
      <w:footerReference w:type="even" r:id="rId10"/>
      <w:footerReference w:type="default" r:id="rId11"/>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3AE3E" w14:textId="77777777" w:rsidR="00601ECC" w:rsidRDefault="00601ECC">
      <w:r>
        <w:separator/>
      </w:r>
    </w:p>
  </w:endnote>
  <w:endnote w:type="continuationSeparator" w:id="0">
    <w:p w14:paraId="071CE255" w14:textId="77777777" w:rsidR="00601ECC" w:rsidRDefault="006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B123" w14:textId="471D2960"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C2634F">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5434" w14:textId="30B300FE"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C2634F">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B8B5" w14:textId="77777777" w:rsidR="00601ECC" w:rsidRDefault="00601ECC">
      <w:r>
        <w:separator/>
      </w:r>
    </w:p>
  </w:footnote>
  <w:footnote w:type="continuationSeparator" w:id="0">
    <w:p w14:paraId="13B387E8" w14:textId="77777777" w:rsidR="00601ECC" w:rsidRDefault="0060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8951" w14:textId="77777777"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41776C"/>
    <w:multiLevelType w:val="hybridMultilevel"/>
    <w:tmpl w:val="56C09742"/>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6">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7"/>
  </w:num>
  <w:num w:numId="8">
    <w:abstractNumId w:val="8"/>
  </w:num>
  <w:num w:numId="9">
    <w:abstractNumId w:val="6"/>
  </w:num>
  <w:num w:numId="10">
    <w:abstractNumId w:val="9"/>
  </w:num>
  <w:num w:numId="11">
    <w:abstractNumId w:val="7"/>
  </w:num>
  <w:num w:numId="12">
    <w:abstractNumId w:val="18"/>
  </w:num>
  <w:num w:numId="13">
    <w:abstractNumId w:val="3"/>
  </w:num>
  <w:num w:numId="14">
    <w:abstractNumId w:val="27"/>
  </w:num>
  <w:num w:numId="15">
    <w:abstractNumId w:val="22"/>
  </w:num>
  <w:num w:numId="16">
    <w:abstractNumId w:val="25"/>
  </w:num>
  <w:num w:numId="17">
    <w:abstractNumId w:val="23"/>
  </w:num>
  <w:num w:numId="18">
    <w:abstractNumId w:val="14"/>
  </w:num>
  <w:num w:numId="19">
    <w:abstractNumId w:val="21"/>
  </w:num>
  <w:num w:numId="20">
    <w:abstractNumId w:val="26"/>
  </w:num>
  <w:num w:numId="21">
    <w:abstractNumId w:val="13"/>
  </w:num>
  <w:num w:numId="22">
    <w:abstractNumId w:val="10"/>
  </w:num>
  <w:num w:numId="23">
    <w:abstractNumId w:val="12"/>
  </w:num>
  <w:num w:numId="24">
    <w:abstractNumId w:val="28"/>
  </w:num>
  <w:num w:numId="25">
    <w:abstractNumId w:val="29"/>
  </w:num>
  <w:num w:numId="26">
    <w:abstractNumId w:val="15"/>
  </w:num>
  <w:num w:numId="27">
    <w:abstractNumId w:val="20"/>
  </w:num>
  <w:num w:numId="28">
    <w:abstractNumId w:val="19"/>
  </w:num>
  <w:num w:numId="29">
    <w:abstractNumId w:val="11"/>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45D53"/>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0043"/>
    <w:rsid w:val="000A1E69"/>
    <w:rsid w:val="000A2EE3"/>
    <w:rsid w:val="000B16DF"/>
    <w:rsid w:val="000B4763"/>
    <w:rsid w:val="000B61D8"/>
    <w:rsid w:val="000C0CD6"/>
    <w:rsid w:val="000C3A7C"/>
    <w:rsid w:val="000C690D"/>
    <w:rsid w:val="000C717B"/>
    <w:rsid w:val="000C75C9"/>
    <w:rsid w:val="000D1D73"/>
    <w:rsid w:val="000D3C09"/>
    <w:rsid w:val="000D4090"/>
    <w:rsid w:val="000D4DC2"/>
    <w:rsid w:val="000D6C0A"/>
    <w:rsid w:val="000E0E10"/>
    <w:rsid w:val="000E21B9"/>
    <w:rsid w:val="000E34A9"/>
    <w:rsid w:val="000E4CC4"/>
    <w:rsid w:val="000F1E85"/>
    <w:rsid w:val="000F3EC7"/>
    <w:rsid w:val="000F4E58"/>
    <w:rsid w:val="000F791C"/>
    <w:rsid w:val="00101280"/>
    <w:rsid w:val="001078B6"/>
    <w:rsid w:val="001153A4"/>
    <w:rsid w:val="0012023F"/>
    <w:rsid w:val="00121027"/>
    <w:rsid w:val="00123098"/>
    <w:rsid w:val="00123846"/>
    <w:rsid w:val="00124312"/>
    <w:rsid w:val="00125426"/>
    <w:rsid w:val="0013336B"/>
    <w:rsid w:val="0013451F"/>
    <w:rsid w:val="00136437"/>
    <w:rsid w:val="00137ACC"/>
    <w:rsid w:val="00140143"/>
    <w:rsid w:val="00144004"/>
    <w:rsid w:val="00145C55"/>
    <w:rsid w:val="00145D1D"/>
    <w:rsid w:val="00147968"/>
    <w:rsid w:val="00152788"/>
    <w:rsid w:val="00152C76"/>
    <w:rsid w:val="00153275"/>
    <w:rsid w:val="00157B85"/>
    <w:rsid w:val="001620AE"/>
    <w:rsid w:val="00164E4B"/>
    <w:rsid w:val="00166906"/>
    <w:rsid w:val="00170411"/>
    <w:rsid w:val="00176D06"/>
    <w:rsid w:val="001807EC"/>
    <w:rsid w:val="0018173C"/>
    <w:rsid w:val="00182670"/>
    <w:rsid w:val="001848B1"/>
    <w:rsid w:val="00197771"/>
    <w:rsid w:val="001A0E28"/>
    <w:rsid w:val="001B02A0"/>
    <w:rsid w:val="001B3605"/>
    <w:rsid w:val="001B3CC4"/>
    <w:rsid w:val="001B54CF"/>
    <w:rsid w:val="001B75B6"/>
    <w:rsid w:val="001C439D"/>
    <w:rsid w:val="001D140D"/>
    <w:rsid w:val="001D2149"/>
    <w:rsid w:val="001D2E01"/>
    <w:rsid w:val="001E0059"/>
    <w:rsid w:val="001E1A51"/>
    <w:rsid w:val="001E38C7"/>
    <w:rsid w:val="001E3F85"/>
    <w:rsid w:val="002126EC"/>
    <w:rsid w:val="00215F2F"/>
    <w:rsid w:val="0022125F"/>
    <w:rsid w:val="0022352D"/>
    <w:rsid w:val="002277B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3848"/>
    <w:rsid w:val="00276892"/>
    <w:rsid w:val="002814A3"/>
    <w:rsid w:val="00281F58"/>
    <w:rsid w:val="00285B85"/>
    <w:rsid w:val="00285DBE"/>
    <w:rsid w:val="00296CAE"/>
    <w:rsid w:val="002A65C7"/>
    <w:rsid w:val="002A6C04"/>
    <w:rsid w:val="002A6F0F"/>
    <w:rsid w:val="002B04D3"/>
    <w:rsid w:val="002B1665"/>
    <w:rsid w:val="002C3A4E"/>
    <w:rsid w:val="002C55A2"/>
    <w:rsid w:val="002D07B2"/>
    <w:rsid w:val="002D290D"/>
    <w:rsid w:val="002D5863"/>
    <w:rsid w:val="002E1BD4"/>
    <w:rsid w:val="002E32FD"/>
    <w:rsid w:val="002E3D9C"/>
    <w:rsid w:val="002F0049"/>
    <w:rsid w:val="002F601F"/>
    <w:rsid w:val="002F68DB"/>
    <w:rsid w:val="002F6A73"/>
    <w:rsid w:val="00303380"/>
    <w:rsid w:val="003048E4"/>
    <w:rsid w:val="00304C36"/>
    <w:rsid w:val="00305A3B"/>
    <w:rsid w:val="00306BB4"/>
    <w:rsid w:val="0030734F"/>
    <w:rsid w:val="0031140D"/>
    <w:rsid w:val="003135AD"/>
    <w:rsid w:val="00316103"/>
    <w:rsid w:val="003162B0"/>
    <w:rsid w:val="00325050"/>
    <w:rsid w:val="0033107F"/>
    <w:rsid w:val="003365EC"/>
    <w:rsid w:val="00351B21"/>
    <w:rsid w:val="003560DB"/>
    <w:rsid w:val="00365867"/>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45AE"/>
    <w:rsid w:val="00444B6B"/>
    <w:rsid w:val="00444D70"/>
    <w:rsid w:val="00445329"/>
    <w:rsid w:val="0044709F"/>
    <w:rsid w:val="004504AC"/>
    <w:rsid w:val="00452EAA"/>
    <w:rsid w:val="004551B6"/>
    <w:rsid w:val="00456EB7"/>
    <w:rsid w:val="004600CD"/>
    <w:rsid w:val="00461569"/>
    <w:rsid w:val="004624F0"/>
    <w:rsid w:val="004637F5"/>
    <w:rsid w:val="00466906"/>
    <w:rsid w:val="00471B60"/>
    <w:rsid w:val="004754B2"/>
    <w:rsid w:val="00481FA0"/>
    <w:rsid w:val="00482935"/>
    <w:rsid w:val="00482A16"/>
    <w:rsid w:val="00483642"/>
    <w:rsid w:val="00486322"/>
    <w:rsid w:val="00490F1F"/>
    <w:rsid w:val="004911B5"/>
    <w:rsid w:val="00493048"/>
    <w:rsid w:val="004A6896"/>
    <w:rsid w:val="004A7A6D"/>
    <w:rsid w:val="004B252D"/>
    <w:rsid w:val="004B331F"/>
    <w:rsid w:val="004C6990"/>
    <w:rsid w:val="004D0670"/>
    <w:rsid w:val="004E0E53"/>
    <w:rsid w:val="004E17AA"/>
    <w:rsid w:val="004E39D9"/>
    <w:rsid w:val="004E7EB4"/>
    <w:rsid w:val="004F0637"/>
    <w:rsid w:val="004F506D"/>
    <w:rsid w:val="004F6610"/>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BC9"/>
    <w:rsid w:val="00567C71"/>
    <w:rsid w:val="0057181E"/>
    <w:rsid w:val="005748FC"/>
    <w:rsid w:val="00576233"/>
    <w:rsid w:val="00576AAB"/>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F3064"/>
    <w:rsid w:val="005F35B5"/>
    <w:rsid w:val="005F590D"/>
    <w:rsid w:val="005F7ECB"/>
    <w:rsid w:val="00601ECC"/>
    <w:rsid w:val="00602033"/>
    <w:rsid w:val="0060491E"/>
    <w:rsid w:val="00605C17"/>
    <w:rsid w:val="0060740C"/>
    <w:rsid w:val="00610786"/>
    <w:rsid w:val="0061147B"/>
    <w:rsid w:val="00620D33"/>
    <w:rsid w:val="00621FA4"/>
    <w:rsid w:val="00636397"/>
    <w:rsid w:val="00636865"/>
    <w:rsid w:val="00647164"/>
    <w:rsid w:val="006520EB"/>
    <w:rsid w:val="0066005C"/>
    <w:rsid w:val="0066018B"/>
    <w:rsid w:val="0066596D"/>
    <w:rsid w:val="00675210"/>
    <w:rsid w:val="0067697C"/>
    <w:rsid w:val="006847F1"/>
    <w:rsid w:val="0068778F"/>
    <w:rsid w:val="006930A7"/>
    <w:rsid w:val="00695A64"/>
    <w:rsid w:val="006A1658"/>
    <w:rsid w:val="006A522A"/>
    <w:rsid w:val="006A5458"/>
    <w:rsid w:val="006A6045"/>
    <w:rsid w:val="006A6AEF"/>
    <w:rsid w:val="006A739B"/>
    <w:rsid w:val="006A73A1"/>
    <w:rsid w:val="006A7F64"/>
    <w:rsid w:val="006B18D3"/>
    <w:rsid w:val="006B6853"/>
    <w:rsid w:val="006C0C8B"/>
    <w:rsid w:val="006C2A4A"/>
    <w:rsid w:val="006C2B48"/>
    <w:rsid w:val="006C3413"/>
    <w:rsid w:val="006C6C6C"/>
    <w:rsid w:val="006D098C"/>
    <w:rsid w:val="006D0D04"/>
    <w:rsid w:val="006D1D02"/>
    <w:rsid w:val="006D5DCB"/>
    <w:rsid w:val="006D7606"/>
    <w:rsid w:val="006E06DE"/>
    <w:rsid w:val="006E1821"/>
    <w:rsid w:val="006F06DE"/>
    <w:rsid w:val="006F5366"/>
    <w:rsid w:val="006F58A1"/>
    <w:rsid w:val="006F6A7F"/>
    <w:rsid w:val="007001D4"/>
    <w:rsid w:val="007010F3"/>
    <w:rsid w:val="007036B8"/>
    <w:rsid w:val="00703915"/>
    <w:rsid w:val="00710D6A"/>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1EB4"/>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3FD8"/>
    <w:rsid w:val="00836447"/>
    <w:rsid w:val="00836D55"/>
    <w:rsid w:val="00840080"/>
    <w:rsid w:val="00842277"/>
    <w:rsid w:val="00843386"/>
    <w:rsid w:val="00846D57"/>
    <w:rsid w:val="00851BF4"/>
    <w:rsid w:val="00852FA8"/>
    <w:rsid w:val="008604C8"/>
    <w:rsid w:val="008605C0"/>
    <w:rsid w:val="00862995"/>
    <w:rsid w:val="00864BEB"/>
    <w:rsid w:val="00865AF2"/>
    <w:rsid w:val="00865CE6"/>
    <w:rsid w:val="00866AFA"/>
    <w:rsid w:val="00866D26"/>
    <w:rsid w:val="0086787A"/>
    <w:rsid w:val="00870EFA"/>
    <w:rsid w:val="00872026"/>
    <w:rsid w:val="0087551C"/>
    <w:rsid w:val="00880B8B"/>
    <w:rsid w:val="008847CB"/>
    <w:rsid w:val="00885090"/>
    <w:rsid w:val="00885A0D"/>
    <w:rsid w:val="008862FE"/>
    <w:rsid w:val="008877AA"/>
    <w:rsid w:val="008921A6"/>
    <w:rsid w:val="008A0034"/>
    <w:rsid w:val="008A5622"/>
    <w:rsid w:val="008A742F"/>
    <w:rsid w:val="008B31B5"/>
    <w:rsid w:val="008B3E61"/>
    <w:rsid w:val="008B7565"/>
    <w:rsid w:val="008C0D7E"/>
    <w:rsid w:val="008D04C4"/>
    <w:rsid w:val="008D5339"/>
    <w:rsid w:val="008D6031"/>
    <w:rsid w:val="008D6A1E"/>
    <w:rsid w:val="008D7EB1"/>
    <w:rsid w:val="008D7EF1"/>
    <w:rsid w:val="008E19C5"/>
    <w:rsid w:val="008F4208"/>
    <w:rsid w:val="008F52A2"/>
    <w:rsid w:val="008F581E"/>
    <w:rsid w:val="008F5AC7"/>
    <w:rsid w:val="008F76BE"/>
    <w:rsid w:val="00903754"/>
    <w:rsid w:val="00904502"/>
    <w:rsid w:val="00911492"/>
    <w:rsid w:val="00912D70"/>
    <w:rsid w:val="009221F9"/>
    <w:rsid w:val="0092299A"/>
    <w:rsid w:val="00926CEC"/>
    <w:rsid w:val="0092779B"/>
    <w:rsid w:val="009328E7"/>
    <w:rsid w:val="00932976"/>
    <w:rsid w:val="00935107"/>
    <w:rsid w:val="0093586E"/>
    <w:rsid w:val="00935DAD"/>
    <w:rsid w:val="009364D0"/>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4F2B"/>
    <w:rsid w:val="009C68F7"/>
    <w:rsid w:val="009C7764"/>
    <w:rsid w:val="009D0703"/>
    <w:rsid w:val="009D2DBB"/>
    <w:rsid w:val="009D3AD0"/>
    <w:rsid w:val="009E003C"/>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975C0"/>
    <w:rsid w:val="00AA2750"/>
    <w:rsid w:val="00AA3435"/>
    <w:rsid w:val="00AA438B"/>
    <w:rsid w:val="00AA44B8"/>
    <w:rsid w:val="00AA57E1"/>
    <w:rsid w:val="00AB1066"/>
    <w:rsid w:val="00AB3A9F"/>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5381D"/>
    <w:rsid w:val="00B64748"/>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2BDB"/>
    <w:rsid w:val="00BA3B47"/>
    <w:rsid w:val="00BA4018"/>
    <w:rsid w:val="00BA5D1D"/>
    <w:rsid w:val="00BA6698"/>
    <w:rsid w:val="00BB23CB"/>
    <w:rsid w:val="00BB3FBC"/>
    <w:rsid w:val="00BC01A6"/>
    <w:rsid w:val="00BC3632"/>
    <w:rsid w:val="00BC3C24"/>
    <w:rsid w:val="00BC600B"/>
    <w:rsid w:val="00BD1C4E"/>
    <w:rsid w:val="00BD461D"/>
    <w:rsid w:val="00BE1CD6"/>
    <w:rsid w:val="00BE2D60"/>
    <w:rsid w:val="00BE315C"/>
    <w:rsid w:val="00BE5F4A"/>
    <w:rsid w:val="00BE6446"/>
    <w:rsid w:val="00BE77B0"/>
    <w:rsid w:val="00BF1910"/>
    <w:rsid w:val="00BF3FA0"/>
    <w:rsid w:val="00BF4FDD"/>
    <w:rsid w:val="00BF54FA"/>
    <w:rsid w:val="00BF5816"/>
    <w:rsid w:val="00BF5BE4"/>
    <w:rsid w:val="00BF6D67"/>
    <w:rsid w:val="00C02321"/>
    <w:rsid w:val="00C03B07"/>
    <w:rsid w:val="00C03CC4"/>
    <w:rsid w:val="00C057B3"/>
    <w:rsid w:val="00C06BD5"/>
    <w:rsid w:val="00C07DE9"/>
    <w:rsid w:val="00C16E16"/>
    <w:rsid w:val="00C202CA"/>
    <w:rsid w:val="00C2089D"/>
    <w:rsid w:val="00C21B91"/>
    <w:rsid w:val="00C259A5"/>
    <w:rsid w:val="00C2634F"/>
    <w:rsid w:val="00C26749"/>
    <w:rsid w:val="00C30136"/>
    <w:rsid w:val="00C30B77"/>
    <w:rsid w:val="00C33CC5"/>
    <w:rsid w:val="00C348CB"/>
    <w:rsid w:val="00C37AF9"/>
    <w:rsid w:val="00C42B55"/>
    <w:rsid w:val="00C465AF"/>
    <w:rsid w:val="00C46BBD"/>
    <w:rsid w:val="00C50643"/>
    <w:rsid w:val="00C521B6"/>
    <w:rsid w:val="00C53C53"/>
    <w:rsid w:val="00C614AD"/>
    <w:rsid w:val="00C61DBB"/>
    <w:rsid w:val="00C62FB4"/>
    <w:rsid w:val="00C63D64"/>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C7AC9"/>
    <w:rsid w:val="00CD0CB4"/>
    <w:rsid w:val="00CD2163"/>
    <w:rsid w:val="00CD2BAB"/>
    <w:rsid w:val="00CD489E"/>
    <w:rsid w:val="00CE7323"/>
    <w:rsid w:val="00CF1285"/>
    <w:rsid w:val="00CF506C"/>
    <w:rsid w:val="00CF7509"/>
    <w:rsid w:val="00D02E19"/>
    <w:rsid w:val="00D0384E"/>
    <w:rsid w:val="00D05082"/>
    <w:rsid w:val="00D10D3E"/>
    <w:rsid w:val="00D10D4C"/>
    <w:rsid w:val="00D1213B"/>
    <w:rsid w:val="00D12925"/>
    <w:rsid w:val="00D14E45"/>
    <w:rsid w:val="00D20354"/>
    <w:rsid w:val="00D20A40"/>
    <w:rsid w:val="00D22A70"/>
    <w:rsid w:val="00D22C0A"/>
    <w:rsid w:val="00D342AA"/>
    <w:rsid w:val="00D40ADD"/>
    <w:rsid w:val="00D40D2D"/>
    <w:rsid w:val="00D42200"/>
    <w:rsid w:val="00D46E6D"/>
    <w:rsid w:val="00D47C3D"/>
    <w:rsid w:val="00D51F01"/>
    <w:rsid w:val="00D617F2"/>
    <w:rsid w:val="00D61EA5"/>
    <w:rsid w:val="00D63C56"/>
    <w:rsid w:val="00D64E5F"/>
    <w:rsid w:val="00D655D6"/>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2326"/>
    <w:rsid w:val="00DD3158"/>
    <w:rsid w:val="00DD6A31"/>
    <w:rsid w:val="00DD6AC1"/>
    <w:rsid w:val="00DE1504"/>
    <w:rsid w:val="00DE5D2D"/>
    <w:rsid w:val="00DF2704"/>
    <w:rsid w:val="00DF3539"/>
    <w:rsid w:val="00DF5836"/>
    <w:rsid w:val="00DF6EA4"/>
    <w:rsid w:val="00E11EE8"/>
    <w:rsid w:val="00E15447"/>
    <w:rsid w:val="00E169DA"/>
    <w:rsid w:val="00E17CD6"/>
    <w:rsid w:val="00E17F2F"/>
    <w:rsid w:val="00E20EE4"/>
    <w:rsid w:val="00E21952"/>
    <w:rsid w:val="00E23C52"/>
    <w:rsid w:val="00E25BE8"/>
    <w:rsid w:val="00E3115F"/>
    <w:rsid w:val="00E31B04"/>
    <w:rsid w:val="00E3312E"/>
    <w:rsid w:val="00E4417A"/>
    <w:rsid w:val="00E44978"/>
    <w:rsid w:val="00E51ED0"/>
    <w:rsid w:val="00E5335C"/>
    <w:rsid w:val="00E5795B"/>
    <w:rsid w:val="00E60D2E"/>
    <w:rsid w:val="00E622CE"/>
    <w:rsid w:val="00E7520C"/>
    <w:rsid w:val="00E81451"/>
    <w:rsid w:val="00E815BF"/>
    <w:rsid w:val="00E819E3"/>
    <w:rsid w:val="00E83212"/>
    <w:rsid w:val="00E84AA3"/>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0423"/>
    <w:rsid w:val="00F31A35"/>
    <w:rsid w:val="00F32000"/>
    <w:rsid w:val="00F32C8B"/>
    <w:rsid w:val="00F41D56"/>
    <w:rsid w:val="00F42F88"/>
    <w:rsid w:val="00F43728"/>
    <w:rsid w:val="00F501D8"/>
    <w:rsid w:val="00F50C99"/>
    <w:rsid w:val="00F513E6"/>
    <w:rsid w:val="00F53F88"/>
    <w:rsid w:val="00F61A46"/>
    <w:rsid w:val="00F62E4D"/>
    <w:rsid w:val="00F65389"/>
    <w:rsid w:val="00F657D5"/>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23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2F"/>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 w:type="paragraph" w:customStyle="1" w:styleId="Para">
    <w:name w:val="Para"/>
    <w:basedOn w:val="Normal"/>
    <w:qFormat/>
    <w:rsid w:val="00304C36"/>
    <w:pPr>
      <w:widowControl w:val="0"/>
      <w:suppressAutoHyphens w:val="0"/>
      <w:spacing w:after="120" w:line="240" w:lineRule="exact"/>
      <w:ind w:left="2268" w:right="1134" w:hanging="1134"/>
      <w:jc w:val="both"/>
    </w:pPr>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C2B48"/>
    <w:pPr>
      <w:suppressAutoHyphens/>
    </w:pPr>
    <w:rPr>
      <w:b/>
      <w:bCs/>
      <w:lang w:val="ru-RU" w:eastAsia="ar-SA"/>
    </w:rPr>
  </w:style>
  <w:style w:type="character" w:customStyle="1" w:styleId="CommentSubjectChar">
    <w:name w:val="Comment Subject Char"/>
    <w:basedOn w:val="CommentTextChar"/>
    <w:link w:val="CommentSubject"/>
    <w:uiPriority w:val="99"/>
    <w:semiHidden/>
    <w:rsid w:val="006C2B48"/>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2F"/>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 w:type="paragraph" w:customStyle="1" w:styleId="Para">
    <w:name w:val="Para"/>
    <w:basedOn w:val="Normal"/>
    <w:qFormat/>
    <w:rsid w:val="00304C36"/>
    <w:pPr>
      <w:widowControl w:val="0"/>
      <w:suppressAutoHyphens w:val="0"/>
      <w:spacing w:after="120" w:line="240" w:lineRule="exact"/>
      <w:ind w:left="2268" w:right="1134" w:hanging="1134"/>
      <w:jc w:val="both"/>
    </w:pPr>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C2B48"/>
    <w:pPr>
      <w:suppressAutoHyphens/>
    </w:pPr>
    <w:rPr>
      <w:b/>
      <w:bCs/>
      <w:lang w:val="ru-RU" w:eastAsia="ar-SA"/>
    </w:rPr>
  </w:style>
  <w:style w:type="character" w:customStyle="1" w:styleId="CommentSubjectChar">
    <w:name w:val="Comment Subject Char"/>
    <w:basedOn w:val="CommentTextChar"/>
    <w:link w:val="CommentSubject"/>
    <w:uiPriority w:val="99"/>
    <w:semiHidden/>
    <w:rsid w:val="006C2B48"/>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07717381">
      <w:bodyDiv w:val="1"/>
      <w:marLeft w:val="0"/>
      <w:marRight w:val="0"/>
      <w:marTop w:val="0"/>
      <w:marBottom w:val="0"/>
      <w:divBdr>
        <w:top w:val="none" w:sz="0" w:space="0" w:color="auto"/>
        <w:left w:val="none" w:sz="0" w:space="0" w:color="auto"/>
        <w:bottom w:val="none" w:sz="0" w:space="0" w:color="auto"/>
        <w:right w:val="none" w:sz="0" w:space="0" w:color="auto"/>
      </w:divBdr>
      <w:divsChild>
        <w:div w:id="1931310584">
          <w:marLeft w:val="0"/>
          <w:marRight w:val="0"/>
          <w:marTop w:val="0"/>
          <w:marBottom w:val="0"/>
          <w:divBdr>
            <w:top w:val="none" w:sz="0" w:space="0" w:color="auto"/>
            <w:left w:val="none" w:sz="0" w:space="0" w:color="auto"/>
            <w:bottom w:val="none" w:sz="0" w:space="0" w:color="auto"/>
            <w:right w:val="none" w:sz="0" w:space="0" w:color="auto"/>
          </w:divBdr>
          <w:divsChild>
            <w:div w:id="64449586">
              <w:marLeft w:val="2475"/>
              <w:marRight w:val="0"/>
              <w:marTop w:val="0"/>
              <w:marBottom w:val="0"/>
              <w:divBdr>
                <w:top w:val="none" w:sz="0" w:space="0" w:color="auto"/>
                <w:left w:val="none" w:sz="0" w:space="0" w:color="auto"/>
                <w:bottom w:val="none" w:sz="0" w:space="0" w:color="auto"/>
                <w:right w:val="none" w:sz="0" w:space="0" w:color="auto"/>
              </w:divBdr>
              <w:divsChild>
                <w:div w:id="633367002">
                  <w:marLeft w:val="0"/>
                  <w:marRight w:val="0"/>
                  <w:marTop w:val="0"/>
                  <w:marBottom w:val="0"/>
                  <w:divBdr>
                    <w:top w:val="none" w:sz="0" w:space="0" w:color="auto"/>
                    <w:left w:val="none" w:sz="0" w:space="0" w:color="auto"/>
                    <w:bottom w:val="none" w:sz="0" w:space="0" w:color="auto"/>
                    <w:right w:val="none" w:sz="0" w:space="0" w:color="auto"/>
                  </w:divBdr>
                  <w:divsChild>
                    <w:div w:id="1020818244">
                      <w:marLeft w:val="0"/>
                      <w:marRight w:val="0"/>
                      <w:marTop w:val="0"/>
                      <w:marBottom w:val="0"/>
                      <w:divBdr>
                        <w:top w:val="none" w:sz="0" w:space="0" w:color="auto"/>
                        <w:left w:val="none" w:sz="0" w:space="0" w:color="auto"/>
                        <w:bottom w:val="none" w:sz="0" w:space="0" w:color="auto"/>
                        <w:right w:val="none" w:sz="0" w:space="0" w:color="auto"/>
                      </w:divBdr>
                      <w:divsChild>
                        <w:div w:id="1327856734">
                          <w:marLeft w:val="0"/>
                          <w:marRight w:val="225"/>
                          <w:marTop w:val="6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1011906562">
                                  <w:marLeft w:val="0"/>
                                  <w:marRight w:val="0"/>
                                  <w:marTop w:val="0"/>
                                  <w:marBottom w:val="0"/>
                                  <w:divBdr>
                                    <w:top w:val="none" w:sz="0" w:space="0" w:color="auto"/>
                                    <w:left w:val="none" w:sz="0" w:space="0" w:color="auto"/>
                                    <w:bottom w:val="none" w:sz="0" w:space="0" w:color="auto"/>
                                    <w:right w:val="none" w:sz="0" w:space="0" w:color="auto"/>
                                  </w:divBdr>
                                  <w:divsChild>
                                    <w:div w:id="1547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683</Words>
  <Characters>3897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5</cp:revision>
  <cp:lastPrinted>2017-10-04T15:32:00Z</cp:lastPrinted>
  <dcterms:created xsi:type="dcterms:W3CDTF">2017-10-04T15:31:00Z</dcterms:created>
  <dcterms:modified xsi:type="dcterms:W3CDTF">2017-10-04T16:18:00Z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