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19" w:rsidRPr="00AF0EB1" w:rsidRDefault="00181019" w:rsidP="009A3BC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  <w:lang w:eastAsia="ar-SA"/>
        </w:rPr>
        <w:t>Submitted by the expert from Poland</w:t>
      </w:r>
      <w:r w:rsidRPr="00AF0EB1">
        <w:rPr>
          <w:rFonts w:ascii="Times New Roman" w:hAnsi="Times New Roman"/>
          <w:sz w:val="24"/>
          <w:szCs w:val="24"/>
          <w:lang w:eastAsia="ar-SA"/>
        </w:rPr>
        <w:tab/>
      </w:r>
      <w:r w:rsidRPr="00AF0EB1">
        <w:rPr>
          <w:rFonts w:ascii="Times New Roman" w:hAnsi="Times New Roman"/>
          <w:sz w:val="24"/>
          <w:szCs w:val="24"/>
        </w:rPr>
        <w:t xml:space="preserve">Informal document </w:t>
      </w:r>
      <w:r w:rsidRPr="00AF0EB1">
        <w:rPr>
          <w:rFonts w:ascii="Times New Roman" w:hAnsi="Times New Roman"/>
          <w:b/>
          <w:bCs/>
          <w:sz w:val="24"/>
          <w:szCs w:val="24"/>
        </w:rPr>
        <w:t>GRSG-113-</w:t>
      </w:r>
      <w:r w:rsidR="004C42CE">
        <w:rPr>
          <w:rFonts w:ascii="Times New Roman" w:hAnsi="Times New Roman"/>
          <w:b/>
          <w:bCs/>
          <w:sz w:val="24"/>
          <w:szCs w:val="24"/>
        </w:rPr>
        <w:t>10</w:t>
      </w:r>
    </w:p>
    <w:p w:rsidR="00181019" w:rsidRPr="00AF0EB1" w:rsidRDefault="00181019" w:rsidP="009A3BC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</w:rPr>
        <w:t>(113</w:t>
      </w:r>
      <w:r w:rsidRPr="00AF0EB1">
        <w:rPr>
          <w:rFonts w:ascii="Times New Roman" w:hAnsi="Times New Roman"/>
          <w:sz w:val="24"/>
          <w:szCs w:val="24"/>
          <w:vertAlign w:val="superscript"/>
        </w:rPr>
        <w:t>th</w:t>
      </w:r>
      <w:r w:rsidRPr="00AF0EB1">
        <w:rPr>
          <w:rFonts w:ascii="Times New Roman" w:hAnsi="Times New Roman"/>
          <w:sz w:val="24"/>
          <w:szCs w:val="24"/>
        </w:rPr>
        <w:t xml:space="preserve"> GRSG, 10–</w:t>
      </w:r>
      <w:r w:rsidR="004C42CE">
        <w:rPr>
          <w:rFonts w:ascii="Times New Roman" w:hAnsi="Times New Roman"/>
          <w:sz w:val="24"/>
          <w:szCs w:val="24"/>
        </w:rPr>
        <w:t>1</w:t>
      </w:r>
      <w:r w:rsidRPr="00AF0EB1">
        <w:rPr>
          <w:rFonts w:ascii="Times New Roman" w:hAnsi="Times New Roman"/>
          <w:sz w:val="24"/>
          <w:szCs w:val="24"/>
        </w:rPr>
        <w:t>3 October 2017</w:t>
      </w:r>
    </w:p>
    <w:p w:rsidR="00181019" w:rsidRPr="00AF0EB1" w:rsidRDefault="00181019" w:rsidP="009A3BCD">
      <w:pPr>
        <w:tabs>
          <w:tab w:val="right" w:pos="963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</w:rPr>
        <w:t>Agenda item</w:t>
      </w:r>
      <w:r w:rsidR="00C61195">
        <w:rPr>
          <w:rFonts w:ascii="Times New Roman" w:hAnsi="Times New Roman"/>
          <w:sz w:val="24"/>
          <w:szCs w:val="24"/>
        </w:rPr>
        <w:t xml:space="preserve"> </w:t>
      </w:r>
      <w:r w:rsidR="00247D02">
        <w:rPr>
          <w:rFonts w:ascii="Times New Roman" w:hAnsi="Times New Roman"/>
          <w:sz w:val="24"/>
          <w:szCs w:val="24"/>
        </w:rPr>
        <w:t>6a</w:t>
      </w:r>
      <w:r w:rsidRPr="00AF0EB1">
        <w:rPr>
          <w:rFonts w:ascii="Times New Roman" w:hAnsi="Times New Roman"/>
          <w:sz w:val="24"/>
          <w:szCs w:val="24"/>
        </w:rPr>
        <w:t>)</w:t>
      </w:r>
    </w:p>
    <w:p w:rsidR="00181019" w:rsidRPr="00AF0EB1" w:rsidRDefault="00181019" w:rsidP="009A3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019" w:rsidRPr="00AF0EB1" w:rsidRDefault="00181019" w:rsidP="009A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EB1">
        <w:rPr>
          <w:rFonts w:ascii="Times New Roman" w:hAnsi="Times New Roman"/>
          <w:b/>
          <w:bCs/>
          <w:sz w:val="24"/>
          <w:szCs w:val="24"/>
        </w:rPr>
        <w:t>UN Regulation No. 67 (LPG vehicles)</w:t>
      </w:r>
    </w:p>
    <w:p w:rsidR="00181019" w:rsidRPr="00AF0EB1" w:rsidRDefault="00181019" w:rsidP="009A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0EB1">
        <w:rPr>
          <w:rFonts w:ascii="Times New Roman" w:hAnsi="Times New Roman"/>
          <w:bCs/>
          <w:sz w:val="24"/>
          <w:szCs w:val="24"/>
        </w:rPr>
        <w:t>Draft proposal for Supplement</w:t>
      </w:r>
      <w:r w:rsidR="004C42CE">
        <w:rPr>
          <w:rFonts w:ascii="Times New Roman" w:hAnsi="Times New Roman"/>
          <w:bCs/>
          <w:sz w:val="24"/>
          <w:szCs w:val="24"/>
        </w:rPr>
        <w:t xml:space="preserve"> 1</w:t>
      </w:r>
      <w:r w:rsidRPr="00AF0EB1">
        <w:rPr>
          <w:rFonts w:ascii="Times New Roman" w:hAnsi="Times New Roman"/>
          <w:bCs/>
          <w:sz w:val="24"/>
          <w:szCs w:val="24"/>
        </w:rPr>
        <w:t xml:space="preserve"> to the</w:t>
      </w:r>
      <w:r w:rsidR="004C42CE">
        <w:rPr>
          <w:rFonts w:ascii="Times New Roman" w:hAnsi="Times New Roman"/>
          <w:bCs/>
          <w:sz w:val="24"/>
          <w:szCs w:val="24"/>
        </w:rPr>
        <w:t xml:space="preserve"> 01</w:t>
      </w:r>
      <w:r w:rsidRPr="00AF0EB1">
        <w:rPr>
          <w:rFonts w:ascii="Times New Roman" w:hAnsi="Times New Roman"/>
          <w:bCs/>
          <w:sz w:val="24"/>
          <w:szCs w:val="24"/>
        </w:rPr>
        <w:t xml:space="preserve"> series of amendments</w:t>
      </w:r>
    </w:p>
    <w:p w:rsidR="00181019" w:rsidRDefault="00181019" w:rsidP="009A3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F0C" w:rsidRPr="00AF0EB1" w:rsidRDefault="008F6F0C" w:rsidP="009A3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019" w:rsidRPr="00AF0EB1" w:rsidRDefault="00181019" w:rsidP="007F1D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0EB1">
        <w:rPr>
          <w:rFonts w:ascii="Times New Roman" w:hAnsi="Times New Roman"/>
          <w:b/>
          <w:sz w:val="24"/>
          <w:szCs w:val="24"/>
        </w:rPr>
        <w:t>I.</w:t>
      </w:r>
      <w:r w:rsidRPr="00AF0EB1">
        <w:rPr>
          <w:rFonts w:ascii="Times New Roman" w:hAnsi="Times New Roman"/>
          <w:b/>
          <w:sz w:val="24"/>
          <w:szCs w:val="24"/>
        </w:rPr>
        <w:tab/>
        <w:t>PROPOSAL</w:t>
      </w:r>
    </w:p>
    <w:p w:rsidR="00181019" w:rsidRPr="00AF0EB1" w:rsidRDefault="00181019" w:rsidP="007F1D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81019" w:rsidRPr="0046143D" w:rsidRDefault="00181019" w:rsidP="00F805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6143D">
        <w:rPr>
          <w:rFonts w:ascii="Times New Roman" w:hAnsi="Times New Roman"/>
          <w:i/>
          <w:sz w:val="24"/>
          <w:szCs w:val="24"/>
        </w:rPr>
        <w:t xml:space="preserve">Paragraph </w:t>
      </w:r>
      <w:r>
        <w:rPr>
          <w:rFonts w:ascii="Times New Roman" w:hAnsi="Times New Roman"/>
          <w:i/>
          <w:sz w:val="24"/>
          <w:szCs w:val="24"/>
        </w:rPr>
        <w:t>2.4</w:t>
      </w:r>
      <w:r w:rsidR="004C42CE" w:rsidRPr="004C42CE">
        <w:rPr>
          <w:rFonts w:ascii="Times New Roman" w:hAnsi="Times New Roman"/>
          <w:sz w:val="24"/>
          <w:szCs w:val="24"/>
        </w:rPr>
        <w:t>.,</w:t>
      </w:r>
      <w:r w:rsidRPr="004C42CE">
        <w:rPr>
          <w:rFonts w:ascii="Times New Roman" w:hAnsi="Times New Roman"/>
          <w:sz w:val="24"/>
          <w:szCs w:val="24"/>
        </w:rPr>
        <w:t xml:space="preserve"> amend to read:</w:t>
      </w:r>
    </w:p>
    <w:p w:rsidR="00181019" w:rsidRPr="00AF0EB1" w:rsidRDefault="00181019" w:rsidP="007F1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019" w:rsidRDefault="004C42CE" w:rsidP="00F8057E">
      <w:pPr>
        <w:pStyle w:val="Para"/>
        <w:spacing w:after="100"/>
        <w:rPr>
          <w:lang w:val="en-GB"/>
        </w:rPr>
      </w:pPr>
      <w:r>
        <w:rPr>
          <w:lang w:val="en-GB"/>
        </w:rPr>
        <w:t>"</w:t>
      </w:r>
      <w:r w:rsidR="00181019">
        <w:rPr>
          <w:lang w:val="en-GB"/>
        </w:rPr>
        <w:t>2.4.</w:t>
      </w:r>
      <w:r w:rsidR="00181019">
        <w:rPr>
          <w:lang w:val="en-GB"/>
        </w:rPr>
        <w:tab/>
        <w:t>"</w:t>
      </w:r>
      <w:r w:rsidR="00181019" w:rsidRPr="00BD255C">
        <w:rPr>
          <w:i/>
          <w:lang w:val="en-GB"/>
        </w:rPr>
        <w:t>Type of container</w:t>
      </w:r>
      <w:r w:rsidR="00181019">
        <w:rPr>
          <w:lang w:val="en-GB"/>
        </w:rPr>
        <w:t>" means containers which do not differ in respect to the following characteristics as specified in Annex 10:</w:t>
      </w:r>
    </w:p>
    <w:p w:rsidR="00181019" w:rsidRPr="00085A61" w:rsidRDefault="00181019" w:rsidP="00F8057E">
      <w:pPr>
        <w:pStyle w:val="a"/>
        <w:spacing w:after="100"/>
        <w:rPr>
          <w:strike/>
          <w:color w:val="FF0000"/>
        </w:rPr>
      </w:pPr>
      <w:r w:rsidRPr="00085A61">
        <w:rPr>
          <w:strike/>
          <w:color w:val="FF0000"/>
        </w:rPr>
        <w:t>(a)</w:t>
      </w:r>
      <w:r w:rsidRPr="00D74582">
        <w:rPr>
          <w:strike/>
          <w:color w:val="FF0000"/>
        </w:rPr>
        <w:tab/>
      </w:r>
      <w:r w:rsidRPr="00085A61">
        <w:rPr>
          <w:strike/>
          <w:color w:val="FF0000"/>
        </w:rPr>
        <w:t>The trade name(s) or trade mark(s);</w:t>
      </w:r>
    </w:p>
    <w:p w:rsidR="00181019" w:rsidRDefault="00181019" w:rsidP="00F8057E">
      <w:pPr>
        <w:pStyle w:val="a"/>
        <w:spacing w:after="100"/>
      </w:pPr>
      <w:r w:rsidRPr="00085A61">
        <w:rPr>
          <w:strike/>
          <w:color w:val="FF0000"/>
        </w:rPr>
        <w:t>(b)</w:t>
      </w:r>
      <w:r w:rsidRPr="00085A61">
        <w:rPr>
          <w:color w:val="FF0000"/>
        </w:rPr>
        <w:t xml:space="preserve"> (</w:t>
      </w:r>
      <w:proofErr w:type="gramStart"/>
      <w:r w:rsidRPr="00085A61">
        <w:rPr>
          <w:color w:val="FF0000"/>
        </w:rPr>
        <w:t>a</w:t>
      </w:r>
      <w:proofErr w:type="gramEnd"/>
      <w:r w:rsidRPr="00085A61">
        <w:rPr>
          <w:color w:val="FF0000"/>
        </w:rPr>
        <w:t>)</w:t>
      </w:r>
      <w:r>
        <w:tab/>
        <w:t>The shape (cylindrical, special shape);</w:t>
      </w:r>
    </w:p>
    <w:p w:rsidR="00181019" w:rsidRDefault="00181019" w:rsidP="00F8057E">
      <w:pPr>
        <w:pStyle w:val="a"/>
        <w:spacing w:after="100"/>
      </w:pPr>
      <w:r w:rsidRPr="00085A61">
        <w:rPr>
          <w:strike/>
          <w:color w:val="FF0000"/>
        </w:rPr>
        <w:t>(c)</w:t>
      </w:r>
      <w:r w:rsidRPr="00085A61">
        <w:rPr>
          <w:color w:val="FF0000"/>
        </w:rPr>
        <w:t xml:space="preserve"> (</w:t>
      </w:r>
      <w:proofErr w:type="gramStart"/>
      <w:r w:rsidRPr="00085A61">
        <w:rPr>
          <w:color w:val="FF0000"/>
        </w:rPr>
        <w:t>b</w:t>
      </w:r>
      <w:proofErr w:type="gramEnd"/>
      <w:r w:rsidRPr="00085A61">
        <w:rPr>
          <w:color w:val="FF0000"/>
        </w:rPr>
        <w:t>)</w:t>
      </w:r>
      <w:r w:rsidRPr="00D74582">
        <w:rPr>
          <w:color w:val="FF0000"/>
        </w:rPr>
        <w:tab/>
      </w:r>
      <w:r>
        <w:t>The openings (plate for accessories/metal ring);</w:t>
      </w:r>
    </w:p>
    <w:p w:rsidR="00181019" w:rsidRDefault="00181019" w:rsidP="00F8057E">
      <w:pPr>
        <w:pStyle w:val="a"/>
        <w:spacing w:after="100"/>
      </w:pPr>
      <w:r w:rsidRPr="00085A61">
        <w:rPr>
          <w:strike/>
          <w:color w:val="FF0000"/>
        </w:rPr>
        <w:t>(d)</w:t>
      </w:r>
      <w:r w:rsidRPr="00085A61">
        <w:rPr>
          <w:color w:val="FF0000"/>
        </w:rPr>
        <w:t xml:space="preserve"> (c)</w:t>
      </w:r>
      <w:r>
        <w:tab/>
        <w:t>The material;</w:t>
      </w:r>
    </w:p>
    <w:p w:rsidR="00181019" w:rsidRDefault="00181019" w:rsidP="00F8057E">
      <w:pPr>
        <w:pStyle w:val="a"/>
        <w:spacing w:after="100"/>
      </w:pPr>
      <w:r w:rsidRPr="00085A61">
        <w:rPr>
          <w:strike/>
          <w:color w:val="FF0000"/>
        </w:rPr>
        <w:t>(e)</w:t>
      </w:r>
      <w:r w:rsidRPr="00085A61">
        <w:rPr>
          <w:color w:val="FF0000"/>
        </w:rPr>
        <w:t xml:space="preserve"> (</w:t>
      </w:r>
      <w:proofErr w:type="gramStart"/>
      <w:r w:rsidRPr="00085A61">
        <w:rPr>
          <w:color w:val="FF0000"/>
        </w:rPr>
        <w:t>d</w:t>
      </w:r>
      <w:proofErr w:type="gramEnd"/>
      <w:r w:rsidRPr="00085A61">
        <w:rPr>
          <w:color w:val="FF0000"/>
        </w:rPr>
        <w:t>)</w:t>
      </w:r>
      <w:r>
        <w:tab/>
        <w:t>The welding process (in case of metal containers);</w:t>
      </w:r>
    </w:p>
    <w:p w:rsidR="00181019" w:rsidRDefault="00181019" w:rsidP="00F8057E">
      <w:pPr>
        <w:pStyle w:val="a"/>
        <w:spacing w:after="100"/>
      </w:pPr>
      <w:r w:rsidRPr="00085A61">
        <w:rPr>
          <w:strike/>
          <w:color w:val="FF0000"/>
        </w:rPr>
        <w:t>(f)</w:t>
      </w:r>
      <w:r w:rsidRPr="00085A61">
        <w:rPr>
          <w:color w:val="FF0000"/>
        </w:rPr>
        <w:t xml:space="preserve"> (</w:t>
      </w:r>
      <w:proofErr w:type="gramStart"/>
      <w:r w:rsidRPr="00085A61">
        <w:rPr>
          <w:color w:val="FF0000"/>
        </w:rPr>
        <w:t>e</w:t>
      </w:r>
      <w:proofErr w:type="gramEnd"/>
      <w:r w:rsidRPr="00085A61">
        <w:rPr>
          <w:color w:val="FF0000"/>
        </w:rPr>
        <w:t>)</w:t>
      </w:r>
      <w:r>
        <w:tab/>
        <w:t xml:space="preserve">The heat treatment </w:t>
      </w:r>
      <w:r w:rsidR="00965623">
        <w:t xml:space="preserve"> </w:t>
      </w:r>
      <w:r>
        <w:t>(in case of metal containers);</w:t>
      </w:r>
    </w:p>
    <w:p w:rsidR="00181019" w:rsidRDefault="00181019" w:rsidP="00F8057E">
      <w:pPr>
        <w:pStyle w:val="a"/>
        <w:spacing w:after="100"/>
      </w:pPr>
      <w:r w:rsidRPr="00085A61">
        <w:rPr>
          <w:strike/>
          <w:color w:val="FF0000"/>
        </w:rPr>
        <w:t>(g)</w:t>
      </w:r>
      <w:r w:rsidRPr="00085A61">
        <w:rPr>
          <w:color w:val="FF0000"/>
        </w:rPr>
        <w:t xml:space="preserve"> (</w:t>
      </w:r>
      <w:proofErr w:type="gramStart"/>
      <w:r w:rsidRPr="00085A61">
        <w:rPr>
          <w:color w:val="FF0000"/>
        </w:rPr>
        <w:t>f</w:t>
      </w:r>
      <w:proofErr w:type="gramEnd"/>
      <w:r w:rsidRPr="00085A61">
        <w:rPr>
          <w:color w:val="FF0000"/>
        </w:rPr>
        <w:t>)</w:t>
      </w:r>
      <w:r>
        <w:tab/>
        <w:t>The production line;</w:t>
      </w:r>
    </w:p>
    <w:p w:rsidR="00181019" w:rsidRDefault="00181019" w:rsidP="00F8057E">
      <w:pPr>
        <w:pStyle w:val="a"/>
        <w:spacing w:after="100"/>
      </w:pPr>
      <w:r w:rsidRPr="00085A61">
        <w:rPr>
          <w:strike/>
          <w:color w:val="FF0000"/>
        </w:rPr>
        <w:t>(h)</w:t>
      </w:r>
      <w:r w:rsidRPr="00085A61">
        <w:rPr>
          <w:color w:val="FF0000"/>
        </w:rPr>
        <w:t xml:space="preserve"> (</w:t>
      </w:r>
      <w:proofErr w:type="gramStart"/>
      <w:r w:rsidRPr="00085A61">
        <w:rPr>
          <w:color w:val="FF0000"/>
        </w:rPr>
        <w:t>g</w:t>
      </w:r>
      <w:proofErr w:type="gramEnd"/>
      <w:r w:rsidRPr="00085A61">
        <w:rPr>
          <w:color w:val="FF0000"/>
        </w:rPr>
        <w:t>)</w:t>
      </w:r>
      <w:r>
        <w:tab/>
        <w:t>The nominal wall thickness;</w:t>
      </w:r>
    </w:p>
    <w:p w:rsidR="00181019" w:rsidRDefault="00181019" w:rsidP="00F8057E">
      <w:pPr>
        <w:pStyle w:val="a"/>
        <w:spacing w:after="100"/>
      </w:pPr>
      <w:r w:rsidRPr="00085A61">
        <w:rPr>
          <w:strike/>
          <w:color w:val="FF0000"/>
        </w:rPr>
        <w:t>(</w:t>
      </w:r>
      <w:proofErr w:type="spellStart"/>
      <w:r w:rsidRPr="00085A61">
        <w:rPr>
          <w:strike/>
          <w:color w:val="FF0000"/>
        </w:rPr>
        <w:t>i</w:t>
      </w:r>
      <w:proofErr w:type="spellEnd"/>
      <w:r w:rsidRPr="00085A61">
        <w:rPr>
          <w:strike/>
          <w:color w:val="FF0000"/>
        </w:rPr>
        <w:t>)</w:t>
      </w:r>
      <w:r w:rsidRPr="00085A61">
        <w:rPr>
          <w:color w:val="FF0000"/>
        </w:rPr>
        <w:t xml:space="preserve"> (</w:t>
      </w:r>
      <w:proofErr w:type="gramStart"/>
      <w:r w:rsidRPr="00085A61">
        <w:rPr>
          <w:color w:val="FF0000"/>
        </w:rPr>
        <w:t>h</w:t>
      </w:r>
      <w:proofErr w:type="gramEnd"/>
      <w:r w:rsidRPr="00085A61">
        <w:rPr>
          <w:color w:val="FF0000"/>
        </w:rPr>
        <w:t>)</w:t>
      </w:r>
      <w:r>
        <w:tab/>
        <w:t>The diameter;</w:t>
      </w:r>
    </w:p>
    <w:p w:rsidR="00181019" w:rsidRDefault="00181019" w:rsidP="00F8057E">
      <w:pPr>
        <w:pStyle w:val="a"/>
      </w:pPr>
      <w:r w:rsidRPr="00085A61">
        <w:rPr>
          <w:strike/>
          <w:color w:val="FF0000"/>
        </w:rPr>
        <w:t>(j)</w:t>
      </w:r>
      <w:r w:rsidRPr="00085A61">
        <w:rPr>
          <w:color w:val="FF0000"/>
        </w:rPr>
        <w:t xml:space="preserve"> (</w:t>
      </w:r>
      <w:proofErr w:type="spellStart"/>
      <w:r w:rsidRPr="00085A61">
        <w:rPr>
          <w:color w:val="FF0000"/>
        </w:rPr>
        <w:t>i</w:t>
      </w:r>
      <w:proofErr w:type="spellEnd"/>
      <w:r w:rsidRPr="00085A61">
        <w:rPr>
          <w:color w:val="FF0000"/>
        </w:rPr>
        <w:t>)</w:t>
      </w:r>
      <w:r>
        <w:tab/>
      </w:r>
      <w:proofErr w:type="gramStart"/>
      <w:r>
        <w:t>The</w:t>
      </w:r>
      <w:proofErr w:type="gramEnd"/>
      <w:r>
        <w:t xml:space="preserve"> height (in case of special containers).</w:t>
      </w:r>
      <w:r w:rsidR="004C42CE">
        <w:t>"</w:t>
      </w:r>
    </w:p>
    <w:p w:rsidR="00181019" w:rsidRDefault="00181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F0C" w:rsidRPr="00AF0EB1" w:rsidRDefault="008F6F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81019" w:rsidRPr="00085A61" w:rsidRDefault="00181019" w:rsidP="00165F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085A61">
        <w:rPr>
          <w:rFonts w:ascii="Times New Roman" w:hAnsi="Times New Roman"/>
          <w:b/>
          <w:sz w:val="24"/>
          <w:szCs w:val="24"/>
          <w:lang w:val="pl-PL"/>
        </w:rPr>
        <w:t>II.</w:t>
      </w:r>
      <w:r w:rsidRPr="00AC52C9">
        <w:rPr>
          <w:rFonts w:ascii="Times New Roman" w:hAnsi="Times New Roman"/>
          <w:b/>
          <w:sz w:val="24"/>
          <w:szCs w:val="24"/>
          <w:lang w:val="pl-PL"/>
        </w:rPr>
        <w:tab/>
      </w:r>
      <w:r w:rsidRPr="00085A61">
        <w:rPr>
          <w:rFonts w:ascii="Times New Roman" w:hAnsi="Times New Roman"/>
          <w:b/>
          <w:sz w:val="24"/>
          <w:szCs w:val="24"/>
          <w:lang w:val="pl-PL"/>
        </w:rPr>
        <w:t>JUSTIFICATION</w:t>
      </w:r>
    </w:p>
    <w:p w:rsidR="00181019" w:rsidRPr="00085A61" w:rsidRDefault="00181019" w:rsidP="009A3BCD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0653DD" w:rsidRDefault="00181019" w:rsidP="004C42CE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0653DD">
        <w:rPr>
          <w:rFonts w:ascii="Times New Roman" w:hAnsi="Times New Roman"/>
          <w:color w:val="222222"/>
          <w:sz w:val="24"/>
          <w:szCs w:val="24"/>
        </w:rPr>
        <w:t>The definition of a LPG container type contains a trade name. Therefore, in order to comply strictly with this provision, the manufacturer should allocate a new container type designation whenever the tank's trade name is updated.</w:t>
      </w:r>
    </w:p>
    <w:p w:rsidR="004C42CE" w:rsidRDefault="004C42CE" w:rsidP="004C42CE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181019" w:rsidRPr="000653DD" w:rsidRDefault="00181019" w:rsidP="004C42CE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0653DD">
        <w:rPr>
          <w:rFonts w:ascii="Times New Roman" w:hAnsi="Times New Roman"/>
          <w:color w:val="222222"/>
          <w:sz w:val="24"/>
          <w:szCs w:val="24"/>
        </w:rPr>
        <w:t>Altering the trade name is of no importance from the point of view of the technical parameters of the container. Therefore, it is proposed to delete a "trade name" item from the type definition.</w:t>
      </w:r>
    </w:p>
    <w:p w:rsidR="00181019" w:rsidRDefault="00181019" w:rsidP="00085A6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D4ED9" w:rsidRDefault="004C42CE" w:rsidP="004C42CE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sectPr w:rsidR="001D4ED9" w:rsidSect="00A538AC">
      <w:footerReference w:type="default" r:id="rId8"/>
      <w:pgSz w:w="11906" w:h="16838"/>
      <w:pgMar w:top="567" w:right="85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38" w:rsidRDefault="00306F38" w:rsidP="007F1DBD">
      <w:pPr>
        <w:spacing w:after="0" w:line="240" w:lineRule="auto"/>
      </w:pPr>
      <w:r>
        <w:separator/>
      </w:r>
    </w:p>
  </w:endnote>
  <w:endnote w:type="continuationSeparator" w:id="0">
    <w:p w:rsidR="00306F38" w:rsidRDefault="00306F38" w:rsidP="007F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19" w:rsidRDefault="00085A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F0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38" w:rsidRDefault="00306F38" w:rsidP="007F1DBD">
      <w:pPr>
        <w:spacing w:after="0" w:line="240" w:lineRule="auto"/>
      </w:pPr>
      <w:r>
        <w:separator/>
      </w:r>
    </w:p>
  </w:footnote>
  <w:footnote w:type="continuationSeparator" w:id="0">
    <w:p w:rsidR="00306F38" w:rsidRDefault="00306F38" w:rsidP="007F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E36"/>
    <w:multiLevelType w:val="hybridMultilevel"/>
    <w:tmpl w:val="3E603D80"/>
    <w:lvl w:ilvl="0" w:tplc="7C94A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346F04"/>
    <w:multiLevelType w:val="hybridMultilevel"/>
    <w:tmpl w:val="ACDCEAE2"/>
    <w:lvl w:ilvl="0" w:tplc="36BAC48C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66645509"/>
    <w:multiLevelType w:val="hybridMultilevel"/>
    <w:tmpl w:val="27F436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BD6A1D"/>
    <w:multiLevelType w:val="hybridMultilevel"/>
    <w:tmpl w:val="400C8DB4"/>
    <w:lvl w:ilvl="0" w:tplc="A26A43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40"/>
    <w:rsid w:val="00002DB2"/>
    <w:rsid w:val="000645F8"/>
    <w:rsid w:val="000653DD"/>
    <w:rsid w:val="00085A61"/>
    <w:rsid w:val="00092580"/>
    <w:rsid w:val="000C5918"/>
    <w:rsid w:val="000F7D5E"/>
    <w:rsid w:val="00107C2C"/>
    <w:rsid w:val="0012695A"/>
    <w:rsid w:val="001427A5"/>
    <w:rsid w:val="00165F40"/>
    <w:rsid w:val="00166762"/>
    <w:rsid w:val="00180DC6"/>
    <w:rsid w:val="00181019"/>
    <w:rsid w:val="00181440"/>
    <w:rsid w:val="001827F5"/>
    <w:rsid w:val="001A5A3B"/>
    <w:rsid w:val="001C3EDD"/>
    <w:rsid w:val="001D3B92"/>
    <w:rsid w:val="001D4ED9"/>
    <w:rsid w:val="001E4549"/>
    <w:rsid w:val="00214AFA"/>
    <w:rsid w:val="00245618"/>
    <w:rsid w:val="00247D02"/>
    <w:rsid w:val="00263D90"/>
    <w:rsid w:val="00267EBA"/>
    <w:rsid w:val="002965DE"/>
    <w:rsid w:val="002E4A7D"/>
    <w:rsid w:val="00306F38"/>
    <w:rsid w:val="00313BDA"/>
    <w:rsid w:val="0032682C"/>
    <w:rsid w:val="00351306"/>
    <w:rsid w:val="003513D6"/>
    <w:rsid w:val="00382EF5"/>
    <w:rsid w:val="003A6C65"/>
    <w:rsid w:val="003B0A9B"/>
    <w:rsid w:val="003B7602"/>
    <w:rsid w:val="003C0C96"/>
    <w:rsid w:val="003E1C52"/>
    <w:rsid w:val="00400562"/>
    <w:rsid w:val="0041705B"/>
    <w:rsid w:val="00432EBE"/>
    <w:rsid w:val="00452E90"/>
    <w:rsid w:val="0046143D"/>
    <w:rsid w:val="00462208"/>
    <w:rsid w:val="004818EC"/>
    <w:rsid w:val="004A0084"/>
    <w:rsid w:val="004A1786"/>
    <w:rsid w:val="004A4255"/>
    <w:rsid w:val="004C42CE"/>
    <w:rsid w:val="004C4AF8"/>
    <w:rsid w:val="004E3CDC"/>
    <w:rsid w:val="00535D1F"/>
    <w:rsid w:val="00537B9B"/>
    <w:rsid w:val="005A6293"/>
    <w:rsid w:val="005B2F5C"/>
    <w:rsid w:val="005C5725"/>
    <w:rsid w:val="005C573A"/>
    <w:rsid w:val="005F1C79"/>
    <w:rsid w:val="005F30D6"/>
    <w:rsid w:val="00600534"/>
    <w:rsid w:val="0061336E"/>
    <w:rsid w:val="00623F50"/>
    <w:rsid w:val="00640E80"/>
    <w:rsid w:val="0066501D"/>
    <w:rsid w:val="006779DD"/>
    <w:rsid w:val="006833F8"/>
    <w:rsid w:val="00693A27"/>
    <w:rsid w:val="006940ED"/>
    <w:rsid w:val="006C6E5E"/>
    <w:rsid w:val="006F4138"/>
    <w:rsid w:val="00744DB4"/>
    <w:rsid w:val="00770976"/>
    <w:rsid w:val="00771F8C"/>
    <w:rsid w:val="00772BD4"/>
    <w:rsid w:val="0079704C"/>
    <w:rsid w:val="007A44AD"/>
    <w:rsid w:val="007C4356"/>
    <w:rsid w:val="007D087F"/>
    <w:rsid w:val="007E2367"/>
    <w:rsid w:val="007E286D"/>
    <w:rsid w:val="007F1DBD"/>
    <w:rsid w:val="008000FE"/>
    <w:rsid w:val="00805A63"/>
    <w:rsid w:val="00850AD1"/>
    <w:rsid w:val="00856E1E"/>
    <w:rsid w:val="008A20CC"/>
    <w:rsid w:val="008B5595"/>
    <w:rsid w:val="008D1509"/>
    <w:rsid w:val="008D2843"/>
    <w:rsid w:val="008F6F0C"/>
    <w:rsid w:val="00920DBF"/>
    <w:rsid w:val="00962939"/>
    <w:rsid w:val="00965623"/>
    <w:rsid w:val="009A3BCD"/>
    <w:rsid w:val="009B5B7E"/>
    <w:rsid w:val="009E007C"/>
    <w:rsid w:val="00A22E03"/>
    <w:rsid w:val="00A538AC"/>
    <w:rsid w:val="00A54F2F"/>
    <w:rsid w:val="00A84880"/>
    <w:rsid w:val="00A97ABF"/>
    <w:rsid w:val="00AA725E"/>
    <w:rsid w:val="00AC52C9"/>
    <w:rsid w:val="00AD5DA7"/>
    <w:rsid w:val="00AF0EB1"/>
    <w:rsid w:val="00B253A8"/>
    <w:rsid w:val="00B25BF3"/>
    <w:rsid w:val="00B30D37"/>
    <w:rsid w:val="00B43633"/>
    <w:rsid w:val="00B44B9E"/>
    <w:rsid w:val="00B532AC"/>
    <w:rsid w:val="00B64810"/>
    <w:rsid w:val="00BB710A"/>
    <w:rsid w:val="00BC22A0"/>
    <w:rsid w:val="00BD255C"/>
    <w:rsid w:val="00BD3EA9"/>
    <w:rsid w:val="00C126C8"/>
    <w:rsid w:val="00C16418"/>
    <w:rsid w:val="00C26E3E"/>
    <w:rsid w:val="00C61195"/>
    <w:rsid w:val="00CA6564"/>
    <w:rsid w:val="00CB0979"/>
    <w:rsid w:val="00CB3237"/>
    <w:rsid w:val="00CF46A2"/>
    <w:rsid w:val="00D05439"/>
    <w:rsid w:val="00D46A8D"/>
    <w:rsid w:val="00D74582"/>
    <w:rsid w:val="00D81927"/>
    <w:rsid w:val="00D8210A"/>
    <w:rsid w:val="00DA6133"/>
    <w:rsid w:val="00DC394C"/>
    <w:rsid w:val="00DD0D58"/>
    <w:rsid w:val="00DF1E9C"/>
    <w:rsid w:val="00DF248B"/>
    <w:rsid w:val="00E03415"/>
    <w:rsid w:val="00E05C4B"/>
    <w:rsid w:val="00E2211B"/>
    <w:rsid w:val="00E236F9"/>
    <w:rsid w:val="00E25972"/>
    <w:rsid w:val="00E36589"/>
    <w:rsid w:val="00E41123"/>
    <w:rsid w:val="00E66A15"/>
    <w:rsid w:val="00E90166"/>
    <w:rsid w:val="00EA42E4"/>
    <w:rsid w:val="00EF16C0"/>
    <w:rsid w:val="00F269D8"/>
    <w:rsid w:val="00F42173"/>
    <w:rsid w:val="00F42952"/>
    <w:rsid w:val="00F6480A"/>
    <w:rsid w:val="00F8057E"/>
    <w:rsid w:val="00F837B9"/>
    <w:rsid w:val="00F86A33"/>
    <w:rsid w:val="00FB37DA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34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173"/>
    <w:pPr>
      <w:spacing w:after="0" w:line="240" w:lineRule="auto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582"/>
    <w:rPr>
      <w:rFonts w:ascii="Times New Roman" w:hAnsi="Times New Roman"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F42952"/>
    <w:pPr>
      <w:ind w:left="720"/>
      <w:contextualSpacing/>
    </w:pPr>
  </w:style>
  <w:style w:type="paragraph" w:customStyle="1" w:styleId="Para">
    <w:name w:val="Para"/>
    <w:basedOn w:val="Normal"/>
    <w:uiPriority w:val="99"/>
    <w:rsid w:val="000645F8"/>
    <w:pPr>
      <w:widowControl w:val="0"/>
      <w:spacing w:after="120" w:line="240" w:lineRule="exact"/>
      <w:ind w:left="2268" w:right="1134" w:hanging="1134"/>
      <w:jc w:val="both"/>
    </w:pPr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DBD"/>
    <w:rPr>
      <w:rFonts w:cs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DBD"/>
    <w:rPr>
      <w:rFonts w:cs="Times New Roman"/>
      <w:sz w:val="22"/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107C2C"/>
    <w:pPr>
      <w:spacing w:after="120" w:line="240" w:lineRule="auto"/>
      <w:ind w:left="1134" w:right="1134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SingleTxtGChar">
    <w:name w:val="_ Single Txt_G Char"/>
    <w:link w:val="SingleTxtG"/>
    <w:uiPriority w:val="99"/>
    <w:locked/>
    <w:rsid w:val="00107C2C"/>
    <w:rPr>
      <w:rFonts w:ascii="Times New Roman" w:hAnsi="Times New Roman"/>
      <w:sz w:val="20"/>
      <w:lang w:val="en-US" w:eastAsia="en-US"/>
    </w:rPr>
  </w:style>
  <w:style w:type="paragraph" w:customStyle="1" w:styleId="HChG">
    <w:name w:val="_ H _Ch_G"/>
    <w:basedOn w:val="Normal"/>
    <w:next w:val="Normal"/>
    <w:link w:val="HChGChar"/>
    <w:uiPriority w:val="99"/>
    <w:rsid w:val="00107C2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hAnsi="Times New Roman"/>
      <w:b/>
      <w:sz w:val="20"/>
      <w:szCs w:val="20"/>
      <w:lang w:val="en-US"/>
    </w:rPr>
  </w:style>
  <w:style w:type="character" w:styleId="FootnoteReference">
    <w:name w:val="footnote reference"/>
    <w:aliases w:val="4_G,(Footnote Reference)"/>
    <w:basedOn w:val="DefaultParagraphFont"/>
    <w:uiPriority w:val="99"/>
    <w:rsid w:val="00107C2C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107C2C"/>
    <w:pPr>
      <w:tabs>
        <w:tab w:val="right" w:pos="1021"/>
      </w:tabs>
      <w:spacing w:after="0"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07C2C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ChGChar">
    <w:name w:val="_ H _Ch_G Char"/>
    <w:link w:val="HChG"/>
    <w:uiPriority w:val="99"/>
    <w:locked/>
    <w:rsid w:val="00107C2C"/>
    <w:rPr>
      <w:rFonts w:ascii="Times New Roman" w:hAnsi="Times New Roman"/>
      <w:b/>
      <w:sz w:val="20"/>
      <w:lang w:val="en-US" w:eastAsia="en-US"/>
    </w:rPr>
  </w:style>
  <w:style w:type="character" w:customStyle="1" w:styleId="alt-edited1">
    <w:name w:val="alt-edited1"/>
    <w:basedOn w:val="DefaultParagraphFont"/>
    <w:uiPriority w:val="99"/>
    <w:rsid w:val="001D3B92"/>
    <w:rPr>
      <w:rFonts w:cs="Times New Roman"/>
      <w:color w:val="4D90F0"/>
    </w:rPr>
  </w:style>
  <w:style w:type="paragraph" w:customStyle="1" w:styleId="a">
    <w:name w:val="(a)"/>
    <w:basedOn w:val="Normal"/>
    <w:uiPriority w:val="99"/>
    <w:rsid w:val="00F8057E"/>
    <w:pPr>
      <w:widowControl w:val="0"/>
      <w:spacing w:after="120" w:line="240" w:lineRule="exact"/>
      <w:ind w:left="2835" w:right="1134" w:hanging="567"/>
      <w:jc w:val="both"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34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173"/>
    <w:pPr>
      <w:spacing w:after="0" w:line="240" w:lineRule="auto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582"/>
    <w:rPr>
      <w:rFonts w:ascii="Times New Roman" w:hAnsi="Times New Roman"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F42952"/>
    <w:pPr>
      <w:ind w:left="720"/>
      <w:contextualSpacing/>
    </w:pPr>
  </w:style>
  <w:style w:type="paragraph" w:customStyle="1" w:styleId="Para">
    <w:name w:val="Para"/>
    <w:basedOn w:val="Normal"/>
    <w:uiPriority w:val="99"/>
    <w:rsid w:val="000645F8"/>
    <w:pPr>
      <w:widowControl w:val="0"/>
      <w:spacing w:after="120" w:line="240" w:lineRule="exact"/>
      <w:ind w:left="2268" w:right="1134" w:hanging="1134"/>
      <w:jc w:val="both"/>
    </w:pPr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DBD"/>
    <w:rPr>
      <w:rFonts w:cs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DBD"/>
    <w:rPr>
      <w:rFonts w:cs="Times New Roman"/>
      <w:sz w:val="22"/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107C2C"/>
    <w:pPr>
      <w:spacing w:after="120" w:line="240" w:lineRule="auto"/>
      <w:ind w:left="1134" w:right="1134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SingleTxtGChar">
    <w:name w:val="_ Single Txt_G Char"/>
    <w:link w:val="SingleTxtG"/>
    <w:uiPriority w:val="99"/>
    <w:locked/>
    <w:rsid w:val="00107C2C"/>
    <w:rPr>
      <w:rFonts w:ascii="Times New Roman" w:hAnsi="Times New Roman"/>
      <w:sz w:val="20"/>
      <w:lang w:val="en-US" w:eastAsia="en-US"/>
    </w:rPr>
  </w:style>
  <w:style w:type="paragraph" w:customStyle="1" w:styleId="HChG">
    <w:name w:val="_ H _Ch_G"/>
    <w:basedOn w:val="Normal"/>
    <w:next w:val="Normal"/>
    <w:link w:val="HChGChar"/>
    <w:uiPriority w:val="99"/>
    <w:rsid w:val="00107C2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hAnsi="Times New Roman"/>
      <w:b/>
      <w:sz w:val="20"/>
      <w:szCs w:val="20"/>
      <w:lang w:val="en-US"/>
    </w:rPr>
  </w:style>
  <w:style w:type="character" w:styleId="FootnoteReference">
    <w:name w:val="footnote reference"/>
    <w:aliases w:val="4_G,(Footnote Reference)"/>
    <w:basedOn w:val="DefaultParagraphFont"/>
    <w:uiPriority w:val="99"/>
    <w:rsid w:val="00107C2C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107C2C"/>
    <w:pPr>
      <w:tabs>
        <w:tab w:val="right" w:pos="1021"/>
      </w:tabs>
      <w:spacing w:after="0"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07C2C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ChGChar">
    <w:name w:val="_ H _Ch_G Char"/>
    <w:link w:val="HChG"/>
    <w:uiPriority w:val="99"/>
    <w:locked/>
    <w:rsid w:val="00107C2C"/>
    <w:rPr>
      <w:rFonts w:ascii="Times New Roman" w:hAnsi="Times New Roman"/>
      <w:b/>
      <w:sz w:val="20"/>
      <w:lang w:val="en-US" w:eastAsia="en-US"/>
    </w:rPr>
  </w:style>
  <w:style w:type="character" w:customStyle="1" w:styleId="alt-edited1">
    <w:name w:val="alt-edited1"/>
    <w:basedOn w:val="DefaultParagraphFont"/>
    <w:uiPriority w:val="99"/>
    <w:rsid w:val="001D3B92"/>
    <w:rPr>
      <w:rFonts w:cs="Times New Roman"/>
      <w:color w:val="4D90F0"/>
    </w:rPr>
  </w:style>
  <w:style w:type="paragraph" w:customStyle="1" w:styleId="a">
    <w:name w:val="(a)"/>
    <w:basedOn w:val="Normal"/>
    <w:uiPriority w:val="99"/>
    <w:rsid w:val="00F8057E"/>
    <w:pPr>
      <w:widowControl w:val="0"/>
      <w:spacing w:after="120" w:line="240" w:lineRule="exact"/>
      <w:ind w:left="2835" w:right="1134" w:hanging="567"/>
      <w:jc w:val="both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7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61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This proposal concerns changes to the UN Regulation 67 with regard to the area of definition of the LPG container type approved accessories</vt:lpstr>
      <vt:lpstr>This proposal concerns changes to the UN Regulation 67 with regard to the area of definition of the LPG container type approved accessories</vt:lpstr>
    </vt:vector>
  </TitlesOfParts>
  <Company>ECE-ISU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proposal concerns changes to the UN Regulation 67 with regard to the area of definition of the LPG container type approved accessories</dc:title>
  <dc:creator>Adam</dc:creator>
  <cp:lastModifiedBy>Hubert Romain</cp:lastModifiedBy>
  <cp:revision>4</cp:revision>
  <cp:lastPrinted>2017-09-06T10:57:00Z</cp:lastPrinted>
  <dcterms:created xsi:type="dcterms:W3CDTF">2017-09-26T09:00:00Z</dcterms:created>
  <dcterms:modified xsi:type="dcterms:W3CDTF">2017-09-26T09:04:00Z</dcterms:modified>
</cp:coreProperties>
</file>