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53114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531144">
                <w:t>TRANS/WP.29/GRSG/2017/2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14384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="00531144">
              <w:fldChar w:fldCharType="separate"/>
            </w:r>
            <w:r w:rsidR="00531144">
              <w:t xml:space="preserve">1 </w:t>
            </w:r>
            <w:proofErr w:type="spellStart"/>
            <w:r w:rsidR="00531144">
              <w:t>February</w:t>
            </w:r>
            <w:proofErr w:type="spellEnd"/>
            <w:r w:rsidR="00531144">
              <w:t xml:space="preserve"> 2017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1438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51A28" w:rsidRPr="00351A28" w:rsidRDefault="00351A28" w:rsidP="00351A28">
      <w:pPr>
        <w:pStyle w:val="SingleTxtGR"/>
        <w:spacing w:before="120"/>
        <w:ind w:left="0" w:right="1138"/>
        <w:rPr>
          <w:sz w:val="28"/>
          <w:szCs w:val="28"/>
        </w:rPr>
      </w:pPr>
      <w:r w:rsidRPr="00351A28">
        <w:rPr>
          <w:sz w:val="28"/>
          <w:szCs w:val="28"/>
        </w:rPr>
        <w:t>Комитет по внутреннему транспорту</w:t>
      </w:r>
    </w:p>
    <w:p w:rsidR="00351A28" w:rsidRPr="00351A28" w:rsidRDefault="00351A28" w:rsidP="00351A28">
      <w:pPr>
        <w:pStyle w:val="SingleTxtGR"/>
        <w:ind w:left="0" w:right="1138"/>
        <w:jc w:val="left"/>
        <w:rPr>
          <w:b/>
          <w:sz w:val="24"/>
          <w:szCs w:val="24"/>
        </w:rPr>
      </w:pPr>
      <w:r w:rsidRPr="00351A28">
        <w:rPr>
          <w:b/>
          <w:sz w:val="24"/>
          <w:szCs w:val="24"/>
        </w:rPr>
        <w:t>Всемирный форум для согласования правил</w:t>
      </w:r>
      <w:r w:rsidRPr="00351A28">
        <w:rPr>
          <w:b/>
          <w:sz w:val="24"/>
          <w:szCs w:val="24"/>
        </w:rPr>
        <w:br/>
        <w:t>в области транспортных средств</w:t>
      </w:r>
    </w:p>
    <w:p w:rsidR="00351A28" w:rsidRPr="00351A28" w:rsidRDefault="00351A28" w:rsidP="00351A28">
      <w:pPr>
        <w:pStyle w:val="SingleTxtGR"/>
        <w:spacing w:after="0"/>
        <w:ind w:left="0" w:right="1138"/>
        <w:jc w:val="left"/>
        <w:rPr>
          <w:b/>
        </w:rPr>
      </w:pPr>
      <w:r w:rsidRPr="00351A28">
        <w:rPr>
          <w:b/>
        </w:rPr>
        <w:t xml:space="preserve">Рабочая группа по общим предписаниям, </w:t>
      </w:r>
      <w:r w:rsidRPr="00351A28">
        <w:rPr>
          <w:b/>
        </w:rPr>
        <w:br/>
        <w:t>касающимся безопасности</w:t>
      </w:r>
    </w:p>
    <w:p w:rsidR="00351A28" w:rsidRPr="00351A28" w:rsidRDefault="00351A28" w:rsidP="00351A28">
      <w:pPr>
        <w:pStyle w:val="SingleTxtGR"/>
        <w:spacing w:before="120" w:after="0"/>
        <w:ind w:left="0" w:right="1138"/>
        <w:jc w:val="left"/>
        <w:rPr>
          <w:b/>
        </w:rPr>
      </w:pPr>
      <w:r w:rsidRPr="00351A28">
        <w:rPr>
          <w:b/>
        </w:rPr>
        <w:t>112-я сессия</w:t>
      </w:r>
    </w:p>
    <w:p w:rsidR="00351A28" w:rsidRPr="00351A28" w:rsidRDefault="00351A28" w:rsidP="00351A28">
      <w:pPr>
        <w:pStyle w:val="SingleTxtGR"/>
        <w:spacing w:after="0"/>
        <w:ind w:left="0" w:right="1138"/>
        <w:jc w:val="left"/>
      </w:pPr>
      <w:r w:rsidRPr="00351A28">
        <w:t>Женева, 24–28 апреля 2017</w:t>
      </w:r>
      <w:r w:rsidR="00C308FE">
        <w:t xml:space="preserve"> года</w:t>
      </w:r>
    </w:p>
    <w:p w:rsidR="00351A28" w:rsidRPr="00351A28" w:rsidRDefault="00351A28" w:rsidP="00351A28">
      <w:pPr>
        <w:pStyle w:val="SingleTxtGR"/>
        <w:spacing w:after="0"/>
        <w:ind w:left="0" w:right="1138"/>
        <w:jc w:val="left"/>
      </w:pPr>
      <w:r w:rsidRPr="00351A28">
        <w:t>Пункт 5 предварительной повестки дня</w:t>
      </w:r>
    </w:p>
    <w:p w:rsidR="00351A28" w:rsidRPr="00351A28" w:rsidRDefault="00351A28" w:rsidP="00351A28">
      <w:pPr>
        <w:pStyle w:val="SingleTxtGR"/>
        <w:spacing w:after="0"/>
        <w:ind w:left="0" w:right="1138"/>
        <w:jc w:val="left"/>
        <w:rPr>
          <w:b/>
        </w:rPr>
      </w:pPr>
      <w:r w:rsidRPr="00351A28">
        <w:rPr>
          <w:b/>
        </w:rPr>
        <w:t>Правила № 46 (устройства непрямого обзора)</w:t>
      </w:r>
    </w:p>
    <w:p w:rsidR="00351A28" w:rsidRPr="00351A28" w:rsidRDefault="00351A28" w:rsidP="00351A28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351A28">
        <w:t>Предложение по дополнению 5 к поправкам серии</w:t>
      </w:r>
      <w:r>
        <w:rPr>
          <w:lang w:val="en-US"/>
        </w:rPr>
        <w:t> </w:t>
      </w:r>
      <w:r w:rsidR="00C308FE">
        <w:t>0</w:t>
      </w:r>
      <w:r w:rsidRPr="00351A28">
        <w:t>4 к</w:t>
      </w:r>
      <w:r>
        <w:rPr>
          <w:lang w:val="en-US"/>
        </w:rPr>
        <w:t> </w:t>
      </w:r>
      <w:r w:rsidRPr="00351A28">
        <w:t>Правилам № 46 (устройства непрямого обзора)</w:t>
      </w:r>
    </w:p>
    <w:p w:rsidR="00351A28" w:rsidRPr="00351A28" w:rsidRDefault="00351A28" w:rsidP="00351A28">
      <w:pPr>
        <w:pStyle w:val="H1GR"/>
        <w:rPr>
          <w:vertAlign w:val="superscript"/>
        </w:rPr>
      </w:pPr>
      <w:r w:rsidRPr="00C308FE">
        <w:tab/>
      </w:r>
      <w:r w:rsidRPr="00C308FE">
        <w:tab/>
      </w:r>
      <w:r w:rsidRPr="00351A28">
        <w:t>Представлено экспертом от Германии</w:t>
      </w:r>
      <w:r w:rsidRPr="00044114">
        <w:rPr>
          <w:b w:val="0"/>
          <w:sz w:val="20"/>
        </w:rPr>
        <w:footnoteReference w:customMarkFollows="1" w:id="1"/>
        <w:t>*</w:t>
      </w:r>
    </w:p>
    <w:p w:rsidR="00351A28" w:rsidRPr="00351A28" w:rsidRDefault="00351A28" w:rsidP="00351A28">
      <w:pPr>
        <w:pStyle w:val="SingleTxtGR"/>
      </w:pPr>
      <w:r>
        <w:rPr>
          <w:lang w:val="en-US"/>
        </w:rPr>
        <w:tab/>
      </w:r>
      <w:r w:rsidR="00C61235" w:rsidRPr="00351A28">
        <w:t>Воспроизведенный ниже текст был подготовлен экспертом от Германии в целях уточнения коэффициента увеличения систем видеокамеры/монитора (СВМ). В его основу положен неофициальный документ GRSG-111-27, распр</w:t>
      </w:r>
      <w:r w:rsidR="00C61235" w:rsidRPr="00351A28">
        <w:t>о</w:t>
      </w:r>
      <w:r w:rsidR="00C61235" w:rsidRPr="00351A28">
        <w:t>страненный в ходе 111-й сессии Рабочей группы по общим предписаниям, к</w:t>
      </w:r>
      <w:r w:rsidR="00C61235" w:rsidRPr="00351A28">
        <w:t>а</w:t>
      </w:r>
      <w:r w:rsidR="00C61235" w:rsidRPr="00351A28">
        <w:t xml:space="preserve">сающимся безопасности (GRSG) (см. доклад ECE/TRANS/WP.29/GRSG/90, пункт 21). </w:t>
      </w:r>
      <w:r w:rsidRPr="00351A28">
        <w:t>Изменения к существующему тексту Правил № 46 выделены жи</w:t>
      </w:r>
      <w:r w:rsidRPr="00351A28">
        <w:t>р</w:t>
      </w:r>
      <w:r w:rsidRPr="00351A28">
        <w:t xml:space="preserve">ным шрифтом в случае нового текста и зачеркиванием в случае исключенных элементов. </w:t>
      </w:r>
    </w:p>
    <w:p w:rsidR="00351A28" w:rsidRPr="00351A28" w:rsidRDefault="00351A28" w:rsidP="00351A28">
      <w:pPr>
        <w:pStyle w:val="SingleTxtGR"/>
      </w:pPr>
      <w:r w:rsidRPr="00351A28">
        <w:br w:type="page"/>
      </w:r>
      <w:bookmarkStart w:id="2" w:name="_GoBack"/>
      <w:bookmarkEnd w:id="2"/>
    </w:p>
    <w:p w:rsidR="00351A28" w:rsidRPr="00351A28" w:rsidRDefault="00351A28" w:rsidP="00351A28">
      <w:pPr>
        <w:pStyle w:val="HChGR"/>
      </w:pPr>
      <w:r w:rsidRPr="00C61235">
        <w:lastRenderedPageBreak/>
        <w:tab/>
      </w:r>
      <w:r w:rsidRPr="00351A28">
        <w:t>I.</w:t>
      </w:r>
      <w:r w:rsidRPr="00351A28">
        <w:tab/>
        <w:t>Предложение</w:t>
      </w:r>
    </w:p>
    <w:p w:rsidR="00351A28" w:rsidRPr="00351A28" w:rsidRDefault="00351A28" w:rsidP="00351A28">
      <w:pPr>
        <w:pStyle w:val="SingleTxtGR"/>
        <w:rPr>
          <w:bCs/>
        </w:rPr>
      </w:pPr>
      <w:r w:rsidRPr="00351A28">
        <w:rPr>
          <w:i/>
          <w:iCs/>
        </w:rPr>
        <w:t>Пункт 16.1.3.1</w:t>
      </w:r>
      <w:r w:rsidRPr="00351A28">
        <w:t xml:space="preserve"> изменить следующим образом:</w:t>
      </w:r>
    </w:p>
    <w:p w:rsidR="00351A28" w:rsidRPr="00351A28" w:rsidRDefault="00214384" w:rsidP="00351A28">
      <w:pPr>
        <w:pStyle w:val="SingleTxtGR"/>
        <w:rPr>
          <w:bCs/>
          <w:iCs/>
        </w:rPr>
      </w:pPr>
      <w:r>
        <w:t>«</w:t>
      </w:r>
      <w:r w:rsidR="00351A28" w:rsidRPr="00351A28">
        <w:t>16.1.3.1</w:t>
      </w:r>
      <w:r w:rsidR="00351A28" w:rsidRPr="00351A28">
        <w:tab/>
        <w:t>Коэффициент увеличения</w:t>
      </w:r>
    </w:p>
    <w:p w:rsidR="00351A28" w:rsidRPr="00351A28" w:rsidRDefault="00351A28" w:rsidP="00351A28">
      <w:pPr>
        <w:pStyle w:val="SingleTxtGR"/>
        <w:ind w:left="2268" w:hanging="1134"/>
        <w:rPr>
          <w:bCs/>
          <w:iCs/>
        </w:rPr>
      </w:pPr>
      <w:r>
        <w:rPr>
          <w:lang w:val="en-US"/>
        </w:rPr>
        <w:tab/>
      </w:r>
      <w:r>
        <w:rPr>
          <w:lang w:val="en-US"/>
        </w:rPr>
        <w:tab/>
      </w:r>
      <w:r w:rsidRPr="00351A28">
        <w:t xml:space="preserve">Минимальный и средний коэффициенты увеличения СВМ, как в горизонтальном, так и в вертикальном направлении, не должны быть меньше, чем </w:t>
      </w:r>
      <w:r w:rsidRPr="00745510">
        <w:rPr>
          <w:b/>
          <w:bCs/>
          <w:strike/>
        </w:rPr>
        <w:t>минимальных средних</w:t>
      </w:r>
      <w:r w:rsidRPr="00351A28">
        <w:t xml:space="preserve"> коэффициенты увелич</w:t>
      </w:r>
      <w:r w:rsidRPr="00351A28">
        <w:t>е</w:t>
      </w:r>
      <w:r w:rsidRPr="00351A28">
        <w:t>ния, указанные ниже.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Минимальный коэффициент увеличения должен составлять не м</w:t>
      </w:r>
      <w:r w:rsidRPr="00351A28">
        <w:t>е</w:t>
      </w:r>
      <w:r w:rsidRPr="00351A28">
        <w:t>нее: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a)</w:t>
      </w:r>
      <w:r w:rsidRPr="00351A28">
        <w:tab/>
        <w:t>для класса I: 0,31;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b)</w:t>
      </w:r>
      <w:r w:rsidRPr="00351A28">
        <w:tab/>
        <w:t>для класса II (сторона водителя): 0,26;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c)</w:t>
      </w:r>
      <w:r w:rsidRPr="00351A28">
        <w:tab/>
        <w:t>для класса III (сторона водителя): 0,29;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d)</w:t>
      </w:r>
      <w:r w:rsidRPr="00351A28">
        <w:tab/>
        <w:t>для класса IV (сторона водителя): 0,054;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e)</w:t>
      </w:r>
      <w:r w:rsidRPr="00351A28">
        <w:tab/>
        <w:t>для класса II (сторона пассажира): 0,13;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f)</w:t>
      </w:r>
      <w:r w:rsidRPr="00351A28">
        <w:tab/>
        <w:t>для класса III (сторона пассажира): 0,19;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g)</w:t>
      </w:r>
      <w:r w:rsidRPr="00351A28">
        <w:tab/>
        <w:t>для класса IV (сторона пассажира): 0,016.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Средний коэффициент увеличения должен составлять не менее: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h)</w:t>
      </w:r>
      <w:r w:rsidRPr="00351A28">
        <w:tab/>
        <w:t>для класса I: 0,33;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i)</w:t>
      </w:r>
      <w:r w:rsidRPr="00351A28">
        <w:tab/>
        <w:t>для класса II (сторона водителя): 0,31;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j)</w:t>
      </w:r>
      <w:r w:rsidRPr="00351A28">
        <w:tab/>
        <w:t>для класса III (сторона водителя): 0,31;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k)</w:t>
      </w:r>
      <w:r w:rsidRPr="00351A28">
        <w:tab/>
        <w:t>для класса IV (сторона водителя): 0,091;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l)</w:t>
      </w:r>
      <w:r w:rsidRPr="00351A28">
        <w:tab/>
        <w:t>для класса II (сторона пассажира): 0,16;</w:t>
      </w:r>
    </w:p>
    <w:p w:rsidR="00351A28" w:rsidRPr="00351A28" w:rsidRDefault="00351A28" w:rsidP="00351A28">
      <w:pPr>
        <w:pStyle w:val="SingleTxtGR"/>
        <w:ind w:left="2286"/>
        <w:rPr>
          <w:bCs/>
          <w:iCs/>
        </w:rPr>
      </w:pPr>
      <w:r w:rsidRPr="00351A28">
        <w:t>m)</w:t>
      </w:r>
      <w:r w:rsidRPr="00351A28">
        <w:tab/>
        <w:t>для класса III (сторона пассажира): 0,20;</w:t>
      </w:r>
    </w:p>
    <w:p w:rsidR="00351A28" w:rsidRPr="00351A28" w:rsidRDefault="00351A28" w:rsidP="00351A28">
      <w:pPr>
        <w:pStyle w:val="SingleTxtGR"/>
        <w:ind w:left="2286"/>
        <w:rPr>
          <w:bCs/>
        </w:rPr>
      </w:pPr>
      <w:r w:rsidRPr="00351A28">
        <w:t>n)</w:t>
      </w:r>
      <w:r w:rsidRPr="00351A28">
        <w:tab/>
        <w:t>для класса IV (сторона пассажира): 0,046</w:t>
      </w:r>
      <w:r w:rsidR="00214384">
        <w:t>»</w:t>
      </w:r>
      <w:r w:rsidRPr="00351A28">
        <w:t>.</w:t>
      </w:r>
    </w:p>
    <w:p w:rsidR="00351A28" w:rsidRPr="00351A28" w:rsidRDefault="00351A28" w:rsidP="00351A28">
      <w:pPr>
        <w:pStyle w:val="HChGR"/>
      </w:pPr>
      <w:r w:rsidRPr="00351A28">
        <w:tab/>
        <w:t>II.</w:t>
      </w:r>
      <w:r w:rsidRPr="00351A28">
        <w:tab/>
        <w:t>Обоснование</w:t>
      </w:r>
    </w:p>
    <w:p w:rsidR="00351A28" w:rsidRPr="00351A28" w:rsidRDefault="00351A28" w:rsidP="00351A28">
      <w:pPr>
        <w:pStyle w:val="SingleTxtGR"/>
      </w:pPr>
      <w:r w:rsidRPr="00351A28">
        <w:tab/>
        <w:t xml:space="preserve">Формулировка </w:t>
      </w:r>
      <w:r w:rsidR="00214384">
        <w:t>«</w:t>
      </w:r>
      <w:proofErr w:type="gramStart"/>
      <w:r w:rsidRPr="00351A28">
        <w:t>минимальный</w:t>
      </w:r>
      <w:proofErr w:type="gramEnd"/>
      <w:r w:rsidRPr="00351A28">
        <w:t xml:space="preserve"> средний</w:t>
      </w:r>
      <w:r w:rsidR="00214384">
        <w:t>»</w:t>
      </w:r>
      <w:r w:rsidRPr="00351A28">
        <w:t xml:space="preserve"> неверна и, кроме того, в данном предложении избыточна.</w:t>
      </w:r>
    </w:p>
    <w:p w:rsidR="00A658DB" w:rsidRPr="00214384" w:rsidRDefault="00351A28" w:rsidP="00351A28">
      <w:pPr>
        <w:pStyle w:val="SingleTxtGR"/>
      </w:pPr>
      <w:r w:rsidRPr="00351A28">
        <w:tab/>
        <w:t xml:space="preserve">В Правилах № 46 термина </w:t>
      </w:r>
      <w:r w:rsidR="00214384">
        <w:t>«</w:t>
      </w:r>
      <w:r w:rsidRPr="00351A28">
        <w:t>минимальный средний коэффициент увел</w:t>
      </w:r>
      <w:r w:rsidRPr="00351A28">
        <w:t>и</w:t>
      </w:r>
      <w:r w:rsidRPr="00351A28">
        <w:t>чения</w:t>
      </w:r>
      <w:r w:rsidR="00214384">
        <w:t>»</w:t>
      </w:r>
      <w:r w:rsidRPr="00351A28">
        <w:t xml:space="preserve"> нет, а используются только термины </w:t>
      </w:r>
      <w:r w:rsidR="00214384">
        <w:t>«</w:t>
      </w:r>
      <w:r w:rsidRPr="00351A28">
        <w:t>минимальный коэффициент ув</w:t>
      </w:r>
      <w:r w:rsidRPr="00351A28">
        <w:t>е</w:t>
      </w:r>
      <w:r w:rsidRPr="00351A28">
        <w:t>личения</w:t>
      </w:r>
      <w:r w:rsidR="00214384">
        <w:t>»</w:t>
      </w:r>
      <w:r w:rsidRPr="00351A28">
        <w:t xml:space="preserve"> и </w:t>
      </w:r>
      <w:r w:rsidR="00214384">
        <w:t>«</w:t>
      </w:r>
      <w:r w:rsidRPr="00351A28">
        <w:t>средний коэффициент увеличения</w:t>
      </w:r>
      <w:r w:rsidR="00214384">
        <w:t>»</w:t>
      </w:r>
      <w:r w:rsidRPr="00351A28">
        <w:t>. Оба коэффициента определ</w:t>
      </w:r>
      <w:r w:rsidRPr="00351A28">
        <w:t>е</w:t>
      </w:r>
      <w:r w:rsidRPr="00351A28">
        <w:t>ны в последующем тексте пункта 16.1.3.1.</w:t>
      </w:r>
    </w:p>
    <w:p w:rsidR="00351A28" w:rsidRPr="00214384" w:rsidRDefault="00351A28" w:rsidP="00351A28">
      <w:pPr>
        <w:spacing w:before="240"/>
        <w:jc w:val="center"/>
        <w:rPr>
          <w:u w:val="single"/>
        </w:rPr>
      </w:pPr>
      <w:r w:rsidRPr="00214384">
        <w:rPr>
          <w:u w:val="single"/>
        </w:rPr>
        <w:tab/>
      </w:r>
      <w:r w:rsidRPr="00214384">
        <w:rPr>
          <w:u w:val="single"/>
        </w:rPr>
        <w:tab/>
      </w:r>
      <w:r w:rsidRPr="00214384">
        <w:rPr>
          <w:u w:val="single"/>
        </w:rPr>
        <w:tab/>
      </w:r>
    </w:p>
    <w:sectPr w:rsidR="00351A28" w:rsidRPr="00214384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44" w:rsidRDefault="00531144" w:rsidP="00B471C5">
      <w:r>
        <w:separator/>
      </w:r>
    </w:p>
  </w:endnote>
  <w:endnote w:type="continuationSeparator" w:id="0">
    <w:p w:rsidR="00531144" w:rsidRDefault="0053114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1438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</w:t>
    </w:r>
    <w:r w:rsidR="00531144">
      <w:rPr>
        <w:lang w:val="en-US"/>
      </w:rPr>
      <w:t>7</w:t>
    </w:r>
    <w:r>
      <w:rPr>
        <w:lang w:val="en-US"/>
      </w:rPr>
      <w:t>-</w:t>
    </w:r>
    <w:r w:rsidR="00531144" w:rsidRPr="00531144">
      <w:rPr>
        <w:lang w:val="en-US"/>
      </w:rPr>
      <w:t>01496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</w:t>
    </w:r>
    <w:r w:rsidR="00531144">
      <w:rPr>
        <w:lang w:val="en-US"/>
      </w:rPr>
      <w:t>7</w:t>
    </w:r>
    <w:r>
      <w:rPr>
        <w:lang w:val="en-US"/>
      </w:rPr>
      <w:t>-</w:t>
    </w:r>
    <w:r w:rsidR="00531144" w:rsidRPr="00531144">
      <w:rPr>
        <w:lang w:val="en-US"/>
      </w:rPr>
      <w:t>01496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51A28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53114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</w:t>
          </w:r>
          <w:r w:rsidR="00531144">
            <w:rPr>
              <w:lang w:val="en-US"/>
            </w:rPr>
            <w:t>7</w:t>
          </w:r>
          <w:r w:rsidRPr="001C3ABC">
            <w:rPr>
              <w:lang w:val="en-US"/>
            </w:rPr>
            <w:t>-</w:t>
          </w:r>
          <w:r w:rsidR="00531144" w:rsidRPr="00531144">
            <w:rPr>
              <w:lang w:val="en-US"/>
            </w:rPr>
            <w:t>01496</w:t>
          </w:r>
          <w:r w:rsidRPr="001C3ABC">
            <w:rPr>
              <w:lang w:val="en-US"/>
            </w:rPr>
            <w:t xml:space="preserve"> </w:t>
          </w:r>
          <w:r w:rsidR="00531144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531144">
            <w:rPr>
              <w:lang w:val="en-US"/>
            </w:rPr>
            <w:t xml:space="preserve">  030217  030217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3C6E36CC" wp14:editId="6B38F8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31144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039EDF37" wp14:editId="00E5F941">
                <wp:extent cx="579755" cy="579755"/>
                <wp:effectExtent l="0" t="0" r="0" b="0"/>
                <wp:docPr id="3" name="Рисунок 3" descr="http://undocs.org/m2/QRCode.ashx?DS=ECE/TRANS/WP.29/GRSG/2017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SG/2017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31144" w:rsidRDefault="00531144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3114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44" w:rsidRPr="009141DC" w:rsidRDefault="0053114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31144" w:rsidRPr="00D1261C" w:rsidRDefault="0053114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351A28" w:rsidRPr="00351A28" w:rsidRDefault="00351A28" w:rsidP="00351A28">
      <w:pPr>
        <w:pStyle w:val="aa"/>
        <w:tabs>
          <w:tab w:val="clear" w:pos="1021"/>
        </w:tabs>
        <w:ind w:hanging="283"/>
        <w:rPr>
          <w:rFonts w:eastAsia="Calibri"/>
          <w:lang w:val="ru-RU"/>
        </w:rPr>
      </w:pPr>
      <w:r w:rsidRPr="00F329FE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51A28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531144" w:rsidRPr="00531144">
      <w:rPr>
        <w:lang w:val="en-US"/>
      </w:rPr>
      <w:t>TRANS/WP.29/GRSG/2017/2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531144" w:rsidRPr="00531144">
      <w:rPr>
        <w:lang w:val="en-US"/>
      </w:rPr>
      <w:t>TRANS/WP.29/GRSG/2017/2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44" w:rsidRDefault="00531144" w:rsidP="0053114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44"/>
    <w:rsid w:val="00044114"/>
    <w:rsid w:val="000450D1"/>
    <w:rsid w:val="000B1FD5"/>
    <w:rsid w:val="000F2A4F"/>
    <w:rsid w:val="00203F84"/>
    <w:rsid w:val="00214384"/>
    <w:rsid w:val="00275188"/>
    <w:rsid w:val="0028687D"/>
    <w:rsid w:val="002B091C"/>
    <w:rsid w:val="002B3D40"/>
    <w:rsid w:val="002D0CCB"/>
    <w:rsid w:val="00345C79"/>
    <w:rsid w:val="00351A28"/>
    <w:rsid w:val="00366A39"/>
    <w:rsid w:val="0048005C"/>
    <w:rsid w:val="004D639B"/>
    <w:rsid w:val="004E242B"/>
    <w:rsid w:val="00531144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45510"/>
    <w:rsid w:val="00760D3A"/>
    <w:rsid w:val="00773BA8"/>
    <w:rsid w:val="007A1F42"/>
    <w:rsid w:val="007A692F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95134"/>
    <w:rsid w:val="00BE1742"/>
    <w:rsid w:val="00C308FE"/>
    <w:rsid w:val="00C61235"/>
    <w:rsid w:val="00D1261C"/>
    <w:rsid w:val="00D26030"/>
    <w:rsid w:val="00D75DCE"/>
    <w:rsid w:val="00DD35AC"/>
    <w:rsid w:val="00DD479F"/>
    <w:rsid w:val="00E15E48"/>
    <w:rsid w:val="00EA3E1A"/>
    <w:rsid w:val="00EB0723"/>
    <w:rsid w:val="00EB2957"/>
    <w:rsid w:val="00EE6F37"/>
    <w:rsid w:val="00F1599F"/>
    <w:rsid w:val="00F31EF2"/>
    <w:rsid w:val="00F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351A2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1A2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351A2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1A2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9BDA-7512-4669-9AB7-B4B3BB22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12</TotalTime>
  <Pages>2</Pages>
  <Words>315</Words>
  <Characters>2294</Characters>
  <Application>Microsoft Office Word</Application>
  <DocSecurity>0</DocSecurity>
  <Lines>40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 Olga</dc:creator>
  <cp:lastModifiedBy>Ovchinnikova Olga</cp:lastModifiedBy>
  <cp:revision>11</cp:revision>
  <cp:lastPrinted>2017-02-03T10:17:00Z</cp:lastPrinted>
  <dcterms:created xsi:type="dcterms:W3CDTF">2017-02-03T10:09:00Z</dcterms:created>
  <dcterms:modified xsi:type="dcterms:W3CDTF">2017-02-03T10:26:00Z</dcterms:modified>
</cp:coreProperties>
</file>