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B64A71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94ADE">
              <w:rPr>
                <w:lang w:val="fr-FR"/>
              </w:rPr>
              <w:t>TRANS/WP.29</w:t>
            </w:r>
            <w:r w:rsidR="00415659" w:rsidRPr="00A77EEF">
              <w:rPr>
                <w:lang w:val="fr-FR"/>
              </w:rPr>
              <w:t>/201</w:t>
            </w:r>
            <w:r w:rsidR="00415659">
              <w:rPr>
                <w:lang w:val="fr-FR"/>
              </w:rPr>
              <w:t>7</w:t>
            </w:r>
            <w:r w:rsidR="00415659" w:rsidRPr="00A77EEF">
              <w:rPr>
                <w:lang w:val="fr-FR"/>
              </w:rPr>
              <w:t>/</w:t>
            </w:r>
            <w:r w:rsidR="00415659">
              <w:rPr>
                <w:lang w:val="fr-FR"/>
              </w:rPr>
              <w:t>2</w:t>
            </w:r>
            <w:r w:rsidR="00B64A71">
              <w:t>0</w:t>
            </w:r>
            <w:r w:rsidR="009451DA">
              <w:t xml:space="preserve">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1161BF" wp14:editId="33DFA30C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472F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C53A2D" w:rsidP="007B199D">
            <w:fldSimple w:instr=" FILLIN  &quot;Введите дату документа&quot; \* MERGEFORMAT ">
              <w:r w:rsidR="00415659">
                <w:rPr>
                  <w:lang w:val="en-US"/>
                </w:rPr>
                <w:t>1</w:t>
              </w:r>
              <w:r w:rsidR="00B64A71">
                <w:t>6</w:t>
              </w:r>
              <w:r w:rsidR="00415659">
                <w:rPr>
                  <w:lang w:val="en-US"/>
                </w:rPr>
                <w:t xml:space="preserve"> </w:t>
              </w:r>
              <w:r w:rsidR="00B64A71">
                <w:rPr>
                  <w:lang w:val="en-US"/>
                </w:rPr>
                <w:t>December</w:t>
              </w:r>
              <w:r w:rsidR="00BD2942">
                <w:t xml:space="preserve">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472F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BD294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07B7D" w:rsidRPr="005A387F" w:rsidRDefault="005A387F" w:rsidP="008512C1">
      <w:pPr>
        <w:spacing w:before="120" w:after="120"/>
        <w:rPr>
          <w:sz w:val="28"/>
          <w:szCs w:val="28"/>
          <w:lang w:val="en-US"/>
        </w:rPr>
      </w:pPr>
      <w:r w:rsidRPr="005A387F">
        <w:rPr>
          <w:sz w:val="28"/>
          <w:szCs w:val="28"/>
        </w:rPr>
        <w:t>Комитет по внутреннему транспорту</w:t>
      </w:r>
    </w:p>
    <w:p w:rsidR="005A387F" w:rsidRPr="005A387F" w:rsidRDefault="005A387F" w:rsidP="002C1EE7">
      <w:pPr>
        <w:spacing w:after="120"/>
        <w:rPr>
          <w:b/>
          <w:sz w:val="24"/>
          <w:szCs w:val="24"/>
        </w:rPr>
      </w:pPr>
      <w:r w:rsidRPr="005A387F">
        <w:rPr>
          <w:b/>
          <w:sz w:val="24"/>
          <w:szCs w:val="24"/>
        </w:rPr>
        <w:t xml:space="preserve">Всемирный форум для согласования правил </w:t>
      </w:r>
      <w:r w:rsidRPr="005A387F">
        <w:rPr>
          <w:b/>
          <w:sz w:val="24"/>
          <w:szCs w:val="24"/>
        </w:rPr>
        <w:br/>
        <w:t xml:space="preserve">в области транспортных средств </w:t>
      </w:r>
    </w:p>
    <w:p w:rsidR="00DC0768" w:rsidRPr="00BA6DD0" w:rsidRDefault="00DC0768" w:rsidP="00DC0768">
      <w:pPr>
        <w:tabs>
          <w:tab w:val="center" w:pos="4819"/>
        </w:tabs>
        <w:spacing w:before="120"/>
        <w:rPr>
          <w:b/>
        </w:rPr>
      </w:pPr>
      <w:r w:rsidRPr="005E57AC">
        <w:rPr>
          <w:b/>
          <w:bCs/>
        </w:rPr>
        <w:t>171-я сессия</w:t>
      </w:r>
    </w:p>
    <w:p w:rsidR="00DC0768" w:rsidRPr="00BA6DD0" w:rsidRDefault="00DC0768" w:rsidP="00DC0768">
      <w:r>
        <w:t>Женева, 14</w:t>
      </w:r>
      <w:r w:rsidRPr="005E57AC">
        <w:t>–</w:t>
      </w:r>
      <w:r>
        <w:t>17 марта 2017 года</w:t>
      </w:r>
    </w:p>
    <w:p w:rsidR="00DC0768" w:rsidRPr="00BA6DD0" w:rsidRDefault="00DC0768" w:rsidP="00DC0768">
      <w:r>
        <w:t>Пункт 4.9.2 предварительной повестки дня</w:t>
      </w:r>
    </w:p>
    <w:p w:rsidR="00DC0768" w:rsidRPr="00FD78D2" w:rsidRDefault="00DC0768" w:rsidP="00DC0768">
      <w:pPr>
        <w:rPr>
          <w:b/>
          <w:bCs/>
        </w:rPr>
      </w:pPr>
      <w:r w:rsidRPr="00FD78D2">
        <w:rPr>
          <w:b/>
          <w:bCs/>
        </w:rPr>
        <w:t>Соглашение 1958 года:</w:t>
      </w:r>
    </w:p>
    <w:p w:rsidR="00DC0768" w:rsidRPr="00FD78D2" w:rsidRDefault="00DC0768" w:rsidP="00DC0768">
      <w:pPr>
        <w:rPr>
          <w:b/>
          <w:bCs/>
        </w:rPr>
      </w:pPr>
      <w:r w:rsidRPr="00FD78D2">
        <w:rPr>
          <w:b/>
          <w:bCs/>
        </w:rPr>
        <w:t>Рассмотрение проектов поправок</w:t>
      </w:r>
    </w:p>
    <w:p w:rsidR="00007B7D" w:rsidRPr="002C1EE7" w:rsidRDefault="00DC0768" w:rsidP="00DC0768">
      <w:pPr>
        <w:rPr>
          <w:b/>
        </w:rPr>
      </w:pPr>
      <w:r w:rsidRPr="00FD78D2">
        <w:rPr>
          <w:b/>
          <w:bCs/>
        </w:rPr>
        <w:t>к существующим правилам, представленных GRE</w:t>
      </w:r>
    </w:p>
    <w:p w:rsidR="00DC0768" w:rsidRPr="00BA6DD0" w:rsidRDefault="00DC0768" w:rsidP="00DC0768">
      <w:pPr>
        <w:pStyle w:val="HChGR"/>
      </w:pPr>
      <w:r>
        <w:tab/>
      </w:r>
      <w:r>
        <w:tab/>
        <w:t xml:space="preserve">Предложение по дополнению </w:t>
      </w:r>
      <w:r w:rsidRPr="00161842">
        <w:t>18</w:t>
      </w:r>
      <w:r>
        <w:t xml:space="preserve"> к Правилам № </w:t>
      </w:r>
      <w:r w:rsidRPr="00161842">
        <w:t>4</w:t>
      </w:r>
      <w:r>
        <w:t xml:space="preserve"> (</w:t>
      </w:r>
      <w:r w:rsidRPr="00571E93">
        <w:t xml:space="preserve">освещение заднего </w:t>
      </w:r>
      <w:r>
        <w:t>регистрацион</w:t>
      </w:r>
      <w:r w:rsidRPr="00571E93">
        <w:t>ного знака</w:t>
      </w:r>
      <w:r>
        <w:t xml:space="preserve">) </w:t>
      </w:r>
    </w:p>
    <w:p w:rsidR="00DC0768" w:rsidRPr="00BA6DD0" w:rsidRDefault="00DC0768" w:rsidP="00DC0768">
      <w:pPr>
        <w:pStyle w:val="H1GR"/>
      </w:pPr>
      <w:r>
        <w:tab/>
      </w:r>
      <w:r>
        <w:tab/>
      </w:r>
      <w:r w:rsidRPr="00FD78D2">
        <w:t>Представлено Рабочей группой по вопросам освещения и</w:t>
      </w:r>
      <w:r>
        <w:t> </w:t>
      </w:r>
      <w:r w:rsidRPr="00FD78D2">
        <w:t>световой сигнализации</w:t>
      </w:r>
      <w:r w:rsidRPr="00DC0768">
        <w:rPr>
          <w:b w:val="0"/>
          <w:sz w:val="20"/>
        </w:rPr>
        <w:footnoteReference w:customMarkFollows="1" w:id="1"/>
        <w:t>*</w:t>
      </w:r>
    </w:p>
    <w:p w:rsidR="00DC0768" w:rsidRPr="00BA6DD0" w:rsidRDefault="00C53A2D" w:rsidP="00DC0768">
      <w:pPr>
        <w:pStyle w:val="SingleTxtGR"/>
      </w:pPr>
      <w:r>
        <w:rPr>
          <w:lang w:val="en-US"/>
        </w:rPr>
        <w:tab/>
      </w:r>
      <w:r w:rsidR="00DC0768">
        <w:t>Воспроизведенный ниже текст был принят Рабочей группой по вопросам освещения и световой сигнализации (GRE) на ее семьдесят шестой сессии (ECE/TRANS/WP.29/GRE/76, пункты</w:t>
      </w:r>
      <w:r w:rsidRPr="00C53A2D">
        <w:t xml:space="preserve"> </w:t>
      </w:r>
      <w:r w:rsidR="00DC0768">
        <w:t xml:space="preserve">10 и 13). В его основу положены </w:t>
      </w:r>
      <w:r w:rsidRPr="00C53A2D">
        <w:br/>
      </w:r>
      <w:r w:rsidR="00DC0768">
        <w:t>документы ECE/TRANS/WP.29/2013/69, ECE/TRANS/WP.29/GRE/2013/55/Rev.1, ECE/TRANS/WP.29/GRE/2014/3 и ECE/TRANS/WP.29/GRE/2016/30.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 года.</w:t>
      </w:r>
    </w:p>
    <w:p w:rsidR="00DC0768" w:rsidRPr="00BA6DD0" w:rsidRDefault="00DC0768" w:rsidP="00DC0768">
      <w:pPr>
        <w:spacing w:before="120" w:after="120" w:line="240" w:lineRule="auto"/>
        <w:ind w:left="1134" w:right="1140"/>
        <w:jc w:val="both"/>
      </w:pPr>
      <w:r w:rsidRPr="00BA6DD0">
        <w:br w:type="page"/>
      </w:r>
    </w:p>
    <w:p w:rsidR="00DC0768" w:rsidRDefault="00550BC9" w:rsidP="00550BC9">
      <w:pPr>
        <w:pStyle w:val="HChGR"/>
      </w:pPr>
      <w:r>
        <w:lastRenderedPageBreak/>
        <w:tab/>
      </w:r>
      <w:r>
        <w:tab/>
      </w:r>
      <w:r w:rsidR="00DC0768">
        <w:t xml:space="preserve">Дополнение </w:t>
      </w:r>
      <w:r w:rsidR="00DC0768" w:rsidRPr="00161842">
        <w:t>18</w:t>
      </w:r>
      <w:r w:rsidR="00DC0768">
        <w:t xml:space="preserve"> к Правилам № </w:t>
      </w:r>
      <w:r w:rsidR="00DC0768" w:rsidRPr="00161842">
        <w:t>4</w:t>
      </w:r>
      <w:r w:rsidR="00DC0768">
        <w:t xml:space="preserve"> (</w:t>
      </w:r>
      <w:r w:rsidR="00DC0768" w:rsidRPr="00571E93">
        <w:t xml:space="preserve">освещение заднего </w:t>
      </w:r>
      <w:r w:rsidR="00DC0768">
        <w:t>регистрацион</w:t>
      </w:r>
      <w:r w:rsidR="00DC0768" w:rsidRPr="00571E93">
        <w:t>ного знака</w:t>
      </w:r>
      <w:r w:rsidR="00DC0768">
        <w:t>)</w:t>
      </w:r>
    </w:p>
    <w:p w:rsidR="00DC0768" w:rsidRPr="007B5246" w:rsidRDefault="00DC0768" w:rsidP="00DC0768">
      <w:pPr>
        <w:pStyle w:val="SingleTxtGR"/>
        <w:tabs>
          <w:tab w:val="clear" w:pos="1701"/>
        </w:tabs>
        <w:rPr>
          <w:i/>
          <w:iCs/>
        </w:rPr>
      </w:pPr>
      <w:r w:rsidRPr="007B5246">
        <w:rPr>
          <w:i/>
        </w:rPr>
        <w:t>Пункт 1.3</w:t>
      </w:r>
      <w:r w:rsidRPr="007B5246">
        <w:t xml:space="preserve"> изменить следующим образом:</w:t>
      </w:r>
    </w:p>
    <w:p w:rsidR="00DC0768" w:rsidRPr="007B5246" w:rsidRDefault="00DC0768" w:rsidP="00DC0768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Pr="007B5246">
        <w:t>1.3</w:t>
      </w:r>
      <w:r w:rsidRPr="007B5246">
        <w:tab/>
        <w:t>"</w:t>
      </w:r>
      <w:r w:rsidRPr="00D15EF0">
        <w:rPr>
          <w:i/>
        </w:rPr>
        <w:t>фонари освещения заднего регистрационного знака разных типов</w:t>
      </w:r>
      <w:r w:rsidRPr="007B5246">
        <w:t xml:space="preserve">" означают фонари, которые различаются по таким существенным аспектам, как: </w:t>
      </w:r>
    </w:p>
    <w:p w:rsidR="00DC0768" w:rsidRPr="007B5246" w:rsidRDefault="00DC0768" w:rsidP="00DC0768">
      <w:pPr>
        <w:pStyle w:val="SingleTxtGR"/>
        <w:tabs>
          <w:tab w:val="clear" w:pos="1701"/>
        </w:tabs>
        <w:rPr>
          <w:iCs/>
        </w:rPr>
      </w:pPr>
      <w:r w:rsidRPr="007B5246">
        <w:tab/>
        <w:t>а)</w:t>
      </w:r>
      <w:r w:rsidRPr="007B5246">
        <w:tab/>
        <w:t>торговое наименование или товарный знак:</w:t>
      </w:r>
    </w:p>
    <w:p w:rsidR="00DC0768" w:rsidRPr="005C32D0" w:rsidRDefault="00DC0768" w:rsidP="00550BC9">
      <w:pPr>
        <w:pStyle w:val="SingleTxtGR"/>
        <w:tabs>
          <w:tab w:val="clear" w:pos="1701"/>
        </w:tabs>
        <w:ind w:left="3402" w:hanging="2268"/>
        <w:rPr>
          <w:bCs/>
          <w:iCs/>
        </w:rPr>
      </w:pPr>
      <w:r w:rsidRPr="007B5246">
        <w:rPr>
          <w:b/>
        </w:rPr>
        <w:tab/>
      </w:r>
      <w:r w:rsidRPr="005C32D0">
        <w:rPr>
          <w:bCs/>
        </w:rPr>
        <w:tab/>
        <w:t>i)</w:t>
      </w:r>
      <w:r w:rsidRPr="005C32D0">
        <w:rPr>
          <w:bCs/>
        </w:rPr>
        <w:tab/>
        <w:t>фонари, имеющие одно и то же торговое наименование или товарный знак, но произведенные различными изготовителями, рассматриваются в качестве фонарей различных типов;</w:t>
      </w:r>
    </w:p>
    <w:p w:rsidR="00DC0768" w:rsidRPr="00975709" w:rsidRDefault="00DC0768" w:rsidP="00550BC9">
      <w:pPr>
        <w:pStyle w:val="SingleTxtGR"/>
        <w:tabs>
          <w:tab w:val="clear" w:pos="1701"/>
        </w:tabs>
        <w:ind w:left="3402" w:hanging="2268"/>
        <w:rPr>
          <w:b/>
          <w:iCs/>
        </w:rPr>
      </w:pPr>
      <w:r w:rsidRPr="005C32D0">
        <w:rPr>
          <w:bCs/>
        </w:rPr>
        <w:tab/>
      </w:r>
      <w:r w:rsidRPr="005C32D0">
        <w:rPr>
          <w:bCs/>
        </w:rPr>
        <w:tab/>
        <w:t>ii)</w:t>
      </w:r>
      <w:r w:rsidRPr="005C32D0">
        <w:rPr>
          <w:bCs/>
        </w:rPr>
        <w:tab/>
        <w:t>фонари, произведенные одним и тем же изготовителем, отличающиеся только торговым наименованием или товарным знаком, рассматриваются в качестве фонарей одного типа;</w:t>
      </w:r>
    </w:p>
    <w:p w:rsidR="00DC0768" w:rsidRPr="007B5246" w:rsidRDefault="00DC0768" w:rsidP="00DC0768">
      <w:pPr>
        <w:pStyle w:val="SingleTxtGR"/>
        <w:tabs>
          <w:tab w:val="clear" w:pos="1701"/>
        </w:tabs>
      </w:pPr>
      <w:r w:rsidRPr="007B5246">
        <w:tab/>
        <w:t>b)</w:t>
      </w:r>
      <w:r w:rsidRPr="007B5246">
        <w:tab/>
        <w:t>характеристики...</w:t>
      </w:r>
      <w:r>
        <w:t>»</w:t>
      </w:r>
      <w:r w:rsidR="00550BC9">
        <w:t>.</w:t>
      </w:r>
    </w:p>
    <w:p w:rsidR="00DC0768" w:rsidRDefault="00DC0768" w:rsidP="00DC0768">
      <w:pPr>
        <w:pStyle w:val="SingleTxtGR"/>
        <w:tabs>
          <w:tab w:val="clear" w:pos="1701"/>
        </w:tabs>
      </w:pPr>
      <w:r w:rsidRPr="007B5246">
        <w:rPr>
          <w:i/>
        </w:rPr>
        <w:t>Пункт 2</w:t>
      </w:r>
      <w:r w:rsidRPr="00C32838">
        <w:rPr>
          <w:iCs/>
        </w:rPr>
        <w:t>,</w:t>
      </w:r>
      <w:r w:rsidR="00C939C6">
        <w:rPr>
          <w:iCs/>
        </w:rPr>
        <w:t xml:space="preserve"> </w:t>
      </w:r>
      <w:r w:rsidRPr="00C32838">
        <w:rPr>
          <w:iCs/>
        </w:rPr>
        <w:t xml:space="preserve">включить новые подпункты </w:t>
      </w:r>
      <w:r w:rsidRPr="00C32838">
        <w:rPr>
          <w:iCs/>
          <w:lang w:val="en-US"/>
        </w:rPr>
        <w:t>d</w:t>
      </w:r>
      <w:r w:rsidRPr="00C32838">
        <w:rPr>
          <w:iCs/>
        </w:rPr>
        <w:t xml:space="preserve">) и </w:t>
      </w:r>
      <w:r w:rsidRPr="00C32838">
        <w:rPr>
          <w:iCs/>
          <w:lang w:val="en-US"/>
        </w:rPr>
        <w:t>e</w:t>
      </w:r>
      <w:r w:rsidRPr="00C32838">
        <w:rPr>
          <w:iCs/>
        </w:rPr>
        <w:t>) и</w:t>
      </w:r>
      <w:r w:rsidRPr="007B5246">
        <w:t xml:space="preserve"> изменить следующим образом:</w:t>
      </w:r>
    </w:p>
    <w:p w:rsidR="00DC0768" w:rsidRPr="007B5246" w:rsidRDefault="00DC0768" w:rsidP="00DC0768">
      <w:pPr>
        <w:pStyle w:val="SingleTxtGR"/>
        <w:tabs>
          <w:tab w:val="clear" w:pos="1701"/>
        </w:tabs>
        <w:rPr>
          <w:i/>
          <w:iCs/>
        </w:rPr>
      </w:pPr>
      <w:r>
        <w:t>«2.</w:t>
      </w:r>
      <w:r>
        <w:tab/>
        <w:t>…</w:t>
      </w:r>
    </w:p>
    <w:p w:rsidR="00DC0768" w:rsidRDefault="00DC0768" w:rsidP="00DC0768">
      <w:pPr>
        <w:pStyle w:val="SingleTxtGR"/>
        <w:tabs>
          <w:tab w:val="clear" w:pos="1701"/>
        </w:tabs>
        <w:ind w:left="2835" w:hanging="1701"/>
      </w:pPr>
      <w:r>
        <w:tab/>
      </w:r>
      <w:r w:rsidRPr="007B5246">
        <w:t>с)</w:t>
      </w:r>
      <w:r w:rsidRPr="007B5246">
        <w:tab/>
        <w:t xml:space="preserve">два образца, оснащенные </w:t>
      </w:r>
      <w:r w:rsidRPr="005C32D0">
        <w:t>источником(ами) света</w:t>
      </w:r>
      <w:r>
        <w:t>;</w:t>
      </w:r>
    </w:p>
    <w:p w:rsidR="00DC0768" w:rsidRPr="00604B8B" w:rsidRDefault="00DC0768" w:rsidP="00DC0768">
      <w:pPr>
        <w:pStyle w:val="SingleTxtGR"/>
        <w:tabs>
          <w:tab w:val="clear" w:pos="1701"/>
        </w:tabs>
        <w:ind w:left="2835" w:hanging="1701"/>
      </w:pPr>
      <w:r w:rsidRPr="00CD567B">
        <w:tab/>
      </w:r>
      <w:r>
        <w:rPr>
          <w:lang w:val="en-US"/>
        </w:rPr>
        <w:t>d</w:t>
      </w:r>
      <w:r w:rsidRPr="00AE03DA">
        <w:t>)</w:t>
      </w:r>
      <w:r w:rsidRPr="00AE03DA">
        <w:tab/>
      </w:r>
      <w:r w:rsidRPr="00BE28CD">
        <w:t>в случае несъемной(ых) лампы (ламп) накаливания или модуля(ей) источника света, оснащенного(ых) несъемной(ыми) лампой(ами) накаливания, − документы в со</w:t>
      </w:r>
      <w:r>
        <w:t>ответствии с </w:t>
      </w:r>
      <w:r w:rsidRPr="00BE28CD">
        <w:t>пунктом 5.7 настоящих Правил</w:t>
      </w:r>
      <w:r>
        <w:t>;</w:t>
      </w:r>
    </w:p>
    <w:p w:rsidR="00DC0768" w:rsidRPr="00221A9A" w:rsidRDefault="00DC0768" w:rsidP="00DC0768">
      <w:pPr>
        <w:pStyle w:val="SingleTxtGR"/>
        <w:tabs>
          <w:tab w:val="clear" w:pos="1701"/>
        </w:tabs>
        <w:ind w:left="2835" w:hanging="1701"/>
        <w:rPr>
          <w:bCs/>
        </w:rPr>
      </w:pPr>
      <w:r>
        <w:tab/>
      </w:r>
      <w:r>
        <w:rPr>
          <w:lang w:val="en-US"/>
        </w:rPr>
        <w:t>e</w:t>
      </w:r>
      <w:r w:rsidRPr="00221A9A">
        <w:rPr>
          <w:bCs/>
        </w:rPr>
        <w:t>)</w:t>
      </w:r>
      <w:r w:rsidRPr="00221A9A">
        <w:rPr>
          <w:bCs/>
        </w:rPr>
        <w:tab/>
      </w:r>
      <w:r>
        <w:rPr>
          <w:bCs/>
        </w:rPr>
        <w:t>е</w:t>
      </w:r>
      <w:r w:rsidRPr="00221A9A">
        <w:rPr>
          <w:bCs/>
        </w:rPr>
        <w:t xml:space="preserve">сли речь идет о типе фонаря, отличающемся от ранее официально утвержденного типа только торговым наименованием или товарным знаком, то достаточно представить: </w:t>
      </w:r>
    </w:p>
    <w:p w:rsidR="00DC0768" w:rsidRPr="00221A9A" w:rsidRDefault="00DC0768" w:rsidP="00550BC9">
      <w:pPr>
        <w:pStyle w:val="SingleTxtGR"/>
        <w:tabs>
          <w:tab w:val="clear" w:pos="1701"/>
        </w:tabs>
        <w:ind w:left="3402" w:hanging="2268"/>
        <w:rPr>
          <w:bCs/>
        </w:rPr>
      </w:pPr>
      <w:r w:rsidRPr="00221A9A">
        <w:rPr>
          <w:bCs/>
        </w:rPr>
        <w:tab/>
      </w:r>
      <w:r w:rsidRPr="00221A9A">
        <w:rPr>
          <w:bCs/>
        </w:rPr>
        <w:tab/>
        <w:t>i)</w:t>
      </w:r>
      <w:r w:rsidRPr="00221A9A">
        <w:rPr>
          <w:bCs/>
        </w:rPr>
        <w:tab/>
        <w:t xml:space="preserve">заявление изготовителя фонаря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 </w:t>
      </w:r>
    </w:p>
    <w:p w:rsidR="00DC0768" w:rsidRPr="00BA6DD0" w:rsidRDefault="00DC0768" w:rsidP="00550BC9">
      <w:pPr>
        <w:pStyle w:val="SingleTxtGR"/>
        <w:tabs>
          <w:tab w:val="clear" w:pos="1701"/>
        </w:tabs>
        <w:ind w:left="3402" w:hanging="2268"/>
      </w:pPr>
      <w:r w:rsidRPr="00221A9A">
        <w:rPr>
          <w:bCs/>
        </w:rPr>
        <w:tab/>
      </w:r>
      <w:r w:rsidRPr="00221A9A">
        <w:rPr>
          <w:bCs/>
        </w:rPr>
        <w:tab/>
        <w:t>ii)</w:t>
      </w:r>
      <w:r w:rsidRPr="00221A9A">
        <w:rPr>
          <w:bCs/>
        </w:rPr>
        <w:tab/>
        <w:t>два образца с новым торговым наименованием или товарным знаком либо соответствующие документы</w:t>
      </w:r>
      <w:r>
        <w:rPr>
          <w:bCs/>
        </w:rPr>
        <w:t>»</w:t>
      </w:r>
      <w:r w:rsidRPr="005C32D0">
        <w:t>.</w:t>
      </w:r>
      <w:r>
        <w:t xml:space="preserve"> </w:t>
      </w:r>
    </w:p>
    <w:p w:rsidR="00DC0768" w:rsidRPr="00A40228" w:rsidRDefault="00DC0768" w:rsidP="00DC0768">
      <w:pPr>
        <w:pStyle w:val="SingleTxtGR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3.3</w:t>
      </w:r>
      <w:r>
        <w:rPr>
          <w:i/>
          <w:lang w:eastAsia="it-IT"/>
        </w:rPr>
        <w:t xml:space="preserve"> </w:t>
      </w:r>
      <w:r w:rsidRPr="00A40228">
        <w:rPr>
          <w:lang w:val="it-IT" w:eastAsia="it-IT"/>
        </w:rPr>
        <w:t>изменить следующим образом:</w:t>
      </w:r>
    </w:p>
    <w:p w:rsidR="00DC0768" w:rsidRPr="00A40228" w:rsidRDefault="00DC0768" w:rsidP="00DC0768">
      <w:pPr>
        <w:pStyle w:val="SingleTxtGR"/>
        <w:tabs>
          <w:tab w:val="clear" w:pos="1701"/>
        </w:tabs>
        <w:ind w:left="2268" w:hanging="1134"/>
        <w:rPr>
          <w:strike/>
        </w:rPr>
      </w:pPr>
      <w:r>
        <w:rPr>
          <w:lang w:val="it-IT"/>
        </w:rPr>
        <w:t>«</w:t>
      </w:r>
      <w:r w:rsidRPr="000419B1">
        <w:rPr>
          <w:lang w:val="it-IT"/>
        </w:rPr>
        <w:t>3.3</w:t>
      </w:r>
      <w:r w:rsidRPr="000419B1">
        <w:rPr>
          <w:lang w:val="it-IT"/>
        </w:rPr>
        <w:tab/>
      </w:r>
      <w:r w:rsidRPr="000419B1">
        <w:t>в</w:t>
      </w:r>
      <w:r w:rsidRPr="000419B1">
        <w:rPr>
          <w:lang w:val="it-IT"/>
        </w:rPr>
        <w:t xml:space="preserve"> </w:t>
      </w:r>
      <w:r w:rsidRPr="000419B1">
        <w:t>случае</w:t>
      </w:r>
      <w:r w:rsidRPr="000419B1">
        <w:rPr>
          <w:lang w:val="it-IT"/>
        </w:rPr>
        <w:t xml:space="preserve"> </w:t>
      </w:r>
      <w:r w:rsidRPr="000419B1">
        <w:t>фонарей</w:t>
      </w:r>
      <w:r w:rsidRPr="000419B1">
        <w:rPr>
          <w:lang w:val="it-IT"/>
        </w:rPr>
        <w:t xml:space="preserve"> </w:t>
      </w:r>
      <w:r w:rsidRPr="000419B1">
        <w:t>с</w:t>
      </w:r>
      <w:r w:rsidRPr="000419B1">
        <w:rPr>
          <w:lang w:val="it-IT"/>
        </w:rPr>
        <w:t xml:space="preserve"> </w:t>
      </w:r>
      <w:r w:rsidRPr="000419B1">
        <w:t>несменными</w:t>
      </w:r>
      <w:r w:rsidRPr="000419B1">
        <w:rPr>
          <w:lang w:val="it-IT"/>
        </w:rPr>
        <w:t xml:space="preserve"> </w:t>
      </w:r>
      <w:r w:rsidRPr="000419B1">
        <w:t>источниками</w:t>
      </w:r>
      <w:r w:rsidRPr="000419B1">
        <w:rPr>
          <w:lang w:val="it-IT"/>
        </w:rPr>
        <w:t xml:space="preserve"> </w:t>
      </w:r>
      <w:r w:rsidRPr="000419B1">
        <w:t>света</w:t>
      </w:r>
      <w:r w:rsidRPr="000419B1">
        <w:rPr>
          <w:lang w:val="it-IT"/>
        </w:rPr>
        <w:t xml:space="preserve"> </w:t>
      </w:r>
      <w:r w:rsidRPr="000419B1">
        <w:t>или</w:t>
      </w:r>
      <w:r w:rsidRPr="000419B1">
        <w:rPr>
          <w:lang w:val="it-IT"/>
        </w:rPr>
        <w:t xml:space="preserve"> </w:t>
      </w:r>
      <w:r w:rsidRPr="000419B1">
        <w:t>модуля</w:t>
      </w:r>
      <w:r w:rsidRPr="000419B1">
        <w:rPr>
          <w:lang w:val="it-IT"/>
        </w:rPr>
        <w:t>(</w:t>
      </w:r>
      <w:r w:rsidRPr="000419B1">
        <w:t>ей</w:t>
      </w:r>
      <w:r w:rsidRPr="000419B1">
        <w:rPr>
          <w:lang w:val="it-IT"/>
        </w:rPr>
        <w:t xml:space="preserve">) </w:t>
      </w:r>
      <w:r w:rsidRPr="000419B1">
        <w:t>источника</w:t>
      </w:r>
      <w:r w:rsidRPr="000419B1">
        <w:rPr>
          <w:lang w:val="it-IT"/>
        </w:rPr>
        <w:t xml:space="preserve"> </w:t>
      </w:r>
      <w:r w:rsidRPr="000419B1">
        <w:t>света</w:t>
      </w:r>
      <w:r w:rsidRPr="000419B1">
        <w:rPr>
          <w:lang w:val="it-IT"/>
        </w:rPr>
        <w:t xml:space="preserve"> </w:t>
      </w:r>
      <w:r>
        <w:t xml:space="preserve">– </w:t>
      </w:r>
      <w:r w:rsidRPr="000419B1">
        <w:t>маркировку</w:t>
      </w:r>
      <w:r w:rsidRPr="000419B1">
        <w:rPr>
          <w:lang w:val="it-IT"/>
        </w:rPr>
        <w:t xml:space="preserve">, </w:t>
      </w:r>
      <w:r w:rsidRPr="000419B1">
        <w:t>указывающую</w:t>
      </w:r>
      <w:r w:rsidRPr="000419B1">
        <w:rPr>
          <w:lang w:val="it-IT"/>
        </w:rPr>
        <w:t xml:space="preserve"> </w:t>
      </w:r>
      <w:r w:rsidRPr="000419B1">
        <w:t>номинальное</w:t>
      </w:r>
      <w:r w:rsidRPr="000419B1">
        <w:rPr>
          <w:lang w:val="it-IT"/>
        </w:rPr>
        <w:t xml:space="preserve"> </w:t>
      </w:r>
      <w:r w:rsidRPr="000419B1">
        <w:t>напряжение</w:t>
      </w:r>
      <w:r w:rsidRPr="000419B1">
        <w:rPr>
          <w:lang w:val="it-IT"/>
        </w:rPr>
        <w:t xml:space="preserve"> </w:t>
      </w:r>
      <w:r w:rsidRPr="000419B1">
        <w:t>или</w:t>
      </w:r>
      <w:r w:rsidRPr="000419B1">
        <w:rPr>
          <w:lang w:val="it-IT"/>
        </w:rPr>
        <w:t xml:space="preserve"> </w:t>
      </w:r>
      <w:r w:rsidRPr="000419B1">
        <w:t>диапазон</w:t>
      </w:r>
      <w:r w:rsidRPr="000419B1">
        <w:rPr>
          <w:lang w:val="it-IT"/>
        </w:rPr>
        <w:t xml:space="preserve"> </w:t>
      </w:r>
      <w:r w:rsidRPr="000419B1">
        <w:t>напряжений</w:t>
      </w:r>
      <w:r w:rsidRPr="00FE7869">
        <w:rPr>
          <w:lang w:val="it-IT"/>
        </w:rPr>
        <w:t>;</w:t>
      </w:r>
      <w:r>
        <w:t>»</w:t>
      </w:r>
      <w:r w:rsidR="008C2D6E">
        <w:t>.</w:t>
      </w:r>
    </w:p>
    <w:p w:rsidR="00DC0768" w:rsidRPr="00A40228" w:rsidRDefault="00DC0768" w:rsidP="00DC0768">
      <w:pPr>
        <w:pStyle w:val="SingleTxtGR"/>
        <w:tabs>
          <w:tab w:val="clear" w:pos="1701"/>
        </w:tabs>
        <w:ind w:left="2268" w:hanging="1134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3.5.3</w:t>
      </w:r>
      <w:r>
        <w:rPr>
          <w:i/>
          <w:lang w:eastAsia="it-IT"/>
        </w:rPr>
        <w:t xml:space="preserve"> </w:t>
      </w:r>
      <w:r w:rsidRPr="00A40228">
        <w:rPr>
          <w:lang w:val="it-IT" w:eastAsia="it-IT"/>
        </w:rPr>
        <w:t>изменить следующим образом:</w:t>
      </w:r>
    </w:p>
    <w:p w:rsidR="00DC0768" w:rsidRDefault="00DC0768" w:rsidP="00DC0768">
      <w:pPr>
        <w:pStyle w:val="SingleTxtGR"/>
        <w:tabs>
          <w:tab w:val="clear" w:pos="1701"/>
        </w:tabs>
        <w:ind w:left="2268" w:hanging="1134"/>
        <w:rPr>
          <w:i/>
        </w:rPr>
      </w:pPr>
      <w:r>
        <w:t>«3.5.3</w:t>
      </w:r>
      <w:r w:rsidRPr="001B4668">
        <w:tab/>
        <w:t>маркировка с указанием номинального напряжения</w:t>
      </w:r>
      <w:r>
        <w:t xml:space="preserve"> или диапазона напряжений».</w:t>
      </w:r>
    </w:p>
    <w:p w:rsidR="00DC0768" w:rsidRPr="00BA6DD0" w:rsidRDefault="00DC0768" w:rsidP="00550BC9">
      <w:pPr>
        <w:keepNext/>
        <w:spacing w:after="120"/>
        <w:ind w:left="1985" w:right="1134" w:hanging="851"/>
        <w:rPr>
          <w:i/>
          <w:iCs/>
        </w:rPr>
      </w:pPr>
      <w:r w:rsidRPr="00A76F19">
        <w:rPr>
          <w:i/>
          <w:iCs/>
        </w:rPr>
        <w:lastRenderedPageBreak/>
        <w:t xml:space="preserve">Пункт 5 </w:t>
      </w:r>
      <w:r>
        <w:t>изменить следующим образом:</w:t>
      </w:r>
    </w:p>
    <w:p w:rsidR="00DC0768" w:rsidRPr="00A76F19" w:rsidRDefault="00DC0768" w:rsidP="00550BC9">
      <w:pPr>
        <w:pStyle w:val="SingleTxtGR"/>
        <w:keepNext/>
        <w:tabs>
          <w:tab w:val="clear" w:pos="1701"/>
        </w:tabs>
        <w:ind w:left="2268" w:hanging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A76F19">
        <w:rPr>
          <w:b/>
          <w:bCs/>
          <w:sz w:val="24"/>
          <w:szCs w:val="24"/>
        </w:rPr>
        <w:t>5.</w:t>
      </w:r>
      <w:r w:rsidRPr="00A76F19">
        <w:rPr>
          <w:b/>
          <w:bCs/>
          <w:sz w:val="24"/>
          <w:szCs w:val="24"/>
        </w:rPr>
        <w:tab/>
        <w:t>Общие технические требования</w:t>
      </w:r>
    </w:p>
    <w:p w:rsidR="00DC0768" w:rsidRDefault="00DC0768" w:rsidP="00DC0768">
      <w:pPr>
        <w:pStyle w:val="SingleTxtGR"/>
        <w:tabs>
          <w:tab w:val="clear" w:pos="1701"/>
        </w:tabs>
        <w:ind w:left="2268"/>
      </w:pPr>
      <w:r w:rsidRPr="0001740A">
        <w:t xml:space="preserve"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</w:t>
      </w:r>
      <w:r>
        <w:t>п</w:t>
      </w:r>
      <w:r w:rsidRPr="0001740A">
        <w:t>равил № 48</w:t>
      </w:r>
      <w:r>
        <w:t>, 53, 74</w:t>
      </w:r>
      <w:r w:rsidRPr="0001740A">
        <w:t xml:space="preserve"> и</w:t>
      </w:r>
      <w:r>
        <w:t>ли</w:t>
      </w:r>
      <w:r w:rsidRPr="0001740A">
        <w:t xml:space="preserve"> 86 и серий поправок к ним, действующих на момент подачи заявки на официальное утверждение типа </w:t>
      </w:r>
      <w:r>
        <w:t>приспособления</w:t>
      </w:r>
      <w:r w:rsidRPr="0001740A">
        <w:t>.</w:t>
      </w:r>
    </w:p>
    <w:p w:rsidR="00DC0768" w:rsidRDefault="00DC0768" w:rsidP="00DC0768">
      <w:pPr>
        <w:pStyle w:val="SingleTxtGR"/>
        <w:tabs>
          <w:tab w:val="clear" w:pos="1701"/>
        </w:tabs>
        <w:ind w:left="2268"/>
      </w:pPr>
      <w:r w:rsidRPr="0004060C">
        <w:t xml:space="preserve">Если возможно проведение проверки </w:t>
      </w:r>
      <w:r>
        <w:t>приспособления</w:t>
      </w:r>
      <w:r w:rsidRPr="0004060C">
        <w:t xml:space="preserve"> в момент официального утверждения его типа, то применяют требования, касающиеся каждого </w:t>
      </w:r>
      <w:r>
        <w:t>приспособления</w:t>
      </w:r>
      <w:r w:rsidRPr="0004060C">
        <w:t xml:space="preserve"> и категории/ий транспортных средств, для использования на которых предназначен</w:t>
      </w:r>
      <w:r>
        <w:t>о</w:t>
      </w:r>
      <w:r w:rsidRPr="0004060C">
        <w:t xml:space="preserve"> данн</w:t>
      </w:r>
      <w:r>
        <w:t>ое приспособление.</w:t>
      </w:r>
    </w:p>
    <w:p w:rsidR="00DC0768" w:rsidRDefault="00DC0768" w:rsidP="00DC0768">
      <w:pPr>
        <w:pStyle w:val="SingleTxtGR"/>
        <w:tabs>
          <w:tab w:val="clear" w:pos="1701"/>
        </w:tabs>
        <w:ind w:left="2268"/>
        <w:rPr>
          <w:bCs/>
          <w:snapToGrid w:val="0"/>
          <w:lang w:eastAsia="it-IT"/>
        </w:rPr>
      </w:pPr>
      <w:r w:rsidRPr="0091250E">
        <w:rPr>
          <w:bCs/>
          <w:snapToGrid w:val="0"/>
          <w:lang w:eastAsia="it-IT"/>
        </w:rPr>
        <w:t xml:space="preserve">Каждое </w:t>
      </w:r>
      <w:r>
        <w:rPr>
          <w:bCs/>
          <w:snapToGrid w:val="0"/>
          <w:lang w:eastAsia="it-IT"/>
        </w:rPr>
        <w:t>приспособление</w:t>
      </w:r>
      <w:r w:rsidRPr="0091250E">
        <w:rPr>
          <w:bCs/>
          <w:snapToGrid w:val="0"/>
          <w:lang w:eastAsia="it-IT"/>
        </w:rPr>
        <w:t xml:space="preserve"> должно удовлетворять положениям пункта</w:t>
      </w:r>
      <w:r w:rsidR="00550BC9">
        <w:rPr>
          <w:bCs/>
          <w:snapToGrid w:val="0"/>
          <w:lang w:eastAsia="it-IT"/>
        </w:rPr>
        <w:t> </w:t>
      </w:r>
      <w:r w:rsidRPr="0091250E">
        <w:rPr>
          <w:bCs/>
          <w:snapToGrid w:val="0"/>
          <w:lang w:eastAsia="it-IT"/>
        </w:rPr>
        <w:t>9</w:t>
      </w:r>
      <w:r w:rsidRPr="007A491A">
        <w:rPr>
          <w:bCs/>
          <w:snapToGrid w:val="0"/>
          <w:vertAlign w:val="superscript"/>
          <w:lang w:eastAsia="it-IT"/>
        </w:rPr>
        <w:t>4</w:t>
      </w:r>
      <w:r>
        <w:rPr>
          <w:bCs/>
          <w:snapToGrid w:val="0"/>
          <w:lang w:eastAsia="it-IT"/>
        </w:rPr>
        <w:t>.</w:t>
      </w:r>
    </w:p>
    <w:p w:rsidR="00DC0768" w:rsidRPr="00FF4402" w:rsidRDefault="00DC0768" w:rsidP="00DC0768">
      <w:pPr>
        <w:pStyle w:val="SingleTxtGR"/>
        <w:rPr>
          <w:iCs/>
        </w:rPr>
      </w:pPr>
      <w:r>
        <w:rPr>
          <w:iCs/>
        </w:rPr>
        <w:t>5.1</w:t>
      </w:r>
      <w:r>
        <w:rPr>
          <w:iCs/>
        </w:rPr>
        <w:tab/>
      </w:r>
      <w:r>
        <w:rPr>
          <w:iCs/>
        </w:rPr>
        <w:tab/>
        <w:t>…»</w:t>
      </w:r>
      <w:r w:rsidR="000764AF">
        <w:rPr>
          <w:iCs/>
        </w:rPr>
        <w:t>.</w:t>
      </w:r>
    </w:p>
    <w:p w:rsidR="00DC0768" w:rsidRPr="00317A84" w:rsidRDefault="00DC0768" w:rsidP="00DC0768">
      <w:pPr>
        <w:pStyle w:val="SingleTxtGR"/>
      </w:pPr>
      <w:r w:rsidRPr="009C15E5">
        <w:rPr>
          <w:i/>
        </w:rPr>
        <w:t>Включить новый пункт 5.7</w:t>
      </w:r>
      <w:r w:rsidRPr="00317A84">
        <w:t xml:space="preserve"> следующего содержания:</w:t>
      </w:r>
    </w:p>
    <w:p w:rsidR="00DC0768" w:rsidRPr="00E93FAB" w:rsidRDefault="00DE6706" w:rsidP="00DC0768">
      <w:pPr>
        <w:pStyle w:val="SingleTxtGR"/>
        <w:ind w:left="2268" w:hanging="1134"/>
      </w:pPr>
      <w:r>
        <w:t>«</w:t>
      </w:r>
      <w:r w:rsidR="00DC0768" w:rsidRPr="00E93FAB">
        <w:t>5.7</w:t>
      </w:r>
      <w:r w:rsidR="00DC0768" w:rsidRPr="00E93FAB">
        <w:tab/>
      </w:r>
      <w:r w:rsidR="00DC0768" w:rsidRPr="00E93FAB">
        <w:tab/>
        <w:t xml:space="preserve">В случае несъемной(ых) лампы (ламп) накаливания или модуля(ей) источника света, оснащенного(ых) несъемной(ыми) лампой(ами) накаливания, податель заявки прилагает к документации об официальном утверждении типа протокол (составленный изготовителем источника света, указанным в документации об официальном утверждении типа), приемлемый для компетентного органа, ответственного за официальное утверждение типа, и подтверждающий соответствие этой(их) несъемной(ых) лампы (ламп) накаливания требованиям, предусмотренным в пункте </w:t>
      </w:r>
      <w:r w:rsidR="00DC0768">
        <w:t>4</w:t>
      </w:r>
      <w:r w:rsidR="00DC0768" w:rsidRPr="00E93FAB">
        <w:t>.11 публикации МЭК</w:t>
      </w:r>
      <w:r w:rsidR="000764AF">
        <w:t> </w:t>
      </w:r>
      <w:r w:rsidR="00DC0768" w:rsidRPr="00E93FAB">
        <w:t>60809, издание 3</w:t>
      </w:r>
      <w:r>
        <w:t>»</w:t>
      </w:r>
      <w:r w:rsidR="00DC0768" w:rsidRPr="00E93FAB">
        <w:t>.</w:t>
      </w:r>
    </w:p>
    <w:p w:rsidR="00DC0768" w:rsidRPr="00E63DFB" w:rsidRDefault="00DC0768" w:rsidP="00DC0768">
      <w:pPr>
        <w:pStyle w:val="SingleTxtGR"/>
      </w:pPr>
      <w:r>
        <w:rPr>
          <w:i/>
        </w:rPr>
        <w:t>Пункт 10.1</w:t>
      </w:r>
      <w:r w:rsidRPr="00E63DFB">
        <w:rPr>
          <w:i/>
        </w:rPr>
        <w:t xml:space="preserve"> </w:t>
      </w:r>
      <w:r w:rsidRPr="00E93FAB">
        <w:t>изменить следующим образом</w:t>
      </w:r>
      <w:r w:rsidRPr="00E63DFB">
        <w:t>:</w:t>
      </w:r>
    </w:p>
    <w:p w:rsidR="00DC0768" w:rsidRPr="00F46878" w:rsidRDefault="000764AF" w:rsidP="00DC0768">
      <w:pPr>
        <w:pStyle w:val="SingleTxtGR"/>
        <w:ind w:left="2268" w:hanging="1134"/>
      </w:pPr>
      <w:r>
        <w:t>«</w:t>
      </w:r>
      <w:r w:rsidR="00DC0768" w:rsidRPr="00F46878">
        <w:t>10.1</w:t>
      </w:r>
      <w:r w:rsidR="00DC0768" w:rsidRPr="00F46878">
        <w:tab/>
      </w:r>
      <w:r w:rsidR="00DC0768" w:rsidRPr="00F46878">
        <w:tab/>
        <w:t xml:space="preserve">Приспособления для освещения заднего </w:t>
      </w:r>
      <w:r w:rsidR="00DC0768">
        <w:t>регистрацион</w:t>
      </w:r>
      <w:r w:rsidR="00DC0768" w:rsidRPr="00F46878">
        <w:t>ного знака (далее называемые приспособлениями) изготавливают таким образом, чтобы они соответствовали типу, официально утвержденному на основании настоящих Правил. Если для обеспечения соответствия предписаниям настоящи</w:t>
      </w:r>
      <w:r w:rsidR="00DC0768">
        <w:t>х</w:t>
      </w:r>
      <w:r w:rsidR="00DC0768" w:rsidRPr="00F46878">
        <w:t xml:space="preserve"> Правил требуется более одного приспособления, то в последующем тексте под приспособлением подразумевается набор приспособлений.</w:t>
      </w:r>
    </w:p>
    <w:p w:rsidR="00DC0768" w:rsidRPr="00F46878" w:rsidRDefault="00DC0768" w:rsidP="00DC0768">
      <w:pPr>
        <w:pStyle w:val="SingleTxtGR"/>
        <w:ind w:left="2268"/>
      </w:pPr>
      <w:r w:rsidRPr="00F46878">
        <w:t xml:space="preserve">Проверку соответствия </w:t>
      </w:r>
      <w:r>
        <w:t>требов</w:t>
      </w:r>
      <w:r w:rsidRPr="00F46878">
        <w:t>аниям, изложенным в пунктах</w:t>
      </w:r>
      <w:r w:rsidRPr="00F46878">
        <w:rPr>
          <w:lang w:val="en-US"/>
        </w:rPr>
        <w:t> </w:t>
      </w:r>
      <w:r w:rsidRPr="00F46878">
        <w:t>5, 6 и</w:t>
      </w:r>
      <w:r w:rsidR="000764AF">
        <w:t> </w:t>
      </w:r>
      <w:r w:rsidRPr="00F46878">
        <w:t>9 вы</w:t>
      </w:r>
      <w:r w:rsidR="000764AF">
        <w:t>ше, проводят следующим образом:</w:t>
      </w:r>
      <w:r w:rsidR="00DE6706">
        <w:t>».</w:t>
      </w:r>
    </w:p>
    <w:p w:rsidR="00DC0768" w:rsidRPr="00E63DFB" w:rsidRDefault="00DC0768" w:rsidP="00DC0768">
      <w:pPr>
        <w:pStyle w:val="SingleTxtGR"/>
      </w:pPr>
      <w:r w:rsidRPr="00E63DFB">
        <w:rPr>
          <w:i/>
        </w:rPr>
        <w:t xml:space="preserve">Пункт </w:t>
      </w:r>
      <w:r>
        <w:rPr>
          <w:i/>
        </w:rPr>
        <w:t>10</w:t>
      </w:r>
      <w:r w:rsidRPr="00E63DFB">
        <w:rPr>
          <w:i/>
        </w:rPr>
        <w:t>.2 (прежний)</w:t>
      </w:r>
      <w:r>
        <w:rPr>
          <w:iCs/>
        </w:rPr>
        <w:t>,</w:t>
      </w:r>
      <w:r>
        <w:t xml:space="preserve"> изменить нумерацию на 10</w:t>
      </w:r>
      <w:r w:rsidRPr="00E63DFB">
        <w:t>.1.1.</w:t>
      </w:r>
    </w:p>
    <w:p w:rsidR="00DC0768" w:rsidRPr="00E63DFB" w:rsidRDefault="00DC0768" w:rsidP="00DC0768">
      <w:pPr>
        <w:pStyle w:val="SingleTxtGR"/>
      </w:pPr>
      <w:r w:rsidRPr="00E63DFB">
        <w:rPr>
          <w:i/>
        </w:rPr>
        <w:t xml:space="preserve">Пункт </w:t>
      </w:r>
      <w:r>
        <w:rPr>
          <w:i/>
        </w:rPr>
        <w:t>10</w:t>
      </w:r>
      <w:r w:rsidRPr="00E63DFB">
        <w:rPr>
          <w:i/>
        </w:rPr>
        <w:t>.3 (прежний</w:t>
      </w:r>
      <w:r w:rsidR="00DE6706">
        <w:rPr>
          <w:i/>
        </w:rPr>
        <w:t>)</w:t>
      </w:r>
      <w:r>
        <w:rPr>
          <w:iCs/>
        </w:rPr>
        <w:t>,</w:t>
      </w:r>
      <w:r>
        <w:t xml:space="preserve"> изменить нумерацию на</w:t>
      </w:r>
      <w:r w:rsidRPr="00E63DFB">
        <w:t xml:space="preserve"> </w:t>
      </w:r>
      <w:r>
        <w:t>10</w:t>
      </w:r>
      <w:r w:rsidRPr="00E63DFB">
        <w:t>.1.2.</w:t>
      </w:r>
    </w:p>
    <w:p w:rsidR="00DC0768" w:rsidRPr="00E63DFB" w:rsidRDefault="00DC0768" w:rsidP="00DC0768">
      <w:pPr>
        <w:pStyle w:val="SingleTxtGR"/>
      </w:pPr>
      <w:r w:rsidRPr="00E63DFB">
        <w:rPr>
          <w:i/>
        </w:rPr>
        <w:t xml:space="preserve">Пункт </w:t>
      </w:r>
      <w:r>
        <w:rPr>
          <w:i/>
        </w:rPr>
        <w:t>10</w:t>
      </w:r>
      <w:r w:rsidRPr="00E63DFB">
        <w:rPr>
          <w:i/>
        </w:rPr>
        <w:t>.4 (прежний)</w:t>
      </w:r>
      <w:r>
        <w:rPr>
          <w:iCs/>
        </w:rPr>
        <w:t>,</w:t>
      </w:r>
      <w:r>
        <w:t xml:space="preserve"> изменить нумерацию на</w:t>
      </w:r>
      <w:r w:rsidRPr="00E63DFB">
        <w:t xml:space="preserve"> </w:t>
      </w:r>
      <w:r>
        <w:t>10</w:t>
      </w:r>
      <w:r w:rsidRPr="00E63DFB">
        <w:t>.2.</w:t>
      </w:r>
    </w:p>
    <w:p w:rsidR="00DC0768" w:rsidRPr="00317A84" w:rsidRDefault="00DC0768" w:rsidP="00DC0768">
      <w:pPr>
        <w:pStyle w:val="SingleTxtGR"/>
      </w:pPr>
      <w:r>
        <w:rPr>
          <w:i/>
        </w:rPr>
        <w:t>Включить новый пункт 10.3</w:t>
      </w:r>
      <w:r w:rsidRPr="009C15E5">
        <w:rPr>
          <w:i/>
        </w:rPr>
        <w:t xml:space="preserve"> </w:t>
      </w:r>
      <w:r w:rsidRPr="00317A84">
        <w:t>следующего содержания:</w:t>
      </w:r>
    </w:p>
    <w:p w:rsidR="00DC0768" w:rsidRPr="003D4FB5" w:rsidRDefault="00DE6706" w:rsidP="00DC0768">
      <w:pPr>
        <w:pStyle w:val="SingleTxtGR"/>
        <w:ind w:left="2268" w:hanging="1134"/>
      </w:pPr>
      <w:r>
        <w:t>«</w:t>
      </w:r>
      <w:r w:rsidR="00DC0768" w:rsidRPr="003D4FB5">
        <w:t>10.3</w:t>
      </w:r>
      <w:r w:rsidR="00DC0768" w:rsidRPr="003D4FB5">
        <w:tab/>
      </w:r>
      <w:r w:rsidR="00DC0768" w:rsidRPr="003D4FB5">
        <w:tab/>
        <w:t>В случае несъемной(ых) лампы (ламп) накаливания или модуля(ей) источника света, оснащенного(ых) несъемными лампами накаливания, в протоколе (составленном изготовителем источника света, указанным в документации об официальном утверждении типа) должно быть подтверждено соответствие этой(их) несъемной(ых) лампы (ламп) накаливания требованиям к сроку службы, а в слу</w:t>
      </w:r>
      <w:r w:rsidR="00D36397">
        <w:t>-</w:t>
      </w:r>
      <w:r w:rsidR="00DC0768" w:rsidRPr="003D4FB5">
        <w:t>чае ламп накаливания с цветным покрытием – требованиям к цветостойкости, предусмотренн</w:t>
      </w:r>
      <w:r w:rsidR="00DC0768">
        <w:t>ым в пункте 4.11 публикации МЭК</w:t>
      </w:r>
      <w:r>
        <w:t> </w:t>
      </w:r>
      <w:r w:rsidR="00DC0768" w:rsidRPr="003D4FB5">
        <w:t>60809, издание 3</w:t>
      </w:r>
      <w:r>
        <w:t>»</w:t>
      </w:r>
      <w:r w:rsidR="00DC0768" w:rsidRPr="003D4FB5">
        <w:t>.</w:t>
      </w:r>
    </w:p>
    <w:p w:rsidR="00DC0768" w:rsidRDefault="00DC0768" w:rsidP="00DC0768">
      <w:pPr>
        <w:pStyle w:val="SingleTxtGR"/>
        <w:rPr>
          <w:i/>
        </w:rPr>
      </w:pPr>
      <w:r w:rsidRPr="00E63DFB">
        <w:rPr>
          <w:i/>
        </w:rPr>
        <w:t>Приложение 6</w:t>
      </w:r>
    </w:p>
    <w:p w:rsidR="00DC0768" w:rsidRDefault="00DC0768" w:rsidP="00DC0768">
      <w:pPr>
        <w:pStyle w:val="SingleTxtGR"/>
      </w:pPr>
      <w:r>
        <w:rPr>
          <w:i/>
        </w:rPr>
        <w:t>П</w:t>
      </w:r>
      <w:r w:rsidRPr="00E63DFB">
        <w:rPr>
          <w:i/>
        </w:rPr>
        <w:t>ункт</w:t>
      </w:r>
      <w:r>
        <w:rPr>
          <w:i/>
        </w:rPr>
        <w:t xml:space="preserve"> 1.2 </w:t>
      </w:r>
      <w:r w:rsidRPr="00E63DFB">
        <w:t>изменить следующим образом:</w:t>
      </w:r>
    </w:p>
    <w:p w:rsidR="00DC0768" w:rsidRPr="007B1ABF" w:rsidRDefault="00DE6706" w:rsidP="00DC0768">
      <w:pPr>
        <w:pStyle w:val="SingleTxtGR"/>
        <w:ind w:left="2268" w:hanging="1134"/>
      </w:pPr>
      <w:r>
        <w:t>«</w:t>
      </w:r>
      <w:r w:rsidR="00DC0768" w:rsidRPr="007B1ABF">
        <w:t>1.2</w:t>
      </w:r>
      <w:r w:rsidR="00DC0768" w:rsidRPr="007B1ABF">
        <w:tab/>
      </w:r>
      <w:r w:rsidR="00DC0768" w:rsidRPr="007B1ABF">
        <w:tab/>
        <w:t>Что касается фотометрических характеристик, то соответствие серийных приспособлений считают доказанным, если при испытании</w:t>
      </w:r>
      <w:r>
        <w:t> </w:t>
      </w:r>
      <w:r w:rsidR="00DC0768" w:rsidRPr="007B1ABF">
        <w:t>− согласно пункту 8 настоящих Правил − фотометрических характеристик, указанных в пункте 9 настоящих Правил, любого произвольно выбранного приспособления, оснащенного стандартным источником света, или в случае приспособлений, оснащенных несменными источниками света (ламп</w:t>
      </w:r>
      <w:r w:rsidR="00DC0768">
        <w:t>ами</w:t>
      </w:r>
      <w:r w:rsidR="00DC0768" w:rsidRPr="007B1ABF">
        <w:t xml:space="preserve"> накаливания или други</w:t>
      </w:r>
      <w:r w:rsidR="00DC0768">
        <w:t>ми</w:t>
      </w:r>
      <w:r w:rsidR="00DC0768" w:rsidRPr="007B1ABF">
        <w:t xml:space="preserve"> ис</w:t>
      </w:r>
      <w:r w:rsidR="00DC0768">
        <w:t>точниками</w:t>
      </w:r>
      <w:r w:rsidR="00DC0768" w:rsidRPr="007B1ABF">
        <w:t>), и</w:t>
      </w:r>
      <w:r w:rsidR="00DC0768">
        <w:t xml:space="preserve"> </w:t>
      </w:r>
      <w:r w:rsidR="00DC0768" w:rsidRPr="007B1ABF">
        <w:t>когда все измерения проводятся при напряжении 6,75</w:t>
      </w:r>
      <w:r w:rsidR="00DC0768" w:rsidRPr="007B1ABF">
        <w:rPr>
          <w:lang w:val="en-US"/>
        </w:rPr>
        <w:t> </w:t>
      </w:r>
      <w:r w:rsidR="00DC0768" w:rsidRPr="007B1ABF">
        <w:t>В, 13,5</w:t>
      </w:r>
      <w:r w:rsidR="00DC0768" w:rsidRPr="007B1ABF">
        <w:rPr>
          <w:lang w:val="en-US"/>
        </w:rPr>
        <w:t> </w:t>
      </w:r>
      <w:r w:rsidR="00DC0768" w:rsidRPr="007B1ABF">
        <w:t>В или 28,0 В соответственно:</w:t>
      </w:r>
      <w:r>
        <w:t>».</w:t>
      </w:r>
    </w:p>
    <w:p w:rsidR="00DC0768" w:rsidRPr="00317A84" w:rsidRDefault="00DC0768" w:rsidP="00DC0768">
      <w:pPr>
        <w:pStyle w:val="SingleTxtGR"/>
      </w:pPr>
      <w:r>
        <w:rPr>
          <w:i/>
        </w:rPr>
        <w:t>В</w:t>
      </w:r>
      <w:r w:rsidRPr="00FE798A">
        <w:rPr>
          <w:i/>
        </w:rPr>
        <w:t>ключить новый пункт 1.2.4</w:t>
      </w:r>
      <w:r w:rsidRPr="00317A84">
        <w:t xml:space="preserve"> следующего содержания:</w:t>
      </w:r>
    </w:p>
    <w:p w:rsidR="00DC0768" w:rsidRPr="00E130CC" w:rsidRDefault="00DE6706" w:rsidP="00DC0768">
      <w:pPr>
        <w:pStyle w:val="SingleTxtGR"/>
        <w:ind w:left="2268" w:hanging="1134"/>
      </w:pPr>
      <w:r>
        <w:t>«</w:t>
      </w:r>
      <w:r w:rsidR="00DC0768" w:rsidRPr="00E130CC">
        <w:t>1.2.4</w:t>
      </w:r>
      <w:r w:rsidR="00DC0768" w:rsidRPr="00E130CC">
        <w:tab/>
      </w:r>
      <w:r w:rsidR="00DC0768" w:rsidRPr="00E130CC">
        <w:tab/>
        <w:t>В случае несъемной(ых) лампы (ламп) накаливания или модуля(ей) источника света, оснащенного(ых) несъемными лампами накаливания, при любой проверке соответствия производства:</w:t>
      </w:r>
    </w:p>
    <w:p w:rsidR="00DC0768" w:rsidRPr="00E130CC" w:rsidRDefault="00DC0768" w:rsidP="00DC0768">
      <w:pPr>
        <w:pStyle w:val="SingleTxtGR"/>
        <w:ind w:left="2268" w:hanging="1134"/>
      </w:pPr>
      <w:r w:rsidRPr="00E130CC">
        <w:t>1.2.4.1</w:t>
      </w:r>
      <w:r w:rsidRPr="00E130CC">
        <w:tab/>
        <w:t>держатель знака официального утверждения демонстрирует использование несъемной(ых)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типа;</w:t>
      </w:r>
    </w:p>
    <w:p w:rsidR="00DC0768" w:rsidRDefault="00DC0768" w:rsidP="00DC0768">
      <w:pPr>
        <w:pStyle w:val="SingleTxtGR"/>
        <w:ind w:left="2268" w:hanging="1134"/>
      </w:pPr>
      <w:r w:rsidRPr="00B23051">
        <w:t>1.2.4.2</w:t>
      </w:r>
      <w:r w:rsidRPr="00B23051">
        <w:tab/>
        <w:t>при возникновении сомнений относительно соответствия несъемной(ых) лампы (ламп) накаливания требованиям к сроку службы и/или − в случае ламп накаливания с цветным покрытием – требованиям к цветостойкости, предусмотренным в</w:t>
      </w:r>
      <w:r w:rsidRPr="00B23051">
        <w:rPr>
          <w:lang w:val="en-US"/>
        </w:rPr>
        <w:t> </w:t>
      </w:r>
      <w:r w:rsidRPr="00B23051">
        <w:t>пункте 2.11 публикации 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2.11 публикации</w:t>
      </w:r>
      <w:r w:rsidRPr="00B23051">
        <w:rPr>
          <w:lang w:val="en-US"/>
        </w:rPr>
        <w:t> </w:t>
      </w:r>
      <w:r w:rsidRPr="00B23051">
        <w:t>МЭК</w:t>
      </w:r>
      <w:r w:rsidRPr="00B23051">
        <w:rPr>
          <w:lang w:val="en-US"/>
        </w:rPr>
        <w:t> </w:t>
      </w:r>
      <w:r w:rsidRPr="00B23051">
        <w:t>60809, издание 3</w:t>
      </w:r>
      <w:r w:rsidR="00DE6706">
        <w:t>»</w:t>
      </w:r>
      <w:r w:rsidRPr="00B23051">
        <w:t>.</w:t>
      </w:r>
    </w:p>
    <w:p w:rsidR="00DC0768" w:rsidRDefault="00DC0768" w:rsidP="00DC0768">
      <w:pPr>
        <w:pStyle w:val="SingleTxtGR"/>
        <w:ind w:left="2268" w:hanging="1134"/>
        <w:rPr>
          <w:i/>
        </w:rPr>
      </w:pPr>
      <w:r w:rsidRPr="00CE3B52">
        <w:rPr>
          <w:i/>
        </w:rPr>
        <w:t>Приложение 7</w:t>
      </w:r>
    </w:p>
    <w:p w:rsidR="00DC0768" w:rsidRPr="00CE3B52" w:rsidRDefault="00DC0768" w:rsidP="00DC0768">
      <w:pPr>
        <w:pStyle w:val="SingleTxtGR"/>
        <w:ind w:left="2268" w:hanging="1134"/>
      </w:pPr>
      <w:r>
        <w:rPr>
          <w:i/>
        </w:rPr>
        <w:t>П</w:t>
      </w:r>
      <w:r w:rsidRPr="00CE3B52">
        <w:rPr>
          <w:i/>
        </w:rPr>
        <w:t>ункты 1.2−5</w:t>
      </w:r>
      <w:r w:rsidRPr="00CE3B52">
        <w:t xml:space="preserve"> изменить следующим образом:</w:t>
      </w:r>
    </w:p>
    <w:p w:rsidR="00DC0768" w:rsidRPr="00C42F19" w:rsidRDefault="00DE6706" w:rsidP="00DC0768">
      <w:pPr>
        <w:pStyle w:val="SingleTxtGR"/>
        <w:ind w:left="2268" w:hanging="1134"/>
      </w:pPr>
      <w:r>
        <w:t>«</w:t>
      </w:r>
      <w:r w:rsidR="00DC0768" w:rsidRPr="00C42F19">
        <w:t>1.2</w:t>
      </w:r>
      <w:r w:rsidR="00DC0768" w:rsidRPr="00C42F19">
        <w:tab/>
      </w:r>
      <w:r w:rsidR="00DC0768" w:rsidRPr="00C42F19">
        <w:tab/>
        <w:t>Что касается фотометрических характеристик, то соответствие серийных приспособлений считают доказанным, если при испытании</w:t>
      </w:r>
      <w:r w:rsidR="00DC0768">
        <w:rPr>
          <w:lang w:val="en-US"/>
        </w:rPr>
        <w:t> </w:t>
      </w:r>
      <w:r w:rsidR="00DC0768" w:rsidRPr="00C42F19">
        <w:t>− согласно пункту 8 настоящих Правил − фотометрических характеристик, указанных в пункте 9 настоящих Правил, любого произвольно выбранного приспособления, оснащенного стандартным источником света, или в случае приспособлений, оснащенных несменными источниками света (лампами накаливания или другими источниками), и когда все измерения проводятся при напряжении 6,75 В, 13,5</w:t>
      </w:r>
      <w:r w:rsidR="00DC0768" w:rsidRPr="00C42F19">
        <w:rPr>
          <w:lang w:val="en-US"/>
        </w:rPr>
        <w:t> </w:t>
      </w:r>
      <w:r w:rsidR="00DC0768" w:rsidRPr="00C42F19">
        <w:t>В или 28,0 В соответственно:</w:t>
      </w:r>
    </w:p>
    <w:p w:rsidR="00DC0768" w:rsidRPr="00C42F19" w:rsidRDefault="00DC0768" w:rsidP="00DC0768">
      <w:pPr>
        <w:pStyle w:val="SingleTxtGR"/>
        <w:ind w:left="2268" w:hanging="1134"/>
      </w:pPr>
      <w:r w:rsidRPr="00C42F19">
        <w:t>1.2.1</w:t>
      </w:r>
      <w:r w:rsidRPr="00C42F19">
        <w:tab/>
      </w:r>
      <w:r w:rsidRPr="00C42F19">
        <w:tab/>
        <w:t>выполняются требования, предусмотренные в пункте</w:t>
      </w:r>
      <w:r w:rsidRPr="00C42F19">
        <w:rPr>
          <w:lang w:val="en-US"/>
        </w:rPr>
        <w:t> </w:t>
      </w:r>
      <w:r w:rsidRPr="00C42F19">
        <w:t>1.2.1 приложения 6 к настоящим Правилам.</w:t>
      </w:r>
    </w:p>
    <w:p w:rsidR="00DC0768" w:rsidRPr="007B2F38" w:rsidRDefault="00DC0768" w:rsidP="00DC0768">
      <w:pPr>
        <w:pStyle w:val="SingleTxtGR"/>
        <w:ind w:left="2268" w:hanging="1134"/>
      </w:pPr>
      <w:r w:rsidRPr="007B2F38">
        <w:t>1.2.2</w:t>
      </w:r>
      <w:r w:rsidRPr="007B2F38">
        <w:tab/>
      </w:r>
      <w:r w:rsidRPr="007B2F38">
        <w:tab/>
        <w:t>Если приспособление оснащено сменным источником света и</w:t>
      </w:r>
      <w:r w:rsidRPr="00DA2F50">
        <w:t xml:space="preserve"> </w:t>
      </w:r>
      <w:r w:rsidRPr="007B2F38">
        <w:t>если результаты описанного выше испытания не соответствуют предъявляемым требованиям, то приспособления подвергают повторным испытаниям с использованием другого стандартного источника света.</w:t>
      </w:r>
    </w:p>
    <w:p w:rsidR="00DC0768" w:rsidRPr="00555D86" w:rsidRDefault="00DC0768" w:rsidP="00DC0768">
      <w:pPr>
        <w:pStyle w:val="SingleTxtGR"/>
        <w:rPr>
          <w:iCs/>
        </w:rPr>
      </w:pPr>
      <w:r w:rsidRPr="007B2F38">
        <w:t>1.2.3</w:t>
      </w:r>
      <w:r w:rsidRPr="007B2F38">
        <w:tab/>
      </w:r>
      <w:r w:rsidRPr="007B2F38">
        <w:tab/>
        <w:t>Приспособления с явными неисправностями не учитываются.</w:t>
      </w:r>
    </w:p>
    <w:p w:rsidR="00DC0768" w:rsidRPr="001E556B" w:rsidRDefault="00DC0768" w:rsidP="00DC0768">
      <w:pPr>
        <w:pStyle w:val="SingleTxtGR"/>
      </w:pPr>
      <w:r w:rsidRPr="001E556B">
        <w:t>2.</w:t>
      </w:r>
      <w:r w:rsidRPr="001E556B">
        <w:tab/>
      </w:r>
      <w:r w:rsidRPr="001E556B">
        <w:tab/>
        <w:t>Первый отбор образцов</w:t>
      </w:r>
    </w:p>
    <w:p w:rsidR="00DC0768" w:rsidRPr="001E556B" w:rsidRDefault="00DC0768" w:rsidP="00DC0768">
      <w:pPr>
        <w:pStyle w:val="SingleTxtGR"/>
        <w:ind w:left="2268"/>
      </w:pPr>
      <w:r w:rsidRPr="001E556B">
        <w:t xml:space="preserve">В ходе первого отбора образцов произвольно выбирают четыре </w:t>
      </w:r>
      <w:r>
        <w:t>приспособления</w:t>
      </w:r>
      <w:r w:rsidRPr="001E556B">
        <w:t>. 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образцо</w:t>
      </w:r>
      <w:r>
        <w:t>в</w:t>
      </w:r>
      <w:r w:rsidRPr="001E556B">
        <w:t xml:space="preserve"> обознача</w:t>
      </w:r>
      <w:r>
        <w:t>ют</w:t>
      </w:r>
      <w:r w:rsidRPr="001E556B">
        <w:t xml:space="preserve"> буквой A, а втор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образцов − буквой B.</w:t>
      </w:r>
    </w:p>
    <w:p w:rsidR="00DC0768" w:rsidRPr="001E556B" w:rsidRDefault="00DC0768" w:rsidP="00DC0768">
      <w:pPr>
        <w:pStyle w:val="SingleTxtGR"/>
        <w:ind w:left="2268" w:hanging="1134"/>
      </w:pPr>
      <w:r w:rsidRPr="001E556B">
        <w:t>2.1</w:t>
      </w:r>
      <w:r w:rsidRPr="001E556B">
        <w:tab/>
      </w:r>
      <w:r w:rsidRPr="001E556B">
        <w:tab/>
        <w:t xml:space="preserve">Соответствие производства серийных </w:t>
      </w:r>
      <w:r>
        <w:t>приспособлений</w:t>
      </w:r>
      <w:r w:rsidRPr="001E556B">
        <w:t xml:space="preserve"> считается доказанным, если отклонени</w:t>
      </w:r>
      <w:r>
        <w:t>е</w:t>
      </w:r>
      <w:r w:rsidRPr="001E556B">
        <w:t xml:space="preserve"> люб</w:t>
      </w:r>
      <w:r>
        <w:t>ого</w:t>
      </w:r>
      <w:r w:rsidRPr="001E556B">
        <w:t xml:space="preserve"> образц</w:t>
      </w:r>
      <w:r>
        <w:t>а</w:t>
      </w:r>
      <w:r w:rsidRPr="001E556B">
        <w:t xml:space="preserve"> из выбор</w:t>
      </w:r>
      <w:r>
        <w:t>ок</w:t>
      </w:r>
      <w:r w:rsidRPr="001E556B">
        <w:t xml:space="preserve"> A и B (всех четырех </w:t>
      </w:r>
      <w:r>
        <w:t>приспособлени</w:t>
      </w:r>
      <w:r w:rsidR="00AB34B1">
        <w:t>й</w:t>
      </w:r>
      <w:r w:rsidRPr="001E556B">
        <w:t>) не превыша</w:t>
      </w:r>
      <w:r>
        <w:t>е</w:t>
      </w:r>
      <w:r w:rsidRPr="001E556B">
        <w:t>т 20%.</w:t>
      </w:r>
    </w:p>
    <w:p w:rsidR="00DC0768" w:rsidRPr="001E556B" w:rsidRDefault="00DC0768" w:rsidP="00DC0768">
      <w:pPr>
        <w:pStyle w:val="SingleTxtGR"/>
        <w:ind w:left="2268"/>
      </w:pPr>
      <w:r w:rsidRPr="001E556B">
        <w:t>В том случае, если отклонени</w:t>
      </w:r>
      <w:r>
        <w:t>е</w:t>
      </w:r>
      <w:r w:rsidRPr="001E556B">
        <w:t xml:space="preserve"> обоих </w:t>
      </w:r>
      <w:r>
        <w:t>приспособлений</w:t>
      </w:r>
      <w:r w:rsidRPr="001E556B">
        <w:t xml:space="preserve"> из выборки</w:t>
      </w:r>
      <w:r w:rsidR="00E009C5">
        <w:t> </w:t>
      </w:r>
      <w:r w:rsidRPr="001E556B">
        <w:t>А не превыша</w:t>
      </w:r>
      <w:r>
        <w:t>е</w:t>
      </w:r>
      <w:r w:rsidRPr="001E556B">
        <w:t xml:space="preserve">т 0%, измерения могут </w:t>
      </w:r>
      <w:r>
        <w:t xml:space="preserve">быть </w:t>
      </w:r>
      <w:r w:rsidRPr="001E556B">
        <w:t>прекращ</w:t>
      </w:r>
      <w:r>
        <w:t>ены</w:t>
      </w:r>
      <w:r w:rsidRPr="001E556B">
        <w:t>.</w:t>
      </w:r>
    </w:p>
    <w:p w:rsidR="00DC0768" w:rsidRPr="001E556B" w:rsidRDefault="00DC0768" w:rsidP="00DC0768">
      <w:pPr>
        <w:pStyle w:val="SingleTxtGR"/>
        <w:ind w:left="2268" w:hanging="1134"/>
      </w:pPr>
      <w:r w:rsidRPr="001E556B">
        <w:t>2.2</w:t>
      </w:r>
      <w:r w:rsidRPr="001E556B">
        <w:tab/>
      </w:r>
      <w:r w:rsidRPr="001E556B">
        <w:tab/>
        <w:t xml:space="preserve">Соответствие производства серийных </w:t>
      </w:r>
      <w:r>
        <w:t>приспособлений</w:t>
      </w:r>
      <w:r w:rsidRPr="001E556B">
        <w:t xml:space="preserve"> не считается доказанным, если отклонени</w:t>
      </w:r>
      <w:r>
        <w:t>е</w:t>
      </w:r>
      <w:r w:rsidRPr="001E556B">
        <w:t xml:space="preserve"> по крайней мере 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выборки А или В превыша</w:t>
      </w:r>
      <w:r>
        <w:t>е</w:t>
      </w:r>
      <w:r w:rsidRPr="001E556B">
        <w:t>т 20%.</w:t>
      </w:r>
    </w:p>
    <w:p w:rsidR="00DC0768" w:rsidRPr="001E556B" w:rsidRDefault="00DC0768" w:rsidP="00DC0768">
      <w:pPr>
        <w:pStyle w:val="SingleTxtGR"/>
        <w:ind w:left="2268"/>
      </w:pPr>
      <w:r w:rsidRPr="001E556B">
        <w:t>Изготовителю предлага</w:t>
      </w:r>
      <w:r>
        <w:t>ют</w:t>
      </w:r>
      <w:r w:rsidRPr="001E556B">
        <w:t xml:space="preserve"> обеспечить соответствие производства предъявляемым требованиям (привести его в соответствие с этими требованиями) и провод</w:t>
      </w:r>
      <w:r>
        <w:t>ят</w:t>
      </w:r>
      <w:r w:rsidRPr="001E556B">
        <w:t xml:space="preserve">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</w:t>
      </w:r>
      <w:r>
        <w:t>СП</w:t>
      </w:r>
      <w:r w:rsidRPr="001E556B">
        <w:t>.</w:t>
      </w:r>
    </w:p>
    <w:p w:rsidR="00DC0768" w:rsidRPr="001E556B" w:rsidRDefault="00DC0768" w:rsidP="00DC0768">
      <w:pPr>
        <w:pStyle w:val="SingleTxtGR"/>
      </w:pPr>
      <w:r w:rsidRPr="001E556B">
        <w:t>3.</w:t>
      </w:r>
      <w:r w:rsidRPr="001E556B">
        <w:tab/>
      </w:r>
      <w:r w:rsidRPr="001E556B">
        <w:tab/>
        <w:t>Первый повторны</w:t>
      </w:r>
      <w:r>
        <w:t>й</w:t>
      </w:r>
      <w:r w:rsidRPr="001E556B">
        <w:t xml:space="preserve"> отбор образцов</w:t>
      </w:r>
    </w:p>
    <w:p w:rsidR="00DC0768" w:rsidRPr="001E556B" w:rsidRDefault="00DC0768" w:rsidP="00DC0768">
      <w:pPr>
        <w:pStyle w:val="SingleTxtGR"/>
        <w:ind w:left="2268"/>
      </w:pPr>
      <w:r w:rsidRPr="001E556B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</w:t>
      </w:r>
      <w:r>
        <w:t>приспособлений</w:t>
      </w:r>
      <w:r w:rsidRPr="001E556B">
        <w:t>.</w:t>
      </w:r>
    </w:p>
    <w:p w:rsidR="00DC0768" w:rsidRPr="001E556B" w:rsidRDefault="00DC0768" w:rsidP="00DC0768">
      <w:pPr>
        <w:pStyle w:val="SingleTxtGR"/>
        <w:ind w:left="2268"/>
      </w:pPr>
      <w:r w:rsidRPr="001E556B">
        <w:t>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</w:t>
      </w:r>
      <w:r>
        <w:t>образцов о</w:t>
      </w:r>
      <w:r w:rsidRPr="001E556B">
        <w:t>бознача</w:t>
      </w:r>
      <w:r>
        <w:t>ют</w:t>
      </w:r>
      <w:r w:rsidRPr="001E556B">
        <w:t xml:space="preserve"> буквой </w:t>
      </w:r>
      <w:r w:rsidRPr="001E556B">
        <w:rPr>
          <w:lang w:val="en-US"/>
        </w:rPr>
        <w:t>C</w:t>
      </w:r>
      <w:r w:rsidRPr="001E556B">
        <w:t>, а втор</w:t>
      </w:r>
      <w:r>
        <w:t xml:space="preserve">ую </w:t>
      </w:r>
      <w:r w:rsidRPr="001E556B">
        <w:t>выборк</w:t>
      </w:r>
      <w:r>
        <w:t>у из двух образцов</w:t>
      </w:r>
      <w:r w:rsidRPr="001E556B">
        <w:t xml:space="preserve"> − буквой </w:t>
      </w:r>
      <w:r w:rsidRPr="001E556B">
        <w:rPr>
          <w:lang w:val="en-US"/>
        </w:rPr>
        <w:t>D</w:t>
      </w:r>
      <w:r w:rsidRPr="001E556B">
        <w:t>.</w:t>
      </w:r>
    </w:p>
    <w:p w:rsidR="00DC0768" w:rsidRPr="001E556B" w:rsidRDefault="00DC0768" w:rsidP="00DC0768">
      <w:pPr>
        <w:pStyle w:val="SingleTxtGR"/>
        <w:ind w:left="2268" w:hanging="1134"/>
      </w:pPr>
      <w:r w:rsidRPr="001E556B">
        <w:t>3.1</w:t>
      </w:r>
      <w:r w:rsidRPr="001E556B">
        <w:tab/>
      </w:r>
      <w:r w:rsidRPr="001E556B">
        <w:tab/>
        <w:t xml:space="preserve">Соответствие серийных </w:t>
      </w:r>
      <w:r>
        <w:t>приспособлений</w:t>
      </w:r>
      <w:r w:rsidRPr="001E556B">
        <w:t xml:space="preserve"> считается доказанным, если отклонени</w:t>
      </w:r>
      <w:r>
        <w:t xml:space="preserve">е </w:t>
      </w:r>
      <w:r w:rsidRPr="001E556B">
        <w:t>любо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C</w:t>
      </w:r>
      <w:r w:rsidRPr="001E556B">
        <w:t xml:space="preserve"> и </w:t>
      </w:r>
      <w:r w:rsidRPr="001E556B">
        <w:rPr>
          <w:lang w:val="en-US"/>
        </w:rPr>
        <w:t>D</w:t>
      </w:r>
      <w:r w:rsidRPr="001E556B">
        <w:t xml:space="preserve"> (всех четырех </w:t>
      </w:r>
      <w:r w:rsidR="00AB34B1">
        <w:t>приспособлений</w:t>
      </w:r>
      <w:r w:rsidRPr="001E556B">
        <w:t>) не превыша</w:t>
      </w:r>
      <w:r>
        <w:t>е</w:t>
      </w:r>
      <w:r w:rsidRPr="001E556B">
        <w:t>т 20%.</w:t>
      </w:r>
    </w:p>
    <w:p w:rsidR="00DC0768" w:rsidRPr="001E556B" w:rsidRDefault="00DC0768" w:rsidP="00DC0768">
      <w:pPr>
        <w:pStyle w:val="SingleTxtGR"/>
        <w:ind w:left="2268"/>
      </w:pPr>
      <w:r w:rsidRPr="001E556B">
        <w:t>В том случае, если отклонени</w:t>
      </w:r>
      <w:r>
        <w:t>е</w:t>
      </w:r>
      <w:r w:rsidRPr="001E556B">
        <w:t xml:space="preserve"> обоих </w:t>
      </w:r>
      <w:r>
        <w:t>приспособлений</w:t>
      </w:r>
      <w:r w:rsidRPr="001E556B">
        <w:t xml:space="preserve"> из выборки</w:t>
      </w:r>
      <w:r w:rsidR="00E009C5">
        <w:t> </w:t>
      </w:r>
      <w:r w:rsidRPr="001E556B">
        <w:t>С не превыша</w:t>
      </w:r>
      <w:r>
        <w:t>е</w:t>
      </w:r>
      <w:r w:rsidRPr="001E556B">
        <w:t>т 0%, измерения могут быть прекращены.</w:t>
      </w:r>
    </w:p>
    <w:p w:rsidR="00DC0768" w:rsidRPr="001E556B" w:rsidRDefault="00DC0768" w:rsidP="00DC0768">
      <w:pPr>
        <w:pStyle w:val="SingleTxtGR"/>
        <w:ind w:left="2268" w:hanging="1134"/>
      </w:pPr>
      <w:r w:rsidRPr="001E556B">
        <w:t>3.2</w:t>
      </w:r>
      <w:r w:rsidRPr="001E556B">
        <w:tab/>
      </w:r>
      <w:r w:rsidRPr="001E556B">
        <w:tab/>
        <w:t xml:space="preserve">Соответствие производства серийных </w:t>
      </w:r>
      <w:r>
        <w:t>приспособлений</w:t>
      </w:r>
      <w:r w:rsidRPr="001E556B">
        <w:t xml:space="preserve"> не считается доказанным, если отклонени</w:t>
      </w:r>
      <w:r>
        <w:t>е</w:t>
      </w:r>
      <w:r w:rsidRPr="001E556B">
        <w:t xml:space="preserve"> по крайней мере:</w:t>
      </w:r>
    </w:p>
    <w:p w:rsidR="00DC0768" w:rsidRPr="001E556B" w:rsidRDefault="00DC0768" w:rsidP="00DC0768">
      <w:pPr>
        <w:pStyle w:val="SingleTxtGR"/>
        <w:ind w:left="2268" w:hanging="1134"/>
      </w:pPr>
      <w:r w:rsidRPr="001E556B">
        <w:t>3.2.1</w:t>
      </w:r>
      <w:r w:rsidRPr="001E556B">
        <w:tab/>
      </w:r>
      <w:r w:rsidRPr="001E556B">
        <w:tab/>
      </w:r>
      <w:r>
        <w:t>одного</w:t>
      </w:r>
      <w:r w:rsidRPr="001E556B">
        <w:t xml:space="preserve"> образц</w:t>
      </w:r>
      <w:r>
        <w:t>а</w:t>
      </w:r>
      <w:r w:rsidRPr="001E556B">
        <w:t xml:space="preserve"> из выборки </w:t>
      </w:r>
      <w:r w:rsidRPr="001E556B">
        <w:rPr>
          <w:lang w:val="en-US"/>
        </w:rPr>
        <w:t>C</w:t>
      </w:r>
      <w:r w:rsidRPr="001E556B">
        <w:t xml:space="preserve"> и </w:t>
      </w:r>
      <w:r w:rsidRPr="001E556B">
        <w:rPr>
          <w:lang w:val="en-US"/>
        </w:rPr>
        <w:t>D</w:t>
      </w:r>
      <w:r w:rsidRPr="001E556B">
        <w:t xml:space="preserve"> превыша</w:t>
      </w:r>
      <w:r>
        <w:t>е</w:t>
      </w:r>
      <w:r w:rsidRPr="001E556B">
        <w:t xml:space="preserve">т 20%, </w:t>
      </w:r>
      <w:r>
        <w:t>но</w:t>
      </w:r>
      <w:r w:rsidRPr="001E556B">
        <w:t xml:space="preserve"> отклонени</w:t>
      </w:r>
      <w:r>
        <w:t>е</w:t>
      </w:r>
      <w:r w:rsidRPr="001E556B">
        <w:t xml:space="preserve"> всех образц</w:t>
      </w:r>
      <w:r>
        <w:t>ов</w:t>
      </w:r>
      <w:r w:rsidRPr="001E556B">
        <w:t xml:space="preserve"> из этих выборок не превыша</w:t>
      </w:r>
      <w:r>
        <w:t>ет</w:t>
      </w:r>
      <w:r w:rsidRPr="001E556B">
        <w:t xml:space="preserve"> 30%;</w:t>
      </w:r>
    </w:p>
    <w:p w:rsidR="00DC0768" w:rsidRPr="001E556B" w:rsidRDefault="00DC0768" w:rsidP="00DC0768">
      <w:pPr>
        <w:pStyle w:val="SingleTxtGR"/>
        <w:ind w:left="2268"/>
      </w:pPr>
      <w:r w:rsidRPr="001E556B">
        <w:t>изготовителю предлага</w:t>
      </w:r>
      <w:r>
        <w:t>ют</w:t>
      </w:r>
      <w:r w:rsidRPr="001E556B">
        <w:t xml:space="preserve"> вновь обеспечить соответствие производства предъявляемым требованиям (привести его в соответствие с этими требованиями);</w:t>
      </w:r>
    </w:p>
    <w:p w:rsidR="00DC0768" w:rsidRPr="001E556B" w:rsidRDefault="00DC0768" w:rsidP="00DC0768">
      <w:pPr>
        <w:pStyle w:val="SingleTxtGR"/>
        <w:ind w:left="2268"/>
      </w:pPr>
      <w:r>
        <w:t xml:space="preserve">проводят </w:t>
      </w:r>
      <w:r w:rsidRPr="001E556B">
        <w:t xml:space="preserve">второй </w:t>
      </w:r>
      <w:r>
        <w:t>повторный</w:t>
      </w:r>
      <w:r w:rsidRPr="001E556B">
        <w:t xml:space="preserve"> отбор образцов согласно пункту 4 ниже в течение двух месяцев после уведомления. Выборки </w:t>
      </w:r>
      <w:r w:rsidRPr="001E556B">
        <w:rPr>
          <w:lang w:val="en-US"/>
        </w:rPr>
        <w:t>C</w:t>
      </w:r>
      <w:r w:rsidRPr="001E556B">
        <w:t xml:space="preserve"> и </w:t>
      </w:r>
      <w:r w:rsidRPr="001E556B">
        <w:rPr>
          <w:lang w:val="en-US"/>
        </w:rPr>
        <w:t>D</w:t>
      </w:r>
      <w:r w:rsidRPr="001E556B">
        <w:t xml:space="preserve"> хранятся в технической службе до завершения всего процесса </w:t>
      </w:r>
      <w:r>
        <w:t>СП</w:t>
      </w:r>
      <w:r w:rsidRPr="001E556B">
        <w:t>;</w:t>
      </w:r>
    </w:p>
    <w:p w:rsidR="00DC0768" w:rsidRPr="001E556B" w:rsidRDefault="00DC0768" w:rsidP="00DC0768">
      <w:pPr>
        <w:pStyle w:val="SingleTxtGR"/>
      </w:pPr>
      <w:r w:rsidRPr="001E556B">
        <w:t>3.2.2</w:t>
      </w:r>
      <w:r w:rsidRPr="001E556B">
        <w:tab/>
      </w:r>
      <w:r w:rsidRPr="001E556B">
        <w:tab/>
        <w:t>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C</w:t>
      </w:r>
      <w:r w:rsidRPr="001E556B">
        <w:t xml:space="preserve"> и</w:t>
      </w:r>
      <w:r>
        <w:t>ли</w:t>
      </w:r>
      <w:r w:rsidRPr="001E556B">
        <w:t xml:space="preserve"> </w:t>
      </w:r>
      <w:r w:rsidRPr="001E556B">
        <w:rPr>
          <w:lang w:val="en-US"/>
        </w:rPr>
        <w:t>D</w:t>
      </w:r>
      <w:r w:rsidRPr="001E556B">
        <w:t xml:space="preserve"> превыша</w:t>
      </w:r>
      <w:r>
        <w:t>е</w:t>
      </w:r>
      <w:r w:rsidRPr="001E556B">
        <w:t>т 30%;</w:t>
      </w:r>
    </w:p>
    <w:p w:rsidR="00DC0768" w:rsidRPr="001E556B" w:rsidRDefault="00DC0768" w:rsidP="00DC0768">
      <w:pPr>
        <w:pStyle w:val="SingleTxtGR"/>
        <w:ind w:left="2268"/>
      </w:pPr>
      <w:r w:rsidRPr="001E556B">
        <w:t>в таком случае официальное утверждение отменя</w:t>
      </w:r>
      <w:r>
        <w:t>ют</w:t>
      </w:r>
      <w:r w:rsidRPr="001E556B">
        <w:t xml:space="preserve"> и применяют пункт 5 ниже.</w:t>
      </w:r>
    </w:p>
    <w:p w:rsidR="00DC0768" w:rsidRPr="001E556B" w:rsidRDefault="00DC0768" w:rsidP="00DC0768">
      <w:pPr>
        <w:pStyle w:val="SingleTxtGR"/>
      </w:pPr>
      <w:r>
        <w:t>4.</w:t>
      </w:r>
      <w:r>
        <w:tab/>
      </w:r>
      <w:r>
        <w:tab/>
        <w:t xml:space="preserve">Второй </w:t>
      </w:r>
      <w:r w:rsidRPr="001E556B">
        <w:t>повторны</w:t>
      </w:r>
      <w:r>
        <w:t>й</w:t>
      </w:r>
      <w:r w:rsidRPr="001E556B">
        <w:t xml:space="preserve"> отбор образцов</w:t>
      </w:r>
    </w:p>
    <w:p w:rsidR="00DC0768" w:rsidRPr="001E556B" w:rsidRDefault="00DC0768" w:rsidP="00DC0768">
      <w:pPr>
        <w:pStyle w:val="SingleTxtGR"/>
        <w:ind w:left="2268"/>
      </w:pPr>
      <w:r w:rsidRPr="001E556B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</w:t>
      </w:r>
      <w:r>
        <w:t>приспособлений</w:t>
      </w:r>
      <w:r w:rsidRPr="001E556B">
        <w:t>.</w:t>
      </w:r>
    </w:p>
    <w:p w:rsidR="00DC0768" w:rsidRPr="001E556B" w:rsidRDefault="00DC0768" w:rsidP="00DC0768">
      <w:pPr>
        <w:pStyle w:val="SingleTxtGR"/>
        <w:ind w:left="2268"/>
      </w:pPr>
      <w:r w:rsidRPr="001E556B">
        <w:t>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</w:t>
      </w:r>
      <w:r>
        <w:t>приспособлений</w:t>
      </w:r>
      <w:r w:rsidRPr="001E556B">
        <w:t xml:space="preserve"> обознача</w:t>
      </w:r>
      <w:r>
        <w:t>ют</w:t>
      </w:r>
      <w:r w:rsidRPr="001E556B">
        <w:t xml:space="preserve"> буквой </w:t>
      </w:r>
      <w:r w:rsidRPr="001E556B">
        <w:rPr>
          <w:lang w:val="en-US"/>
        </w:rPr>
        <w:t>E</w:t>
      </w:r>
      <w:r w:rsidRPr="001E556B">
        <w:t>, а</w:t>
      </w:r>
      <w:r w:rsidR="0007408F">
        <w:t> </w:t>
      </w:r>
      <w:r w:rsidRPr="001E556B">
        <w:t>втор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</w:t>
      </w:r>
      <w:r>
        <w:t>приспособлений</w:t>
      </w:r>
      <w:r w:rsidRPr="001E556B">
        <w:t xml:space="preserve"> − буквой </w:t>
      </w:r>
      <w:r w:rsidRPr="001E556B">
        <w:rPr>
          <w:lang w:val="en-US"/>
        </w:rPr>
        <w:t>F</w:t>
      </w:r>
      <w:r w:rsidRPr="001E556B">
        <w:t>.</w:t>
      </w:r>
    </w:p>
    <w:p w:rsidR="00DC0768" w:rsidRPr="001E556B" w:rsidRDefault="00DC0768" w:rsidP="00DC0768">
      <w:pPr>
        <w:pStyle w:val="SingleTxtGR"/>
        <w:ind w:left="2268" w:hanging="1134"/>
      </w:pPr>
      <w:r w:rsidRPr="001E556B">
        <w:t>4.1</w:t>
      </w:r>
      <w:r w:rsidRPr="001E556B">
        <w:tab/>
      </w:r>
      <w:r w:rsidRPr="001E556B">
        <w:tab/>
        <w:t xml:space="preserve">Соответствие производства серийных </w:t>
      </w:r>
      <w:r>
        <w:t>приспособлений</w:t>
      </w:r>
      <w:r w:rsidRPr="001E556B">
        <w:t xml:space="preserve"> считается доказанным, если отклонени</w:t>
      </w:r>
      <w:r>
        <w:t>е</w:t>
      </w:r>
      <w:r w:rsidRPr="001E556B">
        <w:t xml:space="preserve"> любо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E</w:t>
      </w:r>
      <w:r w:rsidRPr="001E556B">
        <w:t xml:space="preserve"> и </w:t>
      </w:r>
      <w:r w:rsidRPr="001E556B">
        <w:rPr>
          <w:lang w:val="en-US"/>
        </w:rPr>
        <w:t>F</w:t>
      </w:r>
      <w:r w:rsidRPr="001E556B">
        <w:t xml:space="preserve"> </w:t>
      </w:r>
      <w:r w:rsidR="0007408F">
        <w:br/>
      </w:r>
      <w:r w:rsidRPr="001E556B">
        <w:t xml:space="preserve">(всех четырех </w:t>
      </w:r>
      <w:r>
        <w:t>приспособлени</w:t>
      </w:r>
      <w:r w:rsidR="00AB34B1">
        <w:t>й</w:t>
      </w:r>
      <w:r w:rsidRPr="001E556B">
        <w:t>) не превыша</w:t>
      </w:r>
      <w:r>
        <w:t>е</w:t>
      </w:r>
      <w:r w:rsidRPr="001E556B">
        <w:t xml:space="preserve">т 20%. </w:t>
      </w:r>
    </w:p>
    <w:p w:rsidR="00DC0768" w:rsidRPr="001E556B" w:rsidRDefault="00DC0768" w:rsidP="00DC0768">
      <w:pPr>
        <w:pStyle w:val="SingleTxtGR"/>
        <w:ind w:left="2268" w:hanging="1134"/>
      </w:pPr>
      <w:r w:rsidRPr="001E556B">
        <w:tab/>
      </w:r>
      <w:r w:rsidRPr="001E556B">
        <w:tab/>
        <w:t>В том случае, если отклонени</w:t>
      </w:r>
      <w:r>
        <w:t>е</w:t>
      </w:r>
      <w:r w:rsidRPr="001E556B">
        <w:t xml:space="preserve"> обоих </w:t>
      </w:r>
      <w:r>
        <w:t>приспособлений</w:t>
      </w:r>
      <w:r w:rsidRPr="001E556B">
        <w:t xml:space="preserve"> из выбор</w:t>
      </w:r>
      <w:r w:rsidR="00E009C5">
        <w:t>-</w:t>
      </w:r>
      <w:r w:rsidRPr="001E556B">
        <w:t>ки</w:t>
      </w:r>
      <w:r w:rsidR="00E009C5">
        <w:t> </w:t>
      </w:r>
      <w:r w:rsidRPr="001E556B">
        <w:rPr>
          <w:lang w:val="en-US"/>
        </w:rPr>
        <w:t>E</w:t>
      </w:r>
      <w:r w:rsidRPr="001E556B">
        <w:t xml:space="preserve"> не превыша</w:t>
      </w:r>
      <w:r>
        <w:t>е</w:t>
      </w:r>
      <w:r w:rsidRPr="001E556B">
        <w:t>т 0%, измерения могут быть прекращены.</w:t>
      </w:r>
    </w:p>
    <w:p w:rsidR="00DC0768" w:rsidRPr="001870B7" w:rsidRDefault="00DC0768" w:rsidP="00DC0768">
      <w:pPr>
        <w:pStyle w:val="SingleTxtGR"/>
        <w:ind w:left="2268" w:hanging="1134"/>
      </w:pPr>
      <w:r w:rsidRPr="001E556B">
        <w:t>4.2</w:t>
      </w:r>
      <w:r w:rsidRPr="001E556B">
        <w:tab/>
      </w:r>
      <w:r w:rsidRPr="001E556B">
        <w:tab/>
        <w:t xml:space="preserve">Соответствие производства серийных </w:t>
      </w:r>
      <w:r>
        <w:t>приспособлений</w:t>
      </w:r>
      <w:r w:rsidRPr="001E556B">
        <w:t xml:space="preserve"> не считается доказанным, если отклонени</w:t>
      </w:r>
      <w:r>
        <w:t>е</w:t>
      </w:r>
      <w:r w:rsidRPr="001E556B">
        <w:t xml:space="preserve"> по крайней мере 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выборки </w:t>
      </w:r>
      <w:r w:rsidRPr="001E556B">
        <w:rPr>
          <w:lang w:val="en-US"/>
        </w:rPr>
        <w:t>E</w:t>
      </w:r>
      <w:r w:rsidRPr="001E556B">
        <w:t xml:space="preserve"> или </w:t>
      </w:r>
      <w:r w:rsidRPr="001E556B">
        <w:rPr>
          <w:lang w:val="en-US"/>
        </w:rPr>
        <w:t>F</w:t>
      </w:r>
      <w:r w:rsidRPr="001E556B">
        <w:t xml:space="preserve"> превыша</w:t>
      </w:r>
      <w:r>
        <w:t>е</w:t>
      </w:r>
      <w:r w:rsidRPr="001E556B">
        <w:t>т 20%.</w:t>
      </w:r>
    </w:p>
    <w:p w:rsidR="00DC0768" w:rsidRPr="001E556B" w:rsidRDefault="00DC0768" w:rsidP="00DC0768">
      <w:pPr>
        <w:pStyle w:val="SingleTxtGR"/>
        <w:ind w:left="2268"/>
      </w:pPr>
      <w:r w:rsidRPr="001E556B">
        <w:t>В таком случае официальное утверждение отменя</w:t>
      </w:r>
      <w:r>
        <w:t>ют</w:t>
      </w:r>
      <w:r w:rsidRPr="001E556B">
        <w:t xml:space="preserve"> и применяют пункт 5 ниже.</w:t>
      </w:r>
    </w:p>
    <w:p w:rsidR="00DC0768" w:rsidRPr="001E556B" w:rsidRDefault="00DC0768" w:rsidP="00DC0768">
      <w:pPr>
        <w:pStyle w:val="SingleTxtGR"/>
      </w:pPr>
      <w:r w:rsidRPr="001E556B">
        <w:t>5.</w:t>
      </w:r>
      <w:r w:rsidRPr="001E556B">
        <w:tab/>
      </w:r>
      <w:r w:rsidRPr="001E556B">
        <w:tab/>
        <w:t>Отмена официального утверждения</w:t>
      </w:r>
    </w:p>
    <w:p w:rsidR="00DC0768" w:rsidRPr="001E556B" w:rsidRDefault="00DC0768" w:rsidP="00DC0768">
      <w:pPr>
        <w:pStyle w:val="SingleTxtGR"/>
        <w:ind w:left="2268"/>
      </w:pPr>
      <w:r w:rsidRPr="001E556B">
        <w:t>Официальное утверждение отменя</w:t>
      </w:r>
      <w:r>
        <w:t>ют</w:t>
      </w:r>
      <w:r w:rsidRPr="001E556B">
        <w:t xml:space="preserve"> </w:t>
      </w:r>
      <w:r>
        <w:t>в соответствии с</w:t>
      </w:r>
      <w:r w:rsidRPr="001E556B">
        <w:t xml:space="preserve"> пункт</w:t>
      </w:r>
      <w:r>
        <w:t>ом</w:t>
      </w:r>
      <w:r w:rsidRPr="001E556B">
        <w:t xml:space="preserve"> 1</w:t>
      </w:r>
      <w:r>
        <w:t>1</w:t>
      </w:r>
      <w:r w:rsidRPr="001E556B">
        <w:t xml:space="preserve"> настоящих Правил</w:t>
      </w:r>
      <w:r>
        <w:t>».</w:t>
      </w:r>
    </w:p>
    <w:p w:rsidR="002C1EE7" w:rsidRDefault="00DC0768" w:rsidP="00DC0768">
      <w:pPr>
        <w:pStyle w:val="SingleTxtGR"/>
      </w:pPr>
      <w:r w:rsidRPr="001E556B">
        <w:rPr>
          <w:i/>
        </w:rPr>
        <w:t>Рис. 1</w:t>
      </w:r>
      <w:r w:rsidRPr="001E556B">
        <w:t xml:space="preserve"> исключить.</w:t>
      </w:r>
    </w:p>
    <w:p w:rsidR="002C1EE7" w:rsidRPr="00DC0768" w:rsidRDefault="00DC0768" w:rsidP="00DC076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1EE7" w:rsidRPr="00DC0768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AA" w:rsidRDefault="004907AA" w:rsidP="00B471C5">
      <w:r>
        <w:separator/>
      </w:r>
    </w:p>
  </w:endnote>
  <w:endnote w:type="continuationSeparator" w:id="0">
    <w:p w:rsidR="004907AA" w:rsidRDefault="004907A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472F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64A71">
      <w:rPr>
        <w:lang w:val="en-US"/>
      </w:rPr>
      <w:t>22328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B64A71">
      <w:rPr>
        <w:lang w:val="en-US"/>
      </w:rPr>
      <w:t>22328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472F4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B64A71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B64A71">
            <w:rPr>
              <w:lang w:val="en-US"/>
            </w:rPr>
            <w:t>22328</w:t>
          </w:r>
          <w:r w:rsidRPr="001C3ABC">
            <w:rPr>
              <w:lang w:val="en-US"/>
            </w:rPr>
            <w:t xml:space="preserve"> (R)</w:t>
          </w:r>
          <w:r w:rsidR="00BD2942">
            <w:rPr>
              <w:lang w:val="en-US"/>
            </w:rPr>
            <w:t xml:space="preserve">  </w:t>
          </w:r>
          <w:r w:rsidR="00B64A71">
            <w:rPr>
              <w:lang w:val="en-US"/>
            </w:rPr>
            <w:t>090117  090117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B886ACE" wp14:editId="4B764C6F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B64A71" w:rsidP="007B199D">
          <w:pPr>
            <w:jc w:val="right"/>
          </w:pPr>
          <w:r>
            <w:rPr>
              <w:rFonts w:ascii="C39T30Lfz" w:hAnsi="C39T30Lfz"/>
              <w:noProof/>
              <w:sz w:val="5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145F11DF" wp14:editId="1E3D5FCC">
                <wp:simplePos x="0" y="0"/>
                <wp:positionH relativeFrom="margin">
                  <wp:posOffset>-10795</wp:posOffset>
                </wp:positionH>
                <wp:positionV relativeFrom="margin">
                  <wp:posOffset>20955</wp:posOffset>
                </wp:positionV>
                <wp:extent cx="638810" cy="638810"/>
                <wp:effectExtent l="0" t="0" r="8890" b="8890"/>
                <wp:wrapNone/>
                <wp:docPr id="3" name="Picture 1" descr="http://undocs.org/m2/QRCode.ashx?DS=ECE/TRANS/WP.29/2017/20&amp;Size=2 &amp;Lang=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20&amp;Size=2 &amp;Lang=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15659" w:rsidRDefault="00B64A7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>
            <w:rPr>
              <w:rFonts w:ascii="C39T30Lfz" w:hAnsi="C39T30Lfz"/>
              <w:sz w:val="56"/>
            </w:rPr>
            <w:t></w:t>
          </w:r>
          <w:r>
            <w:rPr>
              <w:rFonts w:ascii="C39T30Lfz" w:hAnsi="C39T30Lfz"/>
              <w:sz w:val="56"/>
            </w:rPr>
            <w:t></w:t>
          </w:r>
          <w:r>
            <w:rPr>
              <w:rFonts w:ascii="C39T30Lfz" w:hAnsi="C39T30Lfz"/>
              <w:sz w:val="56"/>
            </w:rPr>
            <w:t></w:t>
          </w:r>
          <w:r>
            <w:rPr>
              <w:rFonts w:ascii="C39T30Lfz" w:hAnsi="C39T30Lfz"/>
              <w:sz w:val="56"/>
            </w:rPr>
            <w:t></w:t>
          </w:r>
          <w:r>
            <w:rPr>
              <w:rFonts w:ascii="C39T30Lfz" w:hAnsi="C39T30Lfz"/>
              <w:sz w:val="56"/>
            </w:rPr>
            <w:t></w:t>
          </w:r>
          <w:r>
            <w:rPr>
              <w:rFonts w:ascii="C39T30Lfz" w:hAnsi="C39T30Lfz"/>
              <w:sz w:val="56"/>
            </w:rPr>
            <w:t></w:t>
          </w:r>
          <w:r>
            <w:rPr>
              <w:rFonts w:ascii="C39T30Lfz" w:hAnsi="C39T30Lfz"/>
              <w:sz w:val="56"/>
            </w:rPr>
            <w:t></w:t>
          </w:r>
          <w:r>
            <w:rPr>
              <w:rFonts w:ascii="C39T30Lfz" w:hAnsi="C39T30Lfz"/>
              <w:sz w:val="56"/>
            </w:rPr>
            <w:t></w:t>
          </w:r>
          <w:r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AA" w:rsidRPr="009141DC" w:rsidRDefault="004907A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907AA" w:rsidRPr="00D1261C" w:rsidRDefault="004907A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C0768" w:rsidRPr="00550BC9" w:rsidRDefault="00DC0768" w:rsidP="00DC0768">
      <w:pPr>
        <w:pStyle w:val="FootnoteText"/>
        <w:rPr>
          <w:lang w:val="ru-RU"/>
        </w:rPr>
      </w:pPr>
      <w:r>
        <w:rPr>
          <w:lang w:val="ru-RU"/>
        </w:rPr>
        <w:tab/>
      </w:r>
      <w:r w:rsidRPr="00550BC9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550BC9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D27C50">
      <w:rPr>
        <w:lang w:val="fr-FR"/>
      </w:rPr>
      <w:t>TRANS/WP.29/</w:t>
    </w:r>
    <w:r w:rsidR="00415659" w:rsidRPr="00A77EEF">
      <w:rPr>
        <w:lang w:val="fr-FR"/>
      </w:rPr>
      <w:t>201</w:t>
    </w:r>
    <w:r w:rsidR="00415659">
      <w:rPr>
        <w:lang w:val="fr-FR"/>
      </w:rPr>
      <w:t>7</w:t>
    </w:r>
    <w:r w:rsidR="00415659" w:rsidRPr="00A77EEF">
      <w:rPr>
        <w:lang w:val="fr-FR"/>
      </w:rPr>
      <w:t>/</w:t>
    </w:r>
    <w:r w:rsidR="00415659">
      <w:rPr>
        <w:lang w:val="fr-FR"/>
      </w:rPr>
      <w:t>2</w:t>
    </w:r>
    <w:r w:rsidR="00B64A71">
      <w:rPr>
        <w:lang w:val="fr-FR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5A387F" w:rsidRPr="00A77EEF">
      <w:rPr>
        <w:lang w:val="fr-FR"/>
      </w:rPr>
      <w:t>TRANS/WP.29/201</w:t>
    </w:r>
    <w:r w:rsidR="005A387F">
      <w:rPr>
        <w:lang w:val="fr-FR"/>
      </w:rPr>
      <w:t>7</w:t>
    </w:r>
    <w:r w:rsidR="005A387F" w:rsidRPr="00A77EEF">
      <w:rPr>
        <w:lang w:val="fr-FR"/>
      </w:rPr>
      <w:t>/</w:t>
    </w:r>
    <w:r w:rsidR="005A387F">
      <w:rPr>
        <w:lang w:val="fr-FR"/>
      </w:rPr>
      <w:t>2</w:t>
    </w:r>
    <w:r w:rsidR="00B64A71">
      <w:rPr>
        <w:lang w:val="fr-F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42"/>
    <w:rsid w:val="00007B7D"/>
    <w:rsid w:val="000450D1"/>
    <w:rsid w:val="00060B0C"/>
    <w:rsid w:val="0007408F"/>
    <w:rsid w:val="000764AF"/>
    <w:rsid w:val="000B1FD5"/>
    <w:rsid w:val="000F2A4F"/>
    <w:rsid w:val="00193116"/>
    <w:rsid w:val="001B5F6B"/>
    <w:rsid w:val="001F6963"/>
    <w:rsid w:val="00203F84"/>
    <w:rsid w:val="00275188"/>
    <w:rsid w:val="0028687D"/>
    <w:rsid w:val="002B091C"/>
    <w:rsid w:val="002B3702"/>
    <w:rsid w:val="002B3D40"/>
    <w:rsid w:val="002C1EE7"/>
    <w:rsid w:val="002D0CCB"/>
    <w:rsid w:val="00345C79"/>
    <w:rsid w:val="00366A39"/>
    <w:rsid w:val="003A2DC1"/>
    <w:rsid w:val="003F6450"/>
    <w:rsid w:val="00415659"/>
    <w:rsid w:val="0048005C"/>
    <w:rsid w:val="004907AA"/>
    <w:rsid w:val="004D639B"/>
    <w:rsid w:val="004E242B"/>
    <w:rsid w:val="004F3823"/>
    <w:rsid w:val="00544379"/>
    <w:rsid w:val="00550BC9"/>
    <w:rsid w:val="00566944"/>
    <w:rsid w:val="005A387F"/>
    <w:rsid w:val="005D56BF"/>
    <w:rsid w:val="0062027E"/>
    <w:rsid w:val="00643644"/>
    <w:rsid w:val="00665D8D"/>
    <w:rsid w:val="0067360B"/>
    <w:rsid w:val="006A7A3B"/>
    <w:rsid w:val="006B3E33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7E17E5"/>
    <w:rsid w:val="008325ED"/>
    <w:rsid w:val="008512C1"/>
    <w:rsid w:val="008717E8"/>
    <w:rsid w:val="008B1AD6"/>
    <w:rsid w:val="008C2D6E"/>
    <w:rsid w:val="008D01AE"/>
    <w:rsid w:val="008E0423"/>
    <w:rsid w:val="008F2442"/>
    <w:rsid w:val="009141DC"/>
    <w:rsid w:val="009174A1"/>
    <w:rsid w:val="0092370A"/>
    <w:rsid w:val="009451DA"/>
    <w:rsid w:val="00980B8A"/>
    <w:rsid w:val="0098674D"/>
    <w:rsid w:val="00997ACA"/>
    <w:rsid w:val="00A03FB7"/>
    <w:rsid w:val="00A55C56"/>
    <w:rsid w:val="00A658DB"/>
    <w:rsid w:val="00A75A11"/>
    <w:rsid w:val="00A9606E"/>
    <w:rsid w:val="00AB34B1"/>
    <w:rsid w:val="00AD7EAD"/>
    <w:rsid w:val="00B35A32"/>
    <w:rsid w:val="00B432C6"/>
    <w:rsid w:val="00B471C5"/>
    <w:rsid w:val="00B6474A"/>
    <w:rsid w:val="00B64A71"/>
    <w:rsid w:val="00B84990"/>
    <w:rsid w:val="00BD2942"/>
    <w:rsid w:val="00BE1742"/>
    <w:rsid w:val="00BF2F5A"/>
    <w:rsid w:val="00C42BF7"/>
    <w:rsid w:val="00C53A2D"/>
    <w:rsid w:val="00C939C6"/>
    <w:rsid w:val="00C968B2"/>
    <w:rsid w:val="00D1261C"/>
    <w:rsid w:val="00D26030"/>
    <w:rsid w:val="00D27C50"/>
    <w:rsid w:val="00D36397"/>
    <w:rsid w:val="00D75DCE"/>
    <w:rsid w:val="00D94ADE"/>
    <w:rsid w:val="00DC0768"/>
    <w:rsid w:val="00DD35AC"/>
    <w:rsid w:val="00DD479F"/>
    <w:rsid w:val="00DE6706"/>
    <w:rsid w:val="00E009C5"/>
    <w:rsid w:val="00E15E48"/>
    <w:rsid w:val="00E472F4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7779D92-F739-4286-9C61-C0F9BFAE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BF7"/>
    <w:rPr>
      <w:color w:val="0000FF" w:themeColor="hyperlink"/>
      <w:u w:val="single"/>
    </w:rPr>
  </w:style>
  <w:style w:type="paragraph" w:customStyle="1" w:styleId="HChG">
    <w:name w:val="_ H _Ch_G"/>
    <w:basedOn w:val="Normal"/>
    <w:next w:val="Normal"/>
    <w:link w:val="HChGChar"/>
    <w:qFormat/>
    <w:rsid w:val="00DC076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SingleTxtG">
    <w:name w:val="_ Single Txt_G"/>
    <w:basedOn w:val="Normal"/>
    <w:link w:val="SingleTxtGChar"/>
    <w:rsid w:val="00DC076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DC0768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rsid w:val="00DC0768"/>
    <w:rPr>
      <w:rFonts w:ascii="Times New Roman" w:eastAsia="Times New Roman" w:hAnsi="Times New Roman" w:cs="Times New Roman"/>
      <w:b/>
      <w:sz w:val="28"/>
      <w:szCs w:val="20"/>
      <w:lang w:val="fr-CH"/>
    </w:rPr>
  </w:style>
  <w:style w:type="character" w:customStyle="1" w:styleId="SingleTxtGR0">
    <w:name w:val="_ Single Txt_GR Знак"/>
    <w:link w:val="SingleTxtGR"/>
    <w:rsid w:val="00DC0768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D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2D87-3F52-4FAA-AB2D-99941564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Lucille</cp:lastModifiedBy>
  <cp:revision>2</cp:revision>
  <dcterms:created xsi:type="dcterms:W3CDTF">2017-01-18T13:13:00Z</dcterms:created>
  <dcterms:modified xsi:type="dcterms:W3CDTF">2017-01-18T13:13:00Z</dcterms:modified>
</cp:coreProperties>
</file>