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3612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36127" w:rsidP="00C36127">
            <w:pPr>
              <w:jc w:val="right"/>
            </w:pPr>
            <w:r w:rsidRPr="00C36127">
              <w:rPr>
                <w:sz w:val="40"/>
              </w:rPr>
              <w:t>ECE</w:t>
            </w:r>
            <w:r>
              <w:t>/TRANS/WP.11/2017/4</w:t>
            </w:r>
          </w:p>
        </w:tc>
      </w:tr>
      <w:tr w:rsidR="002D5AAC" w:rsidRPr="000B179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3612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C36127" w:rsidRDefault="00C36127" w:rsidP="00C3612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July 2017</w:t>
            </w:r>
          </w:p>
          <w:p w:rsidR="00C36127" w:rsidRDefault="00C36127" w:rsidP="00C3612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C36127" w:rsidRPr="008D53B6" w:rsidRDefault="00C36127" w:rsidP="00C3612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C36127" w:rsidRPr="00C36127" w:rsidRDefault="00C36127" w:rsidP="00C36127">
      <w:pPr>
        <w:suppressAutoHyphens/>
        <w:spacing w:before="120"/>
        <w:rPr>
          <w:rFonts w:asciiTheme="majorBidi" w:eastAsia="Times New Roman" w:hAnsiTheme="majorBidi" w:cstheme="majorBidi"/>
          <w:sz w:val="28"/>
          <w:szCs w:val="28"/>
        </w:rPr>
      </w:pPr>
      <w:r w:rsidRPr="00C36127">
        <w:rPr>
          <w:rFonts w:asciiTheme="majorBidi" w:hAnsiTheme="majorBidi" w:cstheme="majorBidi"/>
          <w:sz w:val="28"/>
          <w:szCs w:val="28"/>
        </w:rPr>
        <w:t>Комитет по внутреннему транспорту</w:t>
      </w:r>
    </w:p>
    <w:p w:rsidR="00C36127" w:rsidRPr="00C36127" w:rsidRDefault="00C36127" w:rsidP="00C36127">
      <w:pPr>
        <w:suppressAutoHyphens/>
        <w:spacing w:before="120"/>
        <w:rPr>
          <w:rFonts w:asciiTheme="majorBidi" w:eastAsia="Times New Roman" w:hAnsiTheme="majorBidi" w:cstheme="majorBidi"/>
          <w:b/>
          <w:sz w:val="24"/>
          <w:szCs w:val="24"/>
        </w:rPr>
      </w:pPr>
      <w:r w:rsidRPr="00C36127">
        <w:rPr>
          <w:rFonts w:asciiTheme="majorBidi" w:hAnsiTheme="majorBidi" w:cstheme="majorBidi"/>
          <w:b/>
          <w:sz w:val="24"/>
          <w:szCs w:val="24"/>
        </w:rPr>
        <w:t xml:space="preserve">Рабочая группа по перевозкам скоропортящихся </w:t>
      </w:r>
      <w:r w:rsidRPr="00C36127">
        <w:rPr>
          <w:rFonts w:asciiTheme="majorBidi" w:hAnsiTheme="majorBidi" w:cstheme="majorBidi"/>
          <w:b/>
          <w:sz w:val="24"/>
          <w:szCs w:val="24"/>
        </w:rPr>
        <w:br/>
        <w:t>пищевых продуктов</w:t>
      </w:r>
    </w:p>
    <w:p w:rsidR="00C36127" w:rsidRPr="00C36127" w:rsidRDefault="00C36127" w:rsidP="00C36127">
      <w:pPr>
        <w:suppressAutoHyphens/>
        <w:spacing w:before="120"/>
        <w:rPr>
          <w:rFonts w:asciiTheme="majorBidi" w:eastAsia="Times New Roman" w:hAnsiTheme="majorBidi" w:cstheme="majorBidi"/>
          <w:b/>
          <w:szCs w:val="20"/>
        </w:rPr>
      </w:pPr>
      <w:r w:rsidRPr="00C36127">
        <w:rPr>
          <w:rFonts w:asciiTheme="majorBidi" w:hAnsiTheme="majorBidi" w:cstheme="majorBidi"/>
          <w:b/>
        </w:rPr>
        <w:t>Семьдесят третья сессия</w:t>
      </w:r>
    </w:p>
    <w:p w:rsidR="00C36127" w:rsidRPr="00E0618D" w:rsidRDefault="00C36127" w:rsidP="00C36127">
      <w:pPr>
        <w:suppressAutoHyphens/>
        <w:rPr>
          <w:rFonts w:asciiTheme="majorBidi" w:eastAsia="Times New Roman" w:hAnsiTheme="majorBidi" w:cstheme="majorBidi"/>
          <w:szCs w:val="20"/>
        </w:rPr>
      </w:pPr>
      <w:r w:rsidRPr="00E0618D">
        <w:rPr>
          <w:rFonts w:asciiTheme="majorBidi" w:hAnsiTheme="majorBidi" w:cstheme="majorBidi"/>
        </w:rPr>
        <w:t>Женева, 10</w:t>
      </w:r>
      <w:r w:rsidRPr="00831AFD">
        <w:rPr>
          <w:rFonts w:asciiTheme="majorBidi" w:hAnsiTheme="majorBidi" w:cstheme="majorBidi"/>
        </w:rPr>
        <w:t>–</w:t>
      </w:r>
      <w:r w:rsidRPr="00E0618D">
        <w:rPr>
          <w:rFonts w:asciiTheme="majorBidi" w:hAnsiTheme="majorBidi" w:cstheme="majorBidi"/>
        </w:rPr>
        <w:t>13 октября 2017 года</w:t>
      </w:r>
    </w:p>
    <w:p w:rsidR="00C36127" w:rsidRPr="00E0618D" w:rsidRDefault="00C36127" w:rsidP="00C36127">
      <w:pPr>
        <w:suppressAutoHyphens/>
        <w:rPr>
          <w:rFonts w:asciiTheme="majorBidi" w:eastAsia="Times New Roman" w:hAnsiTheme="majorBidi" w:cstheme="majorBidi"/>
          <w:szCs w:val="20"/>
        </w:rPr>
      </w:pPr>
      <w:r w:rsidRPr="00E0618D">
        <w:rPr>
          <w:rFonts w:asciiTheme="majorBidi" w:hAnsiTheme="majorBidi" w:cstheme="majorBidi"/>
        </w:rPr>
        <w:t>Пункт 5 b) предварительной повестки дня</w:t>
      </w:r>
    </w:p>
    <w:p w:rsidR="00E12C5F" w:rsidRPr="00831AFD" w:rsidRDefault="00C36127" w:rsidP="00C36127">
      <w:pPr>
        <w:rPr>
          <w:rFonts w:asciiTheme="majorBidi" w:hAnsiTheme="majorBidi" w:cstheme="majorBidi"/>
          <w:b/>
        </w:rPr>
      </w:pPr>
      <w:r w:rsidRPr="00C36127">
        <w:rPr>
          <w:rFonts w:asciiTheme="majorBidi" w:hAnsiTheme="majorBidi" w:cstheme="majorBidi"/>
          <w:b/>
        </w:rPr>
        <w:t>Предложения по поправкам к СПС: новые предложения</w:t>
      </w:r>
    </w:p>
    <w:p w:rsidR="00C36127" w:rsidRPr="00E0618D" w:rsidRDefault="00C36127" w:rsidP="00402577">
      <w:pPr>
        <w:pStyle w:val="HChGR"/>
      </w:pPr>
      <w:r w:rsidRPr="00E0618D">
        <w:tab/>
      </w:r>
      <w:r w:rsidRPr="00E0618D">
        <w:tab/>
        <w:t>Свидетельство о соответствии новых транспортных средств, передаваемых в страну регистрации оператора</w:t>
      </w:r>
    </w:p>
    <w:p w:rsidR="00C36127" w:rsidRPr="00E0618D" w:rsidRDefault="00C36127" w:rsidP="00402577">
      <w:pPr>
        <w:pStyle w:val="H1GR"/>
      </w:pPr>
      <w:r w:rsidRPr="00E0618D">
        <w:tab/>
      </w:r>
      <w:r w:rsidRPr="00E0618D">
        <w:tab/>
        <w:t xml:space="preserve">Передано правительством Нидерландов </w:t>
      </w:r>
    </w:p>
    <w:p w:rsidR="00C36127" w:rsidRPr="00E0618D" w:rsidRDefault="00C36127" w:rsidP="00402577">
      <w:pPr>
        <w:pStyle w:val="HChGR"/>
      </w:pPr>
      <w:r w:rsidRPr="00E0618D">
        <w:tab/>
      </w:r>
      <w:r w:rsidRPr="00E0618D">
        <w:tab/>
        <w:t>Введение</w:t>
      </w:r>
    </w:p>
    <w:p w:rsidR="00C36127" w:rsidRPr="00E0618D" w:rsidRDefault="00C36127" w:rsidP="00402577">
      <w:pPr>
        <w:pStyle w:val="SingleTxtGR"/>
      </w:pPr>
      <w:r w:rsidRPr="00E0618D">
        <w:t>1.</w:t>
      </w:r>
      <w:r w:rsidRPr="00E0618D">
        <w:tab/>
      </w:r>
      <w:proofErr w:type="gramStart"/>
      <w:r w:rsidRPr="00E0618D">
        <w:t>В</w:t>
      </w:r>
      <w:proofErr w:type="gramEnd"/>
      <w:r w:rsidRPr="00E0618D">
        <w:t xml:space="preserve"> пункте 3 b) добавления 1 к приложению 1 предусматривается, что для выдачи свидетельства о соответствии в отношении нового транспортного средства в стране, в которую передается это транспортное средство, прежде всего свидетельство о соответствии должен выдать компетентный орган страны изготовления. Нидерланды придерживаются того мнения, что выдача двух свидетельств – одного в стране изготовления и другого в стране регистрации оператора</w:t>
      </w:r>
      <w:r w:rsidR="001739EB">
        <w:t xml:space="preserve"> –</w:t>
      </w:r>
      <w:r w:rsidRPr="00E0618D">
        <w:t xml:space="preserve"> ведет к увеличению затрат и не имеет какой-либо дополнительной ценности.</w:t>
      </w:r>
    </w:p>
    <w:p w:rsidR="00C36127" w:rsidRPr="00E0618D" w:rsidRDefault="00C36127" w:rsidP="00402577">
      <w:pPr>
        <w:pStyle w:val="SingleTxtGR"/>
      </w:pPr>
      <w:r w:rsidRPr="00E0618D">
        <w:t>2.</w:t>
      </w:r>
      <w:r w:rsidRPr="00E0618D">
        <w:tab/>
        <w:t xml:space="preserve">Предлагается заменить свидетельство о соответствии, выдаваемое компетентным органом страны изготовления, свидетельством о соответствии (со свидетельством об официальном утверждении типа) изготовителя. Это уже практикуется в отношении транспортных средств, для которых на основе свидетельства о соответствии страной использования выдается первоначальный регистрационный документ. С тем чтобы транспортное средство можно было незамедлительно – от ворот завода – начать эксплуатировать, должна иметься возможность выдачи предварительного свидетельства о соответствии. По просьбе оператора оно может быть выдано страной происхождения или страной, в которой транспортное средство зарегистрировано или поставлено на учет. </w:t>
      </w:r>
    </w:p>
    <w:p w:rsidR="00C36127" w:rsidRPr="00E0618D" w:rsidRDefault="00C36127" w:rsidP="000B179C">
      <w:pPr>
        <w:pStyle w:val="H1GR"/>
        <w:spacing w:before="280" w:after="200"/>
      </w:pPr>
      <w:r w:rsidRPr="00E0618D">
        <w:lastRenderedPageBreak/>
        <w:tab/>
      </w:r>
      <w:r w:rsidRPr="00E0618D">
        <w:tab/>
        <w:t>Предложение 1</w:t>
      </w:r>
      <w:r w:rsidR="001739EB">
        <w:br/>
      </w:r>
      <w:r w:rsidR="001739EB" w:rsidRPr="001739EB">
        <w:t>И</w:t>
      </w:r>
      <w:r w:rsidRPr="00E0618D">
        <w:t xml:space="preserve">зменить формулировку пункта 3 b) добавления 1 </w:t>
      </w:r>
      <w:r w:rsidR="001739EB">
        <w:br/>
      </w:r>
      <w:r w:rsidRPr="00E0618D">
        <w:t>к приложению 1 следующим образом:</w:t>
      </w:r>
    </w:p>
    <w:p w:rsidR="00C36127" w:rsidRPr="00E0618D" w:rsidRDefault="00402577" w:rsidP="00402577">
      <w:pPr>
        <w:pStyle w:val="SingleTxtGR"/>
      </w:pPr>
      <w:r>
        <w:t>«</w:t>
      </w:r>
      <w:r w:rsidR="00C36127" w:rsidRPr="00E0618D">
        <w:t>b)</w:t>
      </w:r>
      <w:r w:rsidR="00C36127" w:rsidRPr="00E0618D">
        <w:tab/>
        <w:t xml:space="preserve">во всех случаях для нового транспортного средства – свидетельство о соответствии, выданное изготовителем, или в случае эксплуатируемого транспортного средства – свидетельство о соответствии, выданное страной, в которой это транспортное средство было зарегистрировано или поставлено на учет. </w:t>
      </w:r>
    </w:p>
    <w:p w:rsidR="00C36127" w:rsidRPr="00E0618D" w:rsidRDefault="00C36127" w:rsidP="00402577">
      <w:pPr>
        <w:pStyle w:val="SingleTxtGR"/>
        <w:rPr>
          <w:i/>
          <w:iCs/>
        </w:rPr>
      </w:pPr>
      <w:r w:rsidRPr="00E0618D">
        <w:rPr>
          <w:b/>
          <w:bCs/>
          <w:i/>
          <w:iCs/>
        </w:rPr>
        <w:t>ПРИМЕЧАНИЕ</w:t>
      </w:r>
      <w:r w:rsidRPr="00E0618D">
        <w:rPr>
          <w:i/>
          <w:iCs/>
        </w:rPr>
        <w:t xml:space="preserve">: </w:t>
      </w:r>
      <w:proofErr w:type="gramStart"/>
      <w:r w:rsidRPr="00E0618D">
        <w:rPr>
          <w:i/>
          <w:iCs/>
        </w:rPr>
        <w:t>В</w:t>
      </w:r>
      <w:proofErr w:type="gramEnd"/>
      <w:r w:rsidRPr="00E0618D">
        <w:rPr>
          <w:i/>
          <w:iCs/>
        </w:rPr>
        <w:t xml:space="preserve"> случае новых транспортных средств и по просьбе оператора в предварительном порядке может выдаваться свидетельство о соответствии компетентным органом в стране изготовления, или в стране регистрации оператора.</w:t>
      </w:r>
      <w:r w:rsidR="00402577">
        <w:rPr>
          <w:i/>
          <w:iCs/>
        </w:rPr>
        <w:t>»</w:t>
      </w:r>
      <w:r w:rsidRPr="00E0618D">
        <w:rPr>
          <w:i/>
          <w:iCs/>
        </w:rPr>
        <w:t>.</w:t>
      </w:r>
    </w:p>
    <w:p w:rsidR="00C36127" w:rsidRPr="00E0618D" w:rsidRDefault="00C36127" w:rsidP="001130E4">
      <w:pPr>
        <w:pStyle w:val="H1GR"/>
        <w:spacing w:before="280"/>
      </w:pPr>
      <w:r w:rsidRPr="00E0618D">
        <w:tab/>
      </w:r>
      <w:r w:rsidRPr="00E0618D">
        <w:tab/>
        <w:t>Предложение 2</w:t>
      </w:r>
      <w:r w:rsidR="00E95A52">
        <w:br/>
        <w:t>В</w:t>
      </w:r>
      <w:r w:rsidRPr="00E0618D">
        <w:t xml:space="preserve">ключить новый раздел </w:t>
      </w:r>
      <w:r w:rsidR="00402577">
        <w:t>«</w:t>
      </w:r>
      <w:r w:rsidRPr="00E0618D">
        <w:t>C</w:t>
      </w:r>
      <w:r w:rsidR="00402577">
        <w:t>»</w:t>
      </w:r>
      <w:r w:rsidRPr="00E0618D">
        <w:t xml:space="preserve"> в добавление 3 к приложению 1 следующего содержания:</w:t>
      </w:r>
    </w:p>
    <w:p w:rsidR="00C36127" w:rsidRPr="00E0618D" w:rsidRDefault="00C36127" w:rsidP="001130E4">
      <w:pPr>
        <w:pStyle w:val="H1GR"/>
        <w:spacing w:before="280" w:after="200"/>
      </w:pPr>
      <w:r w:rsidRPr="00E0618D">
        <w:tab/>
        <w:t>C.</w:t>
      </w:r>
      <w:r w:rsidRPr="00E0618D">
        <w:tab/>
        <w:t>Образец бланка свидетельства о соответствии, предусмотренного в пункте 3 b) добавления 1 к приложению 1</w:t>
      </w:r>
    </w:p>
    <w:p w:rsidR="00C36127" w:rsidRPr="00E0618D" w:rsidRDefault="00C36127" w:rsidP="003D0BFF">
      <w:pPr>
        <w:pStyle w:val="SingleTxtGR"/>
      </w:pPr>
      <w:r w:rsidRPr="00E0618D">
        <w:t xml:space="preserve">(Предлагаемое </w:t>
      </w:r>
      <w:r w:rsidR="00402577">
        <w:t>«</w:t>
      </w:r>
      <w:r w:rsidRPr="00E0618D">
        <w:t>свидетельство о соответствии</w:t>
      </w:r>
      <w:r w:rsidR="00402577">
        <w:t>»</w:t>
      </w:r>
      <w:r w:rsidRPr="00E0618D">
        <w:t xml:space="preserve"> см. в приложении к настоящему документу).</w:t>
      </w:r>
    </w:p>
    <w:p w:rsidR="00C36127" w:rsidRPr="00E0618D" w:rsidRDefault="00C36127" w:rsidP="003D0BFF">
      <w:pPr>
        <w:pStyle w:val="H23GR"/>
      </w:pPr>
      <w:r w:rsidRPr="00E0618D">
        <w:tab/>
      </w:r>
      <w:r w:rsidRPr="00E0618D">
        <w:tab/>
        <w:t>Обоснование:</w:t>
      </w:r>
    </w:p>
    <w:p w:rsidR="00C36127" w:rsidRPr="00E0618D" w:rsidRDefault="00C36127" w:rsidP="003D0BFF">
      <w:pPr>
        <w:pStyle w:val="SingleTxtGR"/>
      </w:pPr>
      <w:r w:rsidRPr="00E0618D">
        <w:t>3.</w:t>
      </w:r>
      <w:r w:rsidRPr="00E0618D">
        <w:tab/>
        <w:t>Порядок, при котором первоначально выдается свидетельство о соответствии компетентным органом в стране изготовления, а затем – окончательное свидетельство в стране использования, не создает дополнительной ценности и требует необоснованных расходов. Изготовитель ведет производственную документацию по транспортному средству, в отношении которого выдается свидетельство о соответствии, подлежащее проверке компетентным органом, в рамках сферы ответственности которого было предоставлено официальное утверждение типа.</w:t>
      </w:r>
    </w:p>
    <w:p w:rsidR="00C36127" w:rsidRPr="00E0618D" w:rsidRDefault="00C36127" w:rsidP="003D0BFF">
      <w:pPr>
        <w:pStyle w:val="SingleTxtGR"/>
      </w:pPr>
      <w:r w:rsidRPr="00E0618D">
        <w:t>4.</w:t>
      </w:r>
      <w:r w:rsidRPr="00E0618D">
        <w:tab/>
        <w:t xml:space="preserve">Многие изотермические грузовые транспортные средства доставляются операторам без средств-рефрижераторов, которые устанавливаются на изотермический кузов на месте. Это требует отражения в свидетельствах с различными классификациями отсутствия таких средств с последующей проверкой компетентным органом, что увеличивает расходы для оператора. </w:t>
      </w:r>
    </w:p>
    <w:p w:rsidR="00C36127" w:rsidRPr="00E0618D" w:rsidRDefault="00C36127" w:rsidP="003D0BFF">
      <w:pPr>
        <w:pStyle w:val="SingleTxtGR"/>
      </w:pPr>
      <w:r w:rsidRPr="00E0618D">
        <w:t>5.</w:t>
      </w:r>
      <w:r w:rsidRPr="00E0618D">
        <w:tab/>
      </w:r>
      <w:proofErr w:type="gramStart"/>
      <w:r w:rsidR="000B179C" w:rsidRPr="00E0618D">
        <w:t>В</w:t>
      </w:r>
      <w:proofErr w:type="gramEnd"/>
      <w:r w:rsidR="000B179C" w:rsidRPr="00E0618D">
        <w:t xml:space="preserve"> некоторых странах ЕС транспортные средства при наличии свидетельства о соответствии СПС могут быть в ширину не более 2,60 м</w:t>
      </w:r>
      <w:r w:rsidR="000B179C">
        <w:t>етров</w:t>
      </w:r>
      <w:r w:rsidR="000B179C" w:rsidRPr="00E0618D">
        <w:t>. И хотя требование в отношении максимальной ширины транспортного средства, равной 2,60 м, предусмотрено в отношении транспортных средств СПС, оно, в частности, не упоминается в директиве ЕС о массах и размерах. С тем чтобы избежать обсуждения вопроса о ширин</w:t>
      </w:r>
      <w:r w:rsidR="000B179C">
        <w:t>е</w:t>
      </w:r>
      <w:r w:rsidR="000B179C" w:rsidRPr="00E0618D">
        <w:t xml:space="preserve"> транспортного средства </w:t>
      </w:r>
      <w:r w:rsidR="000B179C">
        <w:t xml:space="preserve">в момент </w:t>
      </w:r>
      <w:r w:rsidR="000B179C" w:rsidRPr="00E0618D">
        <w:t>перевозк</w:t>
      </w:r>
      <w:r w:rsidR="000B179C">
        <w:t>и</w:t>
      </w:r>
      <w:r w:rsidR="000B179C" w:rsidRPr="00E0618D">
        <w:t xml:space="preserve"> </w:t>
      </w:r>
      <w:r w:rsidR="000B179C">
        <w:t xml:space="preserve">от изготовителя </w:t>
      </w:r>
      <w:r w:rsidR="000B179C" w:rsidRPr="00E0618D">
        <w:t>до оператора</w:t>
      </w:r>
      <w:r w:rsidR="000B179C">
        <w:t>,</w:t>
      </w:r>
      <w:r w:rsidR="000B179C" w:rsidRPr="00E0618D">
        <w:t xml:space="preserve"> в свидетельство о соответствии было включено положение о том, что </w:t>
      </w:r>
      <w:r w:rsidR="000B179C">
        <w:t xml:space="preserve">в этом отношении оно равнозначно </w:t>
      </w:r>
      <w:r w:rsidR="000B179C" w:rsidRPr="00E0618D">
        <w:t>свидетельств</w:t>
      </w:r>
      <w:r w:rsidR="000B179C">
        <w:t>у СПС</w:t>
      </w:r>
      <w:r w:rsidR="000B179C" w:rsidRPr="00E0618D">
        <w:t>.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5051"/>
      </w:tblGrid>
      <w:tr w:rsidR="00C36127" w:rsidRPr="00E0618D" w:rsidTr="001130E4">
        <w:tc>
          <w:tcPr>
            <w:tcW w:w="2604" w:type="dxa"/>
            <w:shd w:val="clear" w:color="auto" w:fill="auto"/>
          </w:tcPr>
          <w:p w:rsidR="00C36127" w:rsidRPr="00E0618D" w:rsidRDefault="00C36127" w:rsidP="003D0BFF">
            <w:pPr>
              <w:suppressAutoHyphens/>
              <w:spacing w:after="120"/>
              <w:rPr>
                <w:rFonts w:asciiTheme="majorBidi" w:eastAsia="Times New Roman" w:hAnsiTheme="majorBidi" w:cstheme="majorBidi"/>
                <w:szCs w:val="20"/>
              </w:rPr>
            </w:pPr>
            <w:r w:rsidRPr="00E0618D">
              <w:rPr>
                <w:rFonts w:asciiTheme="majorBidi" w:hAnsiTheme="majorBidi" w:cstheme="majorBidi"/>
              </w:rPr>
              <w:t>Расходы:</w:t>
            </w:r>
          </w:p>
        </w:tc>
        <w:tc>
          <w:tcPr>
            <w:tcW w:w="5051" w:type="dxa"/>
            <w:shd w:val="clear" w:color="auto" w:fill="auto"/>
          </w:tcPr>
          <w:p w:rsidR="00C36127" w:rsidRPr="00E0618D" w:rsidRDefault="00C36127" w:rsidP="005C26E8">
            <w:pPr>
              <w:suppressAutoHyphens/>
              <w:spacing w:after="80" w:line="160" w:lineRule="atLeast"/>
              <w:ind w:left="96"/>
              <w:rPr>
                <w:rFonts w:asciiTheme="majorBidi" w:eastAsia="Times New Roman" w:hAnsiTheme="majorBidi" w:cstheme="majorBidi"/>
                <w:szCs w:val="20"/>
              </w:rPr>
            </w:pPr>
            <w:r w:rsidRPr="00E0618D">
              <w:rPr>
                <w:rFonts w:asciiTheme="majorBidi" w:hAnsiTheme="majorBidi" w:cstheme="majorBidi"/>
              </w:rPr>
              <w:t>Расходы будут сокращены в результате того, что свидетельство будет оплачиваться один раз.</w:t>
            </w:r>
          </w:p>
        </w:tc>
      </w:tr>
      <w:tr w:rsidR="00C36127" w:rsidRPr="00E0618D" w:rsidTr="001130E4">
        <w:tc>
          <w:tcPr>
            <w:tcW w:w="2604" w:type="dxa"/>
            <w:shd w:val="clear" w:color="auto" w:fill="auto"/>
          </w:tcPr>
          <w:p w:rsidR="00C36127" w:rsidRPr="00E0618D" w:rsidRDefault="00C36127" w:rsidP="003D0BFF">
            <w:pPr>
              <w:suppressAutoHyphens/>
              <w:spacing w:after="120"/>
              <w:rPr>
                <w:rFonts w:asciiTheme="majorBidi" w:eastAsia="Times New Roman" w:hAnsiTheme="majorBidi" w:cstheme="majorBidi"/>
                <w:szCs w:val="20"/>
              </w:rPr>
            </w:pPr>
            <w:r w:rsidRPr="00E0618D">
              <w:rPr>
                <w:rFonts w:asciiTheme="majorBidi" w:hAnsiTheme="majorBidi" w:cstheme="majorBidi"/>
              </w:rPr>
              <w:t>Осуществимость:</w:t>
            </w:r>
          </w:p>
        </w:tc>
        <w:tc>
          <w:tcPr>
            <w:tcW w:w="5051" w:type="dxa"/>
            <w:shd w:val="clear" w:color="auto" w:fill="auto"/>
          </w:tcPr>
          <w:p w:rsidR="00C36127" w:rsidRPr="00E0618D" w:rsidRDefault="00C36127" w:rsidP="005C26E8">
            <w:pPr>
              <w:suppressAutoHyphens/>
              <w:spacing w:after="80" w:line="160" w:lineRule="atLeast"/>
              <w:ind w:left="96"/>
              <w:rPr>
                <w:rFonts w:asciiTheme="majorBidi" w:eastAsia="Times New Roman" w:hAnsiTheme="majorBidi" w:cstheme="majorBidi"/>
                <w:szCs w:val="20"/>
              </w:rPr>
            </w:pPr>
            <w:r w:rsidRPr="00E0618D">
              <w:rPr>
                <w:rFonts w:asciiTheme="majorBidi" w:hAnsiTheme="majorBidi" w:cstheme="majorBidi"/>
              </w:rPr>
              <w:t xml:space="preserve">Эта процедура уже успешно применяется в отношении других правил. </w:t>
            </w:r>
          </w:p>
        </w:tc>
      </w:tr>
      <w:tr w:rsidR="00C36127" w:rsidRPr="00E0618D" w:rsidTr="001130E4">
        <w:tc>
          <w:tcPr>
            <w:tcW w:w="2604" w:type="dxa"/>
            <w:shd w:val="clear" w:color="auto" w:fill="auto"/>
          </w:tcPr>
          <w:p w:rsidR="00C36127" w:rsidRPr="00E0618D" w:rsidRDefault="00C36127" w:rsidP="003D0BFF">
            <w:pPr>
              <w:suppressAutoHyphens/>
              <w:spacing w:after="120"/>
              <w:ind w:right="1134"/>
              <w:rPr>
                <w:rFonts w:asciiTheme="majorBidi" w:eastAsia="Times New Roman" w:hAnsiTheme="majorBidi" w:cstheme="majorBidi"/>
                <w:szCs w:val="20"/>
                <w:lang w:eastAsia="en-US"/>
              </w:rPr>
            </w:pPr>
          </w:p>
        </w:tc>
        <w:tc>
          <w:tcPr>
            <w:tcW w:w="5051" w:type="dxa"/>
            <w:shd w:val="clear" w:color="auto" w:fill="auto"/>
          </w:tcPr>
          <w:p w:rsidR="00C36127" w:rsidRPr="00E0618D" w:rsidRDefault="00C36127" w:rsidP="005C26E8">
            <w:pPr>
              <w:suppressAutoHyphens/>
              <w:spacing w:after="80" w:line="160" w:lineRule="atLeast"/>
              <w:ind w:left="96"/>
              <w:rPr>
                <w:rFonts w:asciiTheme="majorBidi" w:eastAsia="Times New Roman" w:hAnsiTheme="majorBidi" w:cstheme="majorBidi"/>
                <w:szCs w:val="20"/>
              </w:rPr>
            </w:pPr>
            <w:r w:rsidRPr="00E0618D">
              <w:rPr>
                <w:rFonts w:asciiTheme="majorBidi" w:hAnsiTheme="majorBidi" w:cstheme="majorBidi"/>
              </w:rPr>
              <w:t>Переходный период не требуется.</w:t>
            </w:r>
          </w:p>
        </w:tc>
      </w:tr>
      <w:tr w:rsidR="00C36127" w:rsidRPr="00E0618D" w:rsidTr="001130E4">
        <w:tc>
          <w:tcPr>
            <w:tcW w:w="2604" w:type="dxa"/>
            <w:shd w:val="clear" w:color="auto" w:fill="auto"/>
          </w:tcPr>
          <w:p w:rsidR="00C36127" w:rsidRPr="00E0618D" w:rsidRDefault="00C36127" w:rsidP="003D0BFF">
            <w:pPr>
              <w:suppressAutoHyphens/>
              <w:spacing w:after="120"/>
              <w:ind w:right="3"/>
              <w:rPr>
                <w:rFonts w:asciiTheme="majorBidi" w:eastAsia="Times New Roman" w:hAnsiTheme="majorBidi" w:cstheme="majorBidi"/>
                <w:szCs w:val="20"/>
              </w:rPr>
            </w:pPr>
            <w:r w:rsidRPr="00E0618D">
              <w:rPr>
                <w:rFonts w:asciiTheme="majorBidi" w:hAnsiTheme="majorBidi" w:cstheme="majorBidi"/>
              </w:rPr>
              <w:t>Последствие для окружающей среды</w:t>
            </w:r>
            <w:r w:rsidR="00831AFD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051" w:type="dxa"/>
            <w:shd w:val="clear" w:color="auto" w:fill="auto"/>
          </w:tcPr>
          <w:p w:rsidR="00C36127" w:rsidRPr="00E0618D" w:rsidRDefault="00C36127" w:rsidP="005C26E8">
            <w:pPr>
              <w:suppressAutoHyphens/>
              <w:spacing w:after="80" w:line="160" w:lineRule="atLeast"/>
              <w:ind w:left="96"/>
              <w:rPr>
                <w:rFonts w:asciiTheme="majorBidi" w:eastAsia="Times New Roman" w:hAnsiTheme="majorBidi" w:cstheme="majorBidi"/>
                <w:szCs w:val="20"/>
              </w:rPr>
            </w:pPr>
            <w:r w:rsidRPr="00E0618D">
              <w:rPr>
                <w:rFonts w:asciiTheme="majorBidi" w:hAnsiTheme="majorBidi" w:cstheme="majorBidi"/>
              </w:rPr>
              <w:t>Ожидается, что внедрение этой процедуры не окажет никакого воздействия на окружающую среду.</w:t>
            </w:r>
          </w:p>
        </w:tc>
      </w:tr>
      <w:tr w:rsidR="00C36127" w:rsidRPr="00E0618D" w:rsidTr="001130E4">
        <w:tc>
          <w:tcPr>
            <w:tcW w:w="2604" w:type="dxa"/>
            <w:shd w:val="clear" w:color="auto" w:fill="auto"/>
          </w:tcPr>
          <w:p w:rsidR="00C36127" w:rsidRPr="00E0618D" w:rsidRDefault="00C36127" w:rsidP="003D0BFF">
            <w:pPr>
              <w:suppressAutoHyphens/>
              <w:spacing w:after="120"/>
              <w:rPr>
                <w:rFonts w:asciiTheme="majorBidi" w:eastAsia="Times New Roman" w:hAnsiTheme="majorBidi" w:cstheme="majorBidi"/>
                <w:szCs w:val="20"/>
              </w:rPr>
            </w:pPr>
            <w:r w:rsidRPr="00E0618D">
              <w:rPr>
                <w:rFonts w:asciiTheme="majorBidi" w:hAnsiTheme="majorBidi" w:cstheme="majorBidi"/>
              </w:rPr>
              <w:t>Обеспечение применения:</w:t>
            </w:r>
          </w:p>
        </w:tc>
        <w:tc>
          <w:tcPr>
            <w:tcW w:w="5051" w:type="dxa"/>
            <w:shd w:val="clear" w:color="auto" w:fill="auto"/>
          </w:tcPr>
          <w:p w:rsidR="00C36127" w:rsidRPr="00E0618D" w:rsidRDefault="00C36127" w:rsidP="000B179C">
            <w:pPr>
              <w:suppressAutoHyphens/>
              <w:ind w:left="96"/>
              <w:rPr>
                <w:rFonts w:asciiTheme="majorBidi" w:eastAsia="Times New Roman" w:hAnsiTheme="majorBidi" w:cstheme="majorBidi"/>
                <w:szCs w:val="20"/>
              </w:rPr>
            </w:pPr>
            <w:r w:rsidRPr="00E0618D">
              <w:rPr>
                <w:rFonts w:asciiTheme="majorBidi" w:hAnsiTheme="majorBidi" w:cstheme="majorBidi"/>
              </w:rPr>
              <w:t xml:space="preserve">Никаких проблем не ожидается. </w:t>
            </w:r>
          </w:p>
        </w:tc>
      </w:tr>
    </w:tbl>
    <w:p w:rsidR="00C36127" w:rsidRPr="00E0618D" w:rsidRDefault="00C36127" w:rsidP="002B76BF">
      <w:pPr>
        <w:pStyle w:val="HChGR"/>
      </w:pPr>
      <w:r w:rsidRPr="00E0618D">
        <w:lastRenderedPageBreak/>
        <w:t>Приложение</w:t>
      </w:r>
    </w:p>
    <w:p w:rsidR="00C36127" w:rsidRPr="00E0618D" w:rsidRDefault="00C36127" w:rsidP="002B76BF">
      <w:pPr>
        <w:pStyle w:val="HChGR"/>
      </w:pPr>
      <w:r w:rsidRPr="00E0618D">
        <w:tab/>
      </w:r>
      <w:r w:rsidRPr="00E0618D">
        <w:tab/>
        <w:t>Свидетельство о соответствии</w:t>
      </w:r>
    </w:p>
    <w:p w:rsidR="00C36127" w:rsidRPr="00E0618D" w:rsidRDefault="00C36127" w:rsidP="002B76BF">
      <w:pPr>
        <w:pStyle w:val="HChGR"/>
      </w:pPr>
      <w:r w:rsidRPr="00E0618D">
        <w:tab/>
      </w:r>
      <w:r w:rsidRPr="00E0618D">
        <w:tab/>
        <w:t xml:space="preserve">Соглашение о международных перевозках скоропортящихся пищевых продуктов </w:t>
      </w:r>
      <w:r w:rsidR="002B76BF">
        <w:br/>
      </w:r>
      <w:r w:rsidRPr="00E0618D">
        <w:t>и о специальных транспортных средствах, предназначенных для этих перевозок (СПС)</w:t>
      </w:r>
    </w:p>
    <w:p w:rsidR="00C36127" w:rsidRPr="002B76BF" w:rsidRDefault="00C36127" w:rsidP="002B76BF">
      <w:pPr>
        <w:pStyle w:val="SingleTxtGR"/>
        <w:rPr>
          <w:i/>
          <w:sz w:val="18"/>
          <w:szCs w:val="18"/>
        </w:rPr>
      </w:pPr>
      <w:r w:rsidRPr="002B76BF">
        <w:rPr>
          <w:i/>
        </w:rPr>
        <w:t xml:space="preserve">Это свидетельство может быть использовано для выдачи первоначального свидетельства СПС в стране, в которой транспортное средство должно быть зарегистрировано или поставлено на учет и </w:t>
      </w:r>
      <w:proofErr w:type="gramStart"/>
      <w:r w:rsidRPr="002B76BF">
        <w:rPr>
          <w:i/>
        </w:rPr>
        <w:t>в отношении</w:t>
      </w:r>
      <w:proofErr w:type="gramEnd"/>
      <w:r w:rsidRPr="002B76BF">
        <w:rPr>
          <w:i/>
        </w:rPr>
        <w:t xml:space="preserve"> которого свидетельство СПС в стране изготовления не выдается. </w:t>
      </w:r>
    </w:p>
    <w:p w:rsidR="00C36127" w:rsidRPr="002B76BF" w:rsidRDefault="00C36127" w:rsidP="002B76BF">
      <w:pPr>
        <w:pStyle w:val="SingleTxtGR"/>
        <w:rPr>
          <w:i/>
          <w:sz w:val="18"/>
          <w:szCs w:val="18"/>
        </w:rPr>
      </w:pPr>
      <w:r w:rsidRPr="002B76BF">
        <w:rPr>
          <w:i/>
        </w:rPr>
        <w:t xml:space="preserve">Для передачи нового транспортного средства, не перевозящего скоропортящиеся пищевые продукты, из страны изготовления в страну, в которой данное транспортное средство должно быть зарегистрировано или поставлено на учет, это свидетельство должно рассматриваться как свидетельство СПС. </w:t>
      </w:r>
    </w:p>
    <w:p w:rsidR="00C36127" w:rsidRPr="002B76BF" w:rsidRDefault="00C36127" w:rsidP="002B76BF">
      <w:pPr>
        <w:pStyle w:val="SingleTxtGR"/>
        <w:jc w:val="left"/>
      </w:pPr>
      <w:r w:rsidRPr="00E0618D">
        <w:rPr>
          <w:i/>
          <w:iCs/>
        </w:rPr>
        <w:t>Транспортное средство:</w:t>
      </w:r>
      <w:r w:rsidRPr="00E0618D">
        <w:rPr>
          <w:i/>
        </w:rPr>
        <w:t xml:space="preserve"> </w:t>
      </w:r>
      <w:r w:rsidRPr="00E0618D">
        <w:rPr>
          <w:i/>
        </w:rPr>
        <w:br/>
      </w:r>
      <w:r w:rsidRPr="00E0618D">
        <w:t xml:space="preserve">Тип (автофургон, грузовое транспортное средство, прицеп, полуприцеп, </w:t>
      </w:r>
      <w:r w:rsidR="005C26E8">
        <w:br/>
      </w:r>
      <w:r w:rsidRPr="00E0618D">
        <w:t>контейнер, железнодорожный вагон)</w:t>
      </w:r>
      <w:r w:rsidRPr="00E0618D">
        <w:rPr>
          <w:vertAlign w:val="superscript"/>
        </w:rPr>
        <w:t>1</w:t>
      </w:r>
      <w:r w:rsidRPr="00892997">
        <w:rPr>
          <w:i/>
        </w:rPr>
        <w:br/>
      </w:r>
      <w:r w:rsidRPr="00E0618D">
        <w:t>Идентификационный номер</w:t>
      </w:r>
      <w:r w:rsidRPr="00E0618D">
        <w:rPr>
          <w:vertAlign w:val="superscript"/>
        </w:rPr>
        <w:t>2</w:t>
      </w:r>
      <w:r w:rsidR="002B76BF">
        <w:t>:</w:t>
      </w:r>
      <w:r w:rsidRPr="00892997">
        <w:rPr>
          <w:i/>
        </w:rPr>
        <w:br/>
      </w:r>
      <w:r w:rsidRPr="00E0618D">
        <w:t>Регистрационный номер</w:t>
      </w:r>
      <w:r w:rsidRPr="00E0618D">
        <w:rPr>
          <w:vertAlign w:val="superscript"/>
        </w:rPr>
        <w:t>2</w:t>
      </w:r>
      <w:r w:rsidR="002B76BF">
        <w:t>:</w:t>
      </w:r>
    </w:p>
    <w:p w:rsidR="00C36127" w:rsidRPr="00E0618D" w:rsidRDefault="00C36127" w:rsidP="00827BB8">
      <w:pPr>
        <w:pStyle w:val="SingleTxtGR"/>
        <w:spacing w:after="240"/>
        <w:jc w:val="left"/>
      </w:pPr>
      <w:r w:rsidRPr="00E0618D">
        <w:rPr>
          <w:i/>
          <w:iCs/>
        </w:rPr>
        <w:t>Изотермический кузов:</w:t>
      </w:r>
      <w:r w:rsidRPr="00E0618D">
        <w:rPr>
          <w:i/>
        </w:rPr>
        <w:t xml:space="preserve"> </w:t>
      </w:r>
      <w:r w:rsidRPr="00E0618D">
        <w:rPr>
          <w:i/>
        </w:rPr>
        <w:br/>
      </w:r>
      <w:r w:rsidRPr="00E0618D">
        <w:t>Марка/фирменное название:</w:t>
      </w:r>
      <w:r w:rsidRPr="00E0618D">
        <w:rPr>
          <w:i/>
        </w:rPr>
        <w:t xml:space="preserve"> </w:t>
      </w:r>
      <w:r w:rsidRPr="00E0618D">
        <w:rPr>
          <w:i/>
        </w:rPr>
        <w:br/>
      </w:r>
      <w:r w:rsidRPr="00E0618D">
        <w:t>Тип: Но</w:t>
      </w:r>
      <w:r w:rsidR="002F2578">
        <w:t xml:space="preserve">мер протокола испытания СПС: </w:t>
      </w:r>
      <w:r w:rsidR="002F2578">
        <w:tab/>
      </w:r>
      <w:r w:rsidR="002F2578">
        <w:tab/>
      </w:r>
      <w:r w:rsidRPr="00E0618D">
        <w:t xml:space="preserve">Действительно до: </w:t>
      </w:r>
      <w:r w:rsidR="002F2578">
        <w:br/>
      </w:r>
      <w:r w:rsidRPr="00E0618D">
        <w:t>Протокол испытания составлен:</w:t>
      </w:r>
      <w:r w:rsidRPr="00E0618D">
        <w:rPr>
          <w:i/>
        </w:rPr>
        <w:t xml:space="preserve"> </w:t>
      </w:r>
      <w:r w:rsidRPr="00E0618D">
        <w:rPr>
          <w:i/>
        </w:rPr>
        <w:br/>
      </w:r>
      <w:r>
        <w:t>С</w:t>
      </w:r>
      <w:r w:rsidRPr="00E0618D">
        <w:t>ерийный номер:</w:t>
      </w:r>
      <w:r w:rsidRPr="00E0618D">
        <w:rPr>
          <w:i/>
        </w:rPr>
        <w:t xml:space="preserve"> </w:t>
      </w:r>
      <w:r w:rsidRPr="00E0618D">
        <w:rPr>
          <w:i/>
        </w:rPr>
        <w:br/>
      </w:r>
      <w:r>
        <w:t>Р</w:t>
      </w:r>
      <w:r w:rsidRPr="00E0618D">
        <w:t>асположение таблички изготовителя:</w:t>
      </w:r>
      <w:r w:rsidRPr="00E0618D">
        <w:rPr>
          <w:i/>
        </w:rPr>
        <w:t xml:space="preserve"> </w:t>
      </w:r>
      <w:r w:rsidRPr="00E0618D">
        <w:rPr>
          <w:i/>
        </w:rPr>
        <w:br/>
      </w:r>
      <w:r>
        <w:t>З</w:t>
      </w:r>
      <w:r w:rsidRPr="00E0618D">
        <w:t>начение K:</w:t>
      </w:r>
      <w:r w:rsidRPr="00E0618D">
        <w:rPr>
          <w:i/>
        </w:rPr>
        <w:t xml:space="preserve"> </w:t>
      </w:r>
      <w:r w:rsidRPr="00E0618D">
        <w:rPr>
          <w:i/>
        </w:rPr>
        <w:br/>
      </w:r>
      <w:r w:rsidRPr="00E0618D">
        <w:t>Внешние габариты: (длина, ширина и высота в мм):</w:t>
      </w:r>
      <w:r w:rsidRPr="00E0618D">
        <w:rPr>
          <w:i/>
        </w:rPr>
        <w:t xml:space="preserve"> </w:t>
      </w:r>
      <w:r w:rsidRPr="00E0618D">
        <w:rPr>
          <w:i/>
        </w:rPr>
        <w:br/>
      </w:r>
      <w:r w:rsidRPr="00E0618D">
        <w:t>Внутренние размеры (длина, ширина и высота в мм)</w:t>
      </w:r>
    </w:p>
    <w:tbl>
      <w:tblPr>
        <w:tblStyle w:val="TableGrid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56"/>
        <w:gridCol w:w="1423"/>
        <w:gridCol w:w="1438"/>
        <w:gridCol w:w="1423"/>
        <w:gridCol w:w="1423"/>
        <w:gridCol w:w="1968"/>
      </w:tblGrid>
      <w:tr w:rsidR="00C36127" w:rsidRPr="00E0618D" w:rsidTr="00827BB8">
        <w:tc>
          <w:tcPr>
            <w:tcW w:w="8931" w:type="dxa"/>
            <w:gridSpan w:val="6"/>
            <w:tcBorders>
              <w:bottom w:val="single" w:sz="4" w:space="0" w:color="auto"/>
            </w:tcBorders>
          </w:tcPr>
          <w:p w:rsidR="00C36127" w:rsidRPr="002F2578" w:rsidRDefault="00C36127" w:rsidP="002F2578">
            <w:pPr>
              <w:spacing w:after="120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2F2578">
              <w:rPr>
                <w:rFonts w:asciiTheme="majorBidi" w:hAnsiTheme="majorBidi" w:cstheme="majorBidi"/>
                <w:i/>
                <w:sz w:val="16"/>
                <w:szCs w:val="16"/>
              </w:rPr>
              <w:t>Состав и размеры панелей</w:t>
            </w:r>
          </w:p>
        </w:tc>
      </w:tr>
      <w:tr w:rsidR="00C36127" w:rsidRPr="00E0618D" w:rsidTr="00827BB8">
        <w:tc>
          <w:tcPr>
            <w:tcW w:w="1256" w:type="dxa"/>
            <w:tcBorders>
              <w:bottom w:val="single" w:sz="4" w:space="0" w:color="auto"/>
              <w:right w:val="single" w:sz="4" w:space="0" w:color="auto"/>
            </w:tcBorders>
          </w:tcPr>
          <w:p w:rsidR="00C36127" w:rsidRPr="00E0618D" w:rsidRDefault="00C36127" w:rsidP="002F2578">
            <w:pPr>
              <w:spacing w:after="120"/>
              <w:rPr>
                <w:rFonts w:asciiTheme="majorBidi" w:hAnsiTheme="majorBidi" w:cstheme="majorBidi"/>
                <w:szCs w:val="20"/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27" w:rsidRPr="00827BB8" w:rsidRDefault="00C36127" w:rsidP="00827BB8">
            <w:pPr>
              <w:spacing w:before="80" w:after="80" w:line="200" w:lineRule="exact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827BB8">
              <w:rPr>
                <w:rFonts w:asciiTheme="majorBidi" w:hAnsiTheme="majorBidi" w:cstheme="majorBidi"/>
                <w:i/>
                <w:sz w:val="16"/>
                <w:szCs w:val="16"/>
              </w:rPr>
              <w:t>Материал и толщина внешней изоляции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27" w:rsidRPr="00827BB8" w:rsidRDefault="00C36127" w:rsidP="00827BB8">
            <w:pPr>
              <w:spacing w:before="80" w:after="80" w:line="200" w:lineRule="exact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827BB8">
              <w:rPr>
                <w:rFonts w:asciiTheme="majorBidi" w:hAnsiTheme="majorBidi" w:cstheme="majorBidi"/>
                <w:i/>
                <w:sz w:val="16"/>
                <w:szCs w:val="16"/>
              </w:rPr>
              <w:t>Тип и толщина изоляции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27" w:rsidRPr="00827BB8" w:rsidRDefault="00C36127" w:rsidP="00827BB8">
            <w:pPr>
              <w:spacing w:before="80" w:after="80" w:line="200" w:lineRule="exact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827BB8">
              <w:rPr>
                <w:rFonts w:asciiTheme="majorBidi" w:hAnsiTheme="majorBidi" w:cstheme="majorBidi"/>
                <w:i/>
                <w:sz w:val="16"/>
                <w:szCs w:val="16"/>
              </w:rPr>
              <w:t>Материал и толщина внутренней изоляции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27" w:rsidRPr="00827BB8" w:rsidRDefault="00C36127" w:rsidP="00827BB8">
            <w:pPr>
              <w:spacing w:before="80" w:after="80" w:line="200" w:lineRule="exact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827BB8">
              <w:rPr>
                <w:rFonts w:asciiTheme="majorBidi" w:hAnsiTheme="majorBidi" w:cstheme="majorBidi"/>
                <w:i/>
                <w:sz w:val="16"/>
                <w:szCs w:val="16"/>
              </w:rPr>
              <w:t>Общая толщина стенок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27" w:rsidRPr="00827BB8" w:rsidRDefault="00C36127" w:rsidP="00827BB8">
            <w:pPr>
              <w:spacing w:before="80" w:after="80" w:line="200" w:lineRule="exact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827BB8">
              <w:rPr>
                <w:rFonts w:asciiTheme="majorBidi" w:hAnsiTheme="majorBidi" w:cstheme="majorBidi"/>
                <w:i/>
                <w:sz w:val="16"/>
                <w:szCs w:val="16"/>
              </w:rPr>
              <w:t>Официальное утверждение типа по толщине</w:t>
            </w:r>
          </w:p>
        </w:tc>
      </w:tr>
      <w:tr w:rsidR="00C36127" w:rsidRPr="00E0618D" w:rsidTr="00827BB8">
        <w:tc>
          <w:tcPr>
            <w:tcW w:w="1256" w:type="dxa"/>
            <w:tcBorders>
              <w:top w:val="single" w:sz="4" w:space="0" w:color="auto"/>
            </w:tcBorders>
          </w:tcPr>
          <w:p w:rsidR="00C36127" w:rsidRPr="00E0618D" w:rsidRDefault="00C36127" w:rsidP="002F2578">
            <w:pPr>
              <w:spacing w:after="120"/>
              <w:rPr>
                <w:rFonts w:asciiTheme="majorBidi" w:hAnsiTheme="majorBidi" w:cstheme="majorBidi"/>
                <w:szCs w:val="20"/>
                <w:lang w:val="en-US"/>
              </w:rPr>
            </w:pPr>
            <w:r w:rsidRPr="00E0618D">
              <w:rPr>
                <w:rFonts w:asciiTheme="majorBidi" w:hAnsiTheme="majorBidi" w:cstheme="majorBidi"/>
              </w:rPr>
              <w:t>Крыша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C36127" w:rsidRPr="00E0618D" w:rsidRDefault="00C36127" w:rsidP="002F2578">
            <w:pPr>
              <w:spacing w:after="120"/>
              <w:rPr>
                <w:rFonts w:asciiTheme="majorBidi" w:hAnsiTheme="majorBidi" w:cstheme="majorBidi"/>
                <w:szCs w:val="20"/>
                <w:lang w:val="en-US"/>
              </w:rPr>
            </w:pP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C36127" w:rsidRPr="00E0618D" w:rsidRDefault="00C36127" w:rsidP="002F2578">
            <w:pPr>
              <w:spacing w:after="120"/>
              <w:rPr>
                <w:rFonts w:asciiTheme="majorBidi" w:hAnsiTheme="majorBidi" w:cstheme="majorBidi"/>
                <w:szCs w:val="20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C36127" w:rsidRPr="00E0618D" w:rsidRDefault="00C36127" w:rsidP="002F2578">
            <w:pPr>
              <w:spacing w:after="120"/>
              <w:rPr>
                <w:rFonts w:asciiTheme="majorBidi" w:hAnsiTheme="majorBidi" w:cstheme="majorBidi"/>
                <w:szCs w:val="20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C36127" w:rsidRPr="00E0618D" w:rsidRDefault="00C36127" w:rsidP="002F2578">
            <w:pPr>
              <w:spacing w:after="120"/>
              <w:rPr>
                <w:rFonts w:asciiTheme="majorBidi" w:hAnsiTheme="majorBidi" w:cstheme="majorBidi"/>
                <w:szCs w:val="20"/>
                <w:lang w:val="en-US"/>
              </w:rPr>
            </w:pP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C36127" w:rsidRPr="00E0618D" w:rsidRDefault="00C36127" w:rsidP="002F2578">
            <w:pPr>
              <w:spacing w:after="120"/>
              <w:rPr>
                <w:rFonts w:asciiTheme="majorBidi" w:hAnsiTheme="majorBidi" w:cstheme="majorBidi"/>
                <w:szCs w:val="20"/>
                <w:lang w:val="en-US"/>
              </w:rPr>
            </w:pPr>
          </w:p>
        </w:tc>
      </w:tr>
      <w:tr w:rsidR="00C36127" w:rsidRPr="00E0618D" w:rsidTr="00CC1D27">
        <w:tc>
          <w:tcPr>
            <w:tcW w:w="1256" w:type="dxa"/>
          </w:tcPr>
          <w:p w:rsidR="00C36127" w:rsidRPr="00E0618D" w:rsidRDefault="00C36127" w:rsidP="002F2578">
            <w:pPr>
              <w:spacing w:after="120"/>
              <w:rPr>
                <w:rFonts w:asciiTheme="majorBidi" w:hAnsiTheme="majorBidi" w:cstheme="majorBidi"/>
                <w:szCs w:val="20"/>
                <w:lang w:val="en-US"/>
              </w:rPr>
            </w:pPr>
            <w:r w:rsidRPr="00E0618D">
              <w:rPr>
                <w:rFonts w:asciiTheme="majorBidi" w:hAnsiTheme="majorBidi" w:cstheme="majorBidi"/>
              </w:rPr>
              <w:t>Пол</w:t>
            </w:r>
          </w:p>
        </w:tc>
        <w:tc>
          <w:tcPr>
            <w:tcW w:w="1423" w:type="dxa"/>
          </w:tcPr>
          <w:p w:rsidR="00C36127" w:rsidRPr="00E0618D" w:rsidRDefault="00C36127" w:rsidP="002F2578">
            <w:pPr>
              <w:spacing w:after="120"/>
              <w:rPr>
                <w:rFonts w:asciiTheme="majorBidi" w:hAnsiTheme="majorBidi" w:cstheme="majorBidi"/>
                <w:szCs w:val="20"/>
                <w:lang w:val="en-US"/>
              </w:rPr>
            </w:pPr>
          </w:p>
        </w:tc>
        <w:tc>
          <w:tcPr>
            <w:tcW w:w="1438" w:type="dxa"/>
          </w:tcPr>
          <w:p w:rsidR="00C36127" w:rsidRPr="00E0618D" w:rsidRDefault="00C36127" w:rsidP="002F2578">
            <w:pPr>
              <w:spacing w:after="120"/>
              <w:rPr>
                <w:rFonts w:asciiTheme="majorBidi" w:hAnsiTheme="majorBidi" w:cstheme="majorBidi"/>
                <w:szCs w:val="20"/>
                <w:lang w:val="en-US"/>
              </w:rPr>
            </w:pPr>
          </w:p>
        </w:tc>
        <w:tc>
          <w:tcPr>
            <w:tcW w:w="1423" w:type="dxa"/>
          </w:tcPr>
          <w:p w:rsidR="00C36127" w:rsidRPr="00E0618D" w:rsidRDefault="00C36127" w:rsidP="002F2578">
            <w:pPr>
              <w:spacing w:after="120"/>
              <w:rPr>
                <w:rFonts w:asciiTheme="majorBidi" w:hAnsiTheme="majorBidi" w:cstheme="majorBidi"/>
                <w:szCs w:val="20"/>
                <w:lang w:val="en-US"/>
              </w:rPr>
            </w:pPr>
          </w:p>
        </w:tc>
        <w:tc>
          <w:tcPr>
            <w:tcW w:w="1423" w:type="dxa"/>
          </w:tcPr>
          <w:p w:rsidR="00C36127" w:rsidRPr="00E0618D" w:rsidRDefault="00C36127" w:rsidP="002F2578">
            <w:pPr>
              <w:spacing w:after="120"/>
              <w:rPr>
                <w:rFonts w:asciiTheme="majorBidi" w:hAnsiTheme="majorBidi" w:cstheme="majorBidi"/>
                <w:szCs w:val="20"/>
                <w:lang w:val="en-US"/>
              </w:rPr>
            </w:pPr>
          </w:p>
        </w:tc>
        <w:tc>
          <w:tcPr>
            <w:tcW w:w="1968" w:type="dxa"/>
          </w:tcPr>
          <w:p w:rsidR="00C36127" w:rsidRPr="00E0618D" w:rsidRDefault="00C36127" w:rsidP="002F2578">
            <w:pPr>
              <w:spacing w:after="120"/>
              <w:rPr>
                <w:rFonts w:asciiTheme="majorBidi" w:hAnsiTheme="majorBidi" w:cstheme="majorBidi"/>
                <w:szCs w:val="20"/>
                <w:lang w:val="en-US"/>
              </w:rPr>
            </w:pPr>
          </w:p>
        </w:tc>
      </w:tr>
      <w:tr w:rsidR="00C36127" w:rsidRPr="00E0618D" w:rsidTr="00CC1D27">
        <w:tc>
          <w:tcPr>
            <w:tcW w:w="1256" w:type="dxa"/>
          </w:tcPr>
          <w:p w:rsidR="00C36127" w:rsidRPr="00E0618D" w:rsidRDefault="00C36127" w:rsidP="002F2578">
            <w:pPr>
              <w:spacing w:after="120"/>
              <w:rPr>
                <w:rFonts w:asciiTheme="majorBidi" w:hAnsiTheme="majorBidi" w:cstheme="majorBidi"/>
                <w:szCs w:val="20"/>
                <w:lang w:val="en-US"/>
              </w:rPr>
            </w:pPr>
            <w:r w:rsidRPr="00E0618D">
              <w:rPr>
                <w:rFonts w:asciiTheme="majorBidi" w:hAnsiTheme="majorBidi" w:cstheme="majorBidi"/>
              </w:rPr>
              <w:t>Боковые стенки</w:t>
            </w:r>
            <w:r w:rsidRPr="00E0618D">
              <w:rPr>
                <w:rFonts w:asciiTheme="majorBidi" w:hAnsiTheme="majorBidi" w:cstheme="majorBidi"/>
                <w:szCs w:val="20"/>
                <w:lang w:val="en-US"/>
              </w:rPr>
              <w:t xml:space="preserve"> </w:t>
            </w:r>
          </w:p>
        </w:tc>
        <w:tc>
          <w:tcPr>
            <w:tcW w:w="1423" w:type="dxa"/>
          </w:tcPr>
          <w:p w:rsidR="00C36127" w:rsidRPr="00E0618D" w:rsidRDefault="00C36127" w:rsidP="002F2578">
            <w:pPr>
              <w:spacing w:after="120"/>
              <w:rPr>
                <w:rFonts w:asciiTheme="majorBidi" w:hAnsiTheme="majorBidi" w:cstheme="majorBidi"/>
                <w:szCs w:val="20"/>
                <w:lang w:val="en-US"/>
              </w:rPr>
            </w:pPr>
          </w:p>
        </w:tc>
        <w:tc>
          <w:tcPr>
            <w:tcW w:w="1438" w:type="dxa"/>
          </w:tcPr>
          <w:p w:rsidR="00C36127" w:rsidRPr="00E0618D" w:rsidRDefault="00C36127" w:rsidP="002F2578">
            <w:pPr>
              <w:spacing w:after="120"/>
              <w:rPr>
                <w:rFonts w:asciiTheme="majorBidi" w:hAnsiTheme="majorBidi" w:cstheme="majorBidi"/>
                <w:szCs w:val="20"/>
                <w:lang w:val="en-US"/>
              </w:rPr>
            </w:pPr>
          </w:p>
        </w:tc>
        <w:tc>
          <w:tcPr>
            <w:tcW w:w="1423" w:type="dxa"/>
          </w:tcPr>
          <w:p w:rsidR="00C36127" w:rsidRPr="00E0618D" w:rsidRDefault="00C36127" w:rsidP="002F2578">
            <w:pPr>
              <w:spacing w:after="120"/>
              <w:rPr>
                <w:rFonts w:asciiTheme="majorBidi" w:hAnsiTheme="majorBidi" w:cstheme="majorBidi"/>
                <w:szCs w:val="20"/>
                <w:lang w:val="en-US"/>
              </w:rPr>
            </w:pPr>
          </w:p>
        </w:tc>
        <w:tc>
          <w:tcPr>
            <w:tcW w:w="1423" w:type="dxa"/>
          </w:tcPr>
          <w:p w:rsidR="00C36127" w:rsidRPr="00E0618D" w:rsidRDefault="00C36127" w:rsidP="002F2578">
            <w:pPr>
              <w:spacing w:after="120"/>
              <w:rPr>
                <w:rFonts w:asciiTheme="majorBidi" w:hAnsiTheme="majorBidi" w:cstheme="majorBidi"/>
                <w:szCs w:val="20"/>
                <w:lang w:val="en-US"/>
              </w:rPr>
            </w:pPr>
          </w:p>
        </w:tc>
        <w:tc>
          <w:tcPr>
            <w:tcW w:w="1968" w:type="dxa"/>
          </w:tcPr>
          <w:p w:rsidR="00C36127" w:rsidRPr="00E0618D" w:rsidRDefault="00C36127" w:rsidP="002F2578">
            <w:pPr>
              <w:spacing w:after="120"/>
              <w:rPr>
                <w:rFonts w:asciiTheme="majorBidi" w:hAnsiTheme="majorBidi" w:cstheme="majorBidi"/>
                <w:szCs w:val="20"/>
                <w:lang w:val="en-US"/>
              </w:rPr>
            </w:pPr>
          </w:p>
        </w:tc>
      </w:tr>
      <w:tr w:rsidR="00C36127" w:rsidRPr="00E0618D" w:rsidTr="00CC1D27">
        <w:tc>
          <w:tcPr>
            <w:tcW w:w="1256" w:type="dxa"/>
          </w:tcPr>
          <w:p w:rsidR="00C36127" w:rsidRPr="00E0618D" w:rsidRDefault="00C36127" w:rsidP="002F2578">
            <w:pPr>
              <w:spacing w:after="120"/>
              <w:rPr>
                <w:rFonts w:asciiTheme="majorBidi" w:hAnsiTheme="majorBidi" w:cstheme="majorBidi"/>
                <w:szCs w:val="20"/>
                <w:lang w:val="en-US"/>
              </w:rPr>
            </w:pPr>
            <w:r w:rsidRPr="00E0618D">
              <w:rPr>
                <w:rFonts w:asciiTheme="majorBidi" w:hAnsiTheme="majorBidi" w:cstheme="majorBidi"/>
              </w:rPr>
              <w:t>Передние стенки</w:t>
            </w:r>
          </w:p>
        </w:tc>
        <w:tc>
          <w:tcPr>
            <w:tcW w:w="1423" w:type="dxa"/>
          </w:tcPr>
          <w:p w:rsidR="00C36127" w:rsidRPr="00E0618D" w:rsidRDefault="00C36127" w:rsidP="002F2578">
            <w:pPr>
              <w:spacing w:after="120"/>
              <w:rPr>
                <w:rFonts w:asciiTheme="majorBidi" w:hAnsiTheme="majorBidi" w:cstheme="majorBidi"/>
                <w:szCs w:val="20"/>
                <w:lang w:val="en-US"/>
              </w:rPr>
            </w:pPr>
          </w:p>
        </w:tc>
        <w:tc>
          <w:tcPr>
            <w:tcW w:w="1438" w:type="dxa"/>
          </w:tcPr>
          <w:p w:rsidR="00C36127" w:rsidRPr="00E0618D" w:rsidRDefault="00C36127" w:rsidP="002F2578">
            <w:pPr>
              <w:spacing w:after="120"/>
              <w:rPr>
                <w:rFonts w:asciiTheme="majorBidi" w:hAnsiTheme="majorBidi" w:cstheme="majorBidi"/>
                <w:szCs w:val="20"/>
                <w:lang w:val="en-US"/>
              </w:rPr>
            </w:pPr>
          </w:p>
        </w:tc>
        <w:tc>
          <w:tcPr>
            <w:tcW w:w="1423" w:type="dxa"/>
          </w:tcPr>
          <w:p w:rsidR="00C36127" w:rsidRPr="00E0618D" w:rsidRDefault="00C36127" w:rsidP="002F2578">
            <w:pPr>
              <w:spacing w:after="120"/>
              <w:rPr>
                <w:rFonts w:asciiTheme="majorBidi" w:hAnsiTheme="majorBidi" w:cstheme="majorBidi"/>
                <w:szCs w:val="20"/>
                <w:lang w:val="en-US"/>
              </w:rPr>
            </w:pPr>
          </w:p>
        </w:tc>
        <w:tc>
          <w:tcPr>
            <w:tcW w:w="1423" w:type="dxa"/>
          </w:tcPr>
          <w:p w:rsidR="00C36127" w:rsidRPr="00E0618D" w:rsidRDefault="00C36127" w:rsidP="002F2578">
            <w:pPr>
              <w:spacing w:after="120"/>
              <w:rPr>
                <w:rFonts w:asciiTheme="majorBidi" w:hAnsiTheme="majorBidi" w:cstheme="majorBidi"/>
                <w:szCs w:val="20"/>
                <w:lang w:val="en-US"/>
              </w:rPr>
            </w:pPr>
          </w:p>
        </w:tc>
        <w:tc>
          <w:tcPr>
            <w:tcW w:w="1968" w:type="dxa"/>
          </w:tcPr>
          <w:p w:rsidR="00C36127" w:rsidRPr="00E0618D" w:rsidRDefault="00C36127" w:rsidP="002F2578">
            <w:pPr>
              <w:spacing w:after="120"/>
              <w:rPr>
                <w:rFonts w:asciiTheme="majorBidi" w:hAnsiTheme="majorBidi" w:cstheme="majorBidi"/>
                <w:szCs w:val="20"/>
                <w:lang w:val="en-US"/>
              </w:rPr>
            </w:pPr>
          </w:p>
        </w:tc>
      </w:tr>
      <w:tr w:rsidR="00C36127" w:rsidRPr="00E0618D" w:rsidTr="00CC1D27">
        <w:tc>
          <w:tcPr>
            <w:tcW w:w="1256" w:type="dxa"/>
          </w:tcPr>
          <w:p w:rsidR="00C36127" w:rsidRPr="00E0618D" w:rsidRDefault="00C36127" w:rsidP="002F2578">
            <w:pPr>
              <w:spacing w:after="120"/>
              <w:rPr>
                <w:rFonts w:asciiTheme="majorBidi" w:hAnsiTheme="majorBidi" w:cstheme="majorBidi"/>
                <w:szCs w:val="20"/>
                <w:lang w:val="en-US"/>
              </w:rPr>
            </w:pPr>
            <w:r w:rsidRPr="00E0618D">
              <w:rPr>
                <w:rFonts w:asciiTheme="majorBidi" w:hAnsiTheme="majorBidi" w:cstheme="majorBidi"/>
              </w:rPr>
              <w:t>Задние стенки</w:t>
            </w:r>
          </w:p>
        </w:tc>
        <w:tc>
          <w:tcPr>
            <w:tcW w:w="1423" w:type="dxa"/>
          </w:tcPr>
          <w:p w:rsidR="00C36127" w:rsidRPr="00E0618D" w:rsidRDefault="00C36127" w:rsidP="002F2578">
            <w:pPr>
              <w:spacing w:after="120"/>
              <w:rPr>
                <w:rFonts w:asciiTheme="majorBidi" w:hAnsiTheme="majorBidi" w:cstheme="majorBidi"/>
                <w:szCs w:val="20"/>
                <w:lang w:val="en-US"/>
              </w:rPr>
            </w:pPr>
          </w:p>
        </w:tc>
        <w:tc>
          <w:tcPr>
            <w:tcW w:w="1438" w:type="dxa"/>
          </w:tcPr>
          <w:p w:rsidR="00C36127" w:rsidRPr="00E0618D" w:rsidRDefault="00C36127" w:rsidP="002F2578">
            <w:pPr>
              <w:spacing w:after="120"/>
              <w:rPr>
                <w:rFonts w:asciiTheme="majorBidi" w:hAnsiTheme="majorBidi" w:cstheme="majorBidi"/>
                <w:szCs w:val="20"/>
                <w:lang w:val="en-US"/>
              </w:rPr>
            </w:pPr>
          </w:p>
        </w:tc>
        <w:tc>
          <w:tcPr>
            <w:tcW w:w="1423" w:type="dxa"/>
          </w:tcPr>
          <w:p w:rsidR="00C36127" w:rsidRPr="00E0618D" w:rsidRDefault="00C36127" w:rsidP="002F2578">
            <w:pPr>
              <w:spacing w:after="120"/>
              <w:rPr>
                <w:rFonts w:asciiTheme="majorBidi" w:hAnsiTheme="majorBidi" w:cstheme="majorBidi"/>
                <w:szCs w:val="20"/>
                <w:lang w:val="en-US"/>
              </w:rPr>
            </w:pPr>
          </w:p>
        </w:tc>
        <w:tc>
          <w:tcPr>
            <w:tcW w:w="1423" w:type="dxa"/>
          </w:tcPr>
          <w:p w:rsidR="00C36127" w:rsidRPr="00E0618D" w:rsidRDefault="00C36127" w:rsidP="002F2578">
            <w:pPr>
              <w:spacing w:after="120"/>
              <w:rPr>
                <w:rFonts w:asciiTheme="majorBidi" w:hAnsiTheme="majorBidi" w:cstheme="majorBidi"/>
                <w:szCs w:val="20"/>
                <w:lang w:val="en-US"/>
              </w:rPr>
            </w:pPr>
          </w:p>
        </w:tc>
        <w:tc>
          <w:tcPr>
            <w:tcW w:w="1968" w:type="dxa"/>
          </w:tcPr>
          <w:p w:rsidR="00C36127" w:rsidRPr="00E0618D" w:rsidRDefault="00C36127" w:rsidP="002F2578">
            <w:pPr>
              <w:spacing w:after="120"/>
              <w:rPr>
                <w:rFonts w:asciiTheme="majorBidi" w:hAnsiTheme="majorBidi" w:cstheme="majorBidi"/>
                <w:szCs w:val="20"/>
                <w:lang w:val="en-US"/>
              </w:rPr>
            </w:pPr>
          </w:p>
        </w:tc>
      </w:tr>
    </w:tbl>
    <w:p w:rsidR="00C36127" w:rsidRPr="00E0618D" w:rsidRDefault="00C36127" w:rsidP="002F2578">
      <w:pPr>
        <w:pStyle w:val="SingleTxtGR"/>
        <w:spacing w:before="240"/>
        <w:jc w:val="left"/>
      </w:pPr>
      <w:r w:rsidRPr="00E0618D">
        <w:t>Количество дверей: (.. передних/ ..боковых/ .. задних)</w:t>
      </w:r>
      <w:r w:rsidRPr="00E0618D">
        <w:rPr>
          <w:i/>
        </w:rPr>
        <w:t xml:space="preserve"> </w:t>
      </w:r>
      <w:r w:rsidRPr="00E0618D">
        <w:rPr>
          <w:i/>
        </w:rPr>
        <w:br/>
      </w:r>
      <w:r w:rsidRPr="00E0618D">
        <w:t>Количество вентиляционных отверстий: (передних/задних)</w:t>
      </w:r>
      <w:r w:rsidRPr="00E0618D">
        <w:rPr>
          <w:i/>
        </w:rPr>
        <w:t xml:space="preserve"> </w:t>
      </w:r>
      <w:r w:rsidRPr="00E0618D">
        <w:rPr>
          <w:i/>
        </w:rPr>
        <w:br/>
      </w:r>
      <w:r w:rsidRPr="00E0618D">
        <w:t>Другие отверстия: …</w:t>
      </w:r>
      <w:r w:rsidRPr="00892997">
        <w:rPr>
          <w:i/>
        </w:rPr>
        <w:br/>
      </w:r>
      <w:r w:rsidRPr="00E0618D">
        <w:t>Специальное оборудование: (крепления для развешивания мяса, рейки для крепления груза и т.д.)</w:t>
      </w:r>
      <w:r w:rsidRPr="00E0618D">
        <w:rPr>
          <w:i/>
        </w:rPr>
        <w:t xml:space="preserve"> </w:t>
      </w:r>
      <w:r w:rsidRPr="00E0618D">
        <w:rPr>
          <w:i/>
        </w:rPr>
        <w:br/>
      </w:r>
      <w:r w:rsidRPr="00E0618D">
        <w:t xml:space="preserve">Сокращение толщины изоляции, не предусмотренное официальным утверждением типа: </w:t>
      </w:r>
    </w:p>
    <w:p w:rsidR="00C36127" w:rsidRPr="00E0618D" w:rsidRDefault="00C36127" w:rsidP="002F2578">
      <w:pPr>
        <w:pStyle w:val="SingleTxtGR"/>
        <w:jc w:val="left"/>
        <w:rPr>
          <w:i/>
          <w:iCs/>
        </w:rPr>
      </w:pPr>
      <w:r w:rsidRPr="00E0618D">
        <w:rPr>
          <w:i/>
          <w:iCs/>
        </w:rPr>
        <w:lastRenderedPageBreak/>
        <w:t>Термическое оборудование: (при наличии)</w:t>
      </w:r>
      <w:r w:rsidRPr="00E0618D">
        <w:rPr>
          <w:i/>
          <w:iCs/>
          <w:vertAlign w:val="superscript"/>
        </w:rPr>
        <w:t>2</w:t>
      </w:r>
    </w:p>
    <w:p w:rsidR="00C36127" w:rsidRPr="00E0618D" w:rsidRDefault="00C36127" w:rsidP="002F2578">
      <w:pPr>
        <w:pStyle w:val="SingleTxtGR"/>
        <w:jc w:val="left"/>
      </w:pPr>
      <w:r w:rsidRPr="00E0618D">
        <w:t>Тип устройства: (эвтектические плиты, работающие на сжиженном газе устройства, устройства, использующие естественный лед/сухой лед/ср</w:t>
      </w:r>
      <w:r w:rsidR="00831AFD">
        <w:t>едства-рефрижераторы/отопление)</w:t>
      </w:r>
      <w:r w:rsidRPr="00E0618D">
        <w:rPr>
          <w:vertAlign w:val="superscript"/>
        </w:rPr>
        <w:t>1</w:t>
      </w:r>
    </w:p>
    <w:p w:rsidR="00C36127" w:rsidRPr="00E0618D" w:rsidRDefault="00C36127" w:rsidP="002F2578">
      <w:pPr>
        <w:pStyle w:val="SingleTxtGR"/>
        <w:jc w:val="left"/>
      </w:pPr>
      <w:r w:rsidRPr="00E0618D">
        <w:t>Марка/фирменное название:</w:t>
      </w:r>
      <w:r w:rsidRPr="00E0618D">
        <w:rPr>
          <w:i/>
        </w:rPr>
        <w:t xml:space="preserve"> </w:t>
      </w:r>
      <w:r w:rsidRPr="00E0618D">
        <w:rPr>
          <w:i/>
        </w:rPr>
        <w:br/>
      </w:r>
      <w:r w:rsidRPr="00E0618D">
        <w:t>Тип:</w:t>
      </w:r>
      <w:r w:rsidRPr="00E0618D">
        <w:rPr>
          <w:i/>
        </w:rPr>
        <w:t xml:space="preserve"> </w:t>
      </w:r>
      <w:r w:rsidRPr="00E0618D">
        <w:rPr>
          <w:i/>
        </w:rPr>
        <w:br/>
      </w:r>
      <w:r w:rsidRPr="00E0618D">
        <w:t>Серийный номер:</w:t>
      </w:r>
      <w:r w:rsidRPr="00E0618D">
        <w:rPr>
          <w:i/>
        </w:rPr>
        <w:t xml:space="preserve"> </w:t>
      </w:r>
      <w:r w:rsidRPr="00E0618D">
        <w:rPr>
          <w:i/>
        </w:rPr>
        <w:br/>
      </w:r>
      <w:r w:rsidRPr="00E0618D">
        <w:t>Год изготовления:</w:t>
      </w:r>
      <w:r w:rsidRPr="00E0618D">
        <w:rPr>
          <w:i/>
        </w:rPr>
        <w:t xml:space="preserve"> </w:t>
      </w:r>
      <w:r w:rsidRPr="00E0618D">
        <w:rPr>
          <w:i/>
        </w:rPr>
        <w:br/>
      </w:r>
      <w:r w:rsidRPr="00E0618D">
        <w:t xml:space="preserve">Номер протокола испытания СПС: </w:t>
      </w:r>
    </w:p>
    <w:p w:rsidR="00C36127" w:rsidRPr="00E0618D" w:rsidRDefault="00C36127" w:rsidP="002F2578">
      <w:pPr>
        <w:pStyle w:val="SingleTxtGR"/>
        <w:jc w:val="left"/>
      </w:pPr>
      <w:r w:rsidRPr="00E0618D">
        <w:t>Изготовитель изотермического кузова заявляет, что данное транспортное средство соответствует приведенному выше описанию, официально утвержденному типу и положениям СПС.</w:t>
      </w:r>
    </w:p>
    <w:p w:rsidR="00C36127" w:rsidRPr="00E0618D" w:rsidRDefault="00C36127" w:rsidP="002F2578">
      <w:pPr>
        <w:pStyle w:val="SingleTxtGR"/>
        <w:jc w:val="left"/>
      </w:pPr>
      <w:r w:rsidRPr="00E0618D">
        <w:t>Наименование и адрес изготовителя:</w:t>
      </w:r>
    </w:p>
    <w:p w:rsidR="00C36127" w:rsidRPr="00E0618D" w:rsidRDefault="00C36127" w:rsidP="002F2578">
      <w:pPr>
        <w:pStyle w:val="SingleTxtGR"/>
        <w:jc w:val="left"/>
      </w:pPr>
      <w:r w:rsidRPr="00E0618D">
        <w:t>Дата:</w:t>
      </w:r>
    </w:p>
    <w:p w:rsidR="00C36127" w:rsidRPr="00E0618D" w:rsidRDefault="00C36127" w:rsidP="002F2578">
      <w:pPr>
        <w:pStyle w:val="SingleTxtGR"/>
        <w:jc w:val="left"/>
      </w:pPr>
      <w:r>
        <w:t>Фамилия</w:t>
      </w:r>
      <w:r w:rsidRPr="00E0618D">
        <w:t xml:space="preserve"> и должность представителя изготовителя:</w:t>
      </w:r>
    </w:p>
    <w:p w:rsidR="00C36127" w:rsidRPr="00E0618D" w:rsidRDefault="00C36127" w:rsidP="002F2578">
      <w:pPr>
        <w:pStyle w:val="SingleTxtGR"/>
        <w:jc w:val="left"/>
      </w:pPr>
      <w:r w:rsidRPr="00E0618D">
        <w:t xml:space="preserve">Подпись: </w:t>
      </w:r>
    </w:p>
    <w:p w:rsidR="00C36127" w:rsidRPr="0067443A" w:rsidRDefault="0067443A" w:rsidP="007A05D3">
      <w:pPr>
        <w:pStyle w:val="FootnoteText"/>
        <w:tabs>
          <w:tab w:val="left" w:pos="1418"/>
        </w:tabs>
        <w:spacing w:before="240"/>
        <w:ind w:left="2268"/>
        <w:rPr>
          <w:i/>
          <w:lang w:val="ru-RU"/>
        </w:rPr>
      </w:pPr>
      <w:r w:rsidRPr="0067443A">
        <w:rPr>
          <w:i/>
          <w:vertAlign w:val="superscript"/>
          <w:lang w:val="ru-RU"/>
        </w:rPr>
        <w:t>1</w:t>
      </w:r>
      <w:r>
        <w:rPr>
          <w:i/>
          <w:lang w:val="ru-RU"/>
        </w:rPr>
        <w:tab/>
      </w:r>
      <w:r w:rsidR="00C36127" w:rsidRPr="0067443A">
        <w:rPr>
          <w:i/>
          <w:lang w:val="ru-RU"/>
        </w:rPr>
        <w:t>Ненужное исключить или вычеркнуть.</w:t>
      </w:r>
    </w:p>
    <w:p w:rsidR="00C36127" w:rsidRPr="0067443A" w:rsidRDefault="0067443A" w:rsidP="0067443A">
      <w:pPr>
        <w:pStyle w:val="FootnoteText"/>
        <w:tabs>
          <w:tab w:val="left" w:pos="1418"/>
        </w:tabs>
        <w:ind w:left="2268"/>
        <w:rPr>
          <w:i/>
          <w:lang w:val="ru-RU"/>
        </w:rPr>
      </w:pPr>
      <w:r w:rsidRPr="0067443A">
        <w:rPr>
          <w:i/>
          <w:vertAlign w:val="superscript"/>
          <w:lang w:val="ru-RU"/>
        </w:rPr>
        <w:t>2</w:t>
      </w:r>
      <w:r>
        <w:rPr>
          <w:i/>
          <w:lang w:val="ru-RU"/>
        </w:rPr>
        <w:tab/>
      </w:r>
      <w:r w:rsidR="00C36127" w:rsidRPr="0067443A">
        <w:rPr>
          <w:i/>
          <w:lang w:val="ru-RU"/>
        </w:rPr>
        <w:t xml:space="preserve">Если неприменимо, указать </w:t>
      </w:r>
      <w:r w:rsidR="00402577" w:rsidRPr="0067443A">
        <w:rPr>
          <w:i/>
          <w:lang w:val="ru-RU"/>
        </w:rPr>
        <w:t>«</w:t>
      </w:r>
      <w:proofErr w:type="spellStart"/>
      <w:r w:rsidR="00C36127" w:rsidRPr="0067443A">
        <w:rPr>
          <w:i/>
          <w:lang w:val="ru-RU"/>
        </w:rPr>
        <w:t>н.п</w:t>
      </w:r>
      <w:proofErr w:type="spellEnd"/>
      <w:r w:rsidR="007A05D3">
        <w:rPr>
          <w:i/>
          <w:lang w:val="ru-RU"/>
        </w:rPr>
        <w:t>.</w:t>
      </w:r>
      <w:r w:rsidR="00402577" w:rsidRPr="0067443A">
        <w:rPr>
          <w:i/>
          <w:lang w:val="ru-RU"/>
        </w:rPr>
        <w:t>»</w:t>
      </w:r>
      <w:r w:rsidR="00C36127" w:rsidRPr="0067443A">
        <w:rPr>
          <w:i/>
          <w:lang w:val="ru-RU"/>
        </w:rPr>
        <w:t>.</w:t>
      </w:r>
    </w:p>
    <w:p w:rsidR="00C36127" w:rsidRPr="0067443A" w:rsidRDefault="0067443A" w:rsidP="0067443A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6127" w:rsidRPr="0067443A" w:rsidSect="00C3612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E8D" w:rsidRPr="00A312BC" w:rsidRDefault="00DB0E8D" w:rsidP="00A312BC"/>
  </w:endnote>
  <w:endnote w:type="continuationSeparator" w:id="0">
    <w:p w:rsidR="00DB0E8D" w:rsidRPr="00A312BC" w:rsidRDefault="00DB0E8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127" w:rsidRPr="00C36127" w:rsidRDefault="00C36127">
    <w:pPr>
      <w:pStyle w:val="Footer"/>
    </w:pPr>
    <w:r w:rsidRPr="00C36127">
      <w:rPr>
        <w:b/>
        <w:sz w:val="18"/>
      </w:rPr>
      <w:fldChar w:fldCharType="begin"/>
    </w:r>
    <w:r w:rsidRPr="00C36127">
      <w:rPr>
        <w:b/>
        <w:sz w:val="18"/>
      </w:rPr>
      <w:instrText xml:space="preserve"> PAGE  \* MERGEFORMAT </w:instrText>
    </w:r>
    <w:r w:rsidRPr="00C36127">
      <w:rPr>
        <w:b/>
        <w:sz w:val="18"/>
      </w:rPr>
      <w:fldChar w:fldCharType="separate"/>
    </w:r>
    <w:r w:rsidR="00316446">
      <w:rPr>
        <w:b/>
        <w:noProof/>
        <w:sz w:val="18"/>
      </w:rPr>
      <w:t>4</w:t>
    </w:r>
    <w:r w:rsidRPr="00C36127">
      <w:rPr>
        <w:b/>
        <w:sz w:val="18"/>
      </w:rPr>
      <w:fldChar w:fldCharType="end"/>
    </w:r>
    <w:r>
      <w:rPr>
        <w:b/>
        <w:sz w:val="18"/>
      </w:rPr>
      <w:tab/>
    </w:r>
    <w:r>
      <w:t>GE.17-12313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127" w:rsidRPr="00C36127" w:rsidRDefault="00C36127" w:rsidP="00C36127">
    <w:pPr>
      <w:pStyle w:val="Footer"/>
      <w:tabs>
        <w:tab w:val="clear" w:pos="9639"/>
        <w:tab w:val="right" w:pos="9638"/>
      </w:tabs>
      <w:rPr>
        <w:b/>
        <w:sz w:val="18"/>
      </w:rPr>
    </w:pPr>
    <w:r>
      <w:t>GE.17-12313</w:t>
    </w:r>
    <w:r>
      <w:tab/>
    </w:r>
    <w:r w:rsidRPr="00C36127">
      <w:rPr>
        <w:b/>
        <w:sz w:val="18"/>
      </w:rPr>
      <w:fldChar w:fldCharType="begin"/>
    </w:r>
    <w:r w:rsidRPr="00C36127">
      <w:rPr>
        <w:b/>
        <w:sz w:val="18"/>
      </w:rPr>
      <w:instrText xml:space="preserve"> PAGE  \* MERGEFORMAT </w:instrText>
    </w:r>
    <w:r w:rsidRPr="00C36127">
      <w:rPr>
        <w:b/>
        <w:sz w:val="18"/>
      </w:rPr>
      <w:fldChar w:fldCharType="separate"/>
    </w:r>
    <w:r w:rsidR="00316446">
      <w:rPr>
        <w:b/>
        <w:noProof/>
        <w:sz w:val="18"/>
      </w:rPr>
      <w:t>3</w:t>
    </w:r>
    <w:r w:rsidRPr="00C3612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C36127" w:rsidRDefault="00C36127" w:rsidP="00C36127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0970C4B" wp14:editId="2DBF650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17-12313  (R)</w:t>
    </w:r>
    <w:r w:rsidR="00402577">
      <w:rPr>
        <w:lang w:val="en-US"/>
      </w:rPr>
      <w:t xml:space="preserve">  110817  </w:t>
    </w:r>
    <w:r w:rsidR="000B179C">
      <w:t>24</w:t>
    </w:r>
    <w:r w:rsidR="00402577">
      <w:rPr>
        <w:lang w:val="en-US"/>
      </w:rPr>
      <w:t>0817</w:t>
    </w:r>
    <w:r>
      <w:br/>
    </w:r>
    <w:r w:rsidRPr="00C36127">
      <w:rPr>
        <w:rFonts w:ascii="C39T30Lfz" w:hAnsi="C39T30Lfz"/>
        <w:spacing w:val="0"/>
        <w:w w:val="100"/>
        <w:sz w:val="56"/>
      </w:rPr>
      <w:t></w:t>
    </w:r>
    <w:r w:rsidRPr="00C36127">
      <w:rPr>
        <w:rFonts w:ascii="C39T30Lfz" w:hAnsi="C39T30Lfz"/>
        <w:spacing w:val="0"/>
        <w:w w:val="100"/>
        <w:sz w:val="56"/>
      </w:rPr>
      <w:t></w:t>
    </w:r>
    <w:r w:rsidRPr="00C36127">
      <w:rPr>
        <w:rFonts w:ascii="C39T30Lfz" w:hAnsi="C39T30Lfz"/>
        <w:spacing w:val="0"/>
        <w:w w:val="100"/>
        <w:sz w:val="56"/>
      </w:rPr>
      <w:t></w:t>
    </w:r>
    <w:r w:rsidRPr="00C36127">
      <w:rPr>
        <w:rFonts w:ascii="C39T30Lfz" w:hAnsi="C39T30Lfz"/>
        <w:spacing w:val="0"/>
        <w:w w:val="100"/>
        <w:sz w:val="56"/>
      </w:rPr>
      <w:t></w:t>
    </w:r>
    <w:r w:rsidRPr="00C36127">
      <w:rPr>
        <w:rFonts w:ascii="C39T30Lfz" w:hAnsi="C39T30Lfz"/>
        <w:spacing w:val="0"/>
        <w:w w:val="100"/>
        <w:sz w:val="56"/>
      </w:rPr>
      <w:t></w:t>
    </w:r>
    <w:r w:rsidRPr="00C36127">
      <w:rPr>
        <w:rFonts w:ascii="C39T30Lfz" w:hAnsi="C39T30Lfz"/>
        <w:spacing w:val="0"/>
        <w:w w:val="100"/>
        <w:sz w:val="56"/>
      </w:rPr>
      <w:t></w:t>
    </w:r>
    <w:r w:rsidRPr="00C36127">
      <w:rPr>
        <w:rFonts w:ascii="C39T30Lfz" w:hAnsi="C39T30Lfz"/>
        <w:spacing w:val="0"/>
        <w:w w:val="100"/>
        <w:sz w:val="56"/>
      </w:rPr>
      <w:t></w:t>
    </w:r>
    <w:r w:rsidRPr="00C36127">
      <w:rPr>
        <w:rFonts w:ascii="C39T30Lfz" w:hAnsi="C39T30Lfz"/>
        <w:spacing w:val="0"/>
        <w:w w:val="100"/>
        <w:sz w:val="56"/>
      </w:rPr>
      <w:t></w:t>
    </w:r>
    <w:r w:rsidRPr="00C36127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11/2017/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17/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E8D" w:rsidRPr="001075E9" w:rsidRDefault="00DB0E8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B0E8D" w:rsidRDefault="00DB0E8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127" w:rsidRPr="00C36127" w:rsidRDefault="00755BC6">
    <w:pPr>
      <w:pStyle w:val="Header"/>
    </w:pPr>
    <w:fldSimple w:instr=" TITLE  \* MERGEFORMAT ">
      <w:r w:rsidR="00316446">
        <w:t>ECE/TRANS/WP.11/2017/4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127" w:rsidRPr="00C36127" w:rsidRDefault="00755BC6" w:rsidP="00C36127">
    <w:pPr>
      <w:pStyle w:val="Header"/>
      <w:jc w:val="right"/>
    </w:pPr>
    <w:fldSimple w:instr=" TITLE  \* MERGEFORMAT ">
      <w:r w:rsidR="00316446">
        <w:t>ECE/TRANS/WP.11/2017/4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E223A8B"/>
    <w:multiLevelType w:val="hybridMultilevel"/>
    <w:tmpl w:val="7E10C724"/>
    <w:lvl w:ilvl="0" w:tplc="30601A0A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8"/>
    <w:lvlOverride w:ilvl="0">
      <w:lvl w:ilvl="0" w:tplc="30601A0A">
        <w:start w:val="1"/>
        <w:numFmt w:val="decimal"/>
        <w:lvlText w:val="%1"/>
        <w:lvlJc w:val="left"/>
        <w:pPr>
          <w:ind w:left="720" w:hanging="360"/>
        </w:pPr>
        <w:rPr>
          <w:rFonts w:hint="default"/>
          <w:vertAlign w:val="superscrip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8D"/>
    <w:rsid w:val="00033EE1"/>
    <w:rsid w:val="00042B72"/>
    <w:rsid w:val="000558BD"/>
    <w:rsid w:val="000B179C"/>
    <w:rsid w:val="000B57E7"/>
    <w:rsid w:val="000B6373"/>
    <w:rsid w:val="000E4E5B"/>
    <w:rsid w:val="000F09DF"/>
    <w:rsid w:val="000F61B2"/>
    <w:rsid w:val="001075E9"/>
    <w:rsid w:val="001130E4"/>
    <w:rsid w:val="0014152F"/>
    <w:rsid w:val="00172053"/>
    <w:rsid w:val="001739EB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B76BF"/>
    <w:rsid w:val="002C0E18"/>
    <w:rsid w:val="002D5AAC"/>
    <w:rsid w:val="002E5067"/>
    <w:rsid w:val="002F2578"/>
    <w:rsid w:val="002F405F"/>
    <w:rsid w:val="002F7EEC"/>
    <w:rsid w:val="00301299"/>
    <w:rsid w:val="00305C08"/>
    <w:rsid w:val="00307FB6"/>
    <w:rsid w:val="0031644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D0BFF"/>
    <w:rsid w:val="00402577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4014"/>
    <w:rsid w:val="00526683"/>
    <w:rsid w:val="005639C1"/>
    <w:rsid w:val="005709E0"/>
    <w:rsid w:val="00572E19"/>
    <w:rsid w:val="005961C8"/>
    <w:rsid w:val="005966F1"/>
    <w:rsid w:val="005C26E8"/>
    <w:rsid w:val="005D7914"/>
    <w:rsid w:val="005E2B41"/>
    <w:rsid w:val="005F0B42"/>
    <w:rsid w:val="006345DB"/>
    <w:rsid w:val="00640F49"/>
    <w:rsid w:val="0067443A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5BC6"/>
    <w:rsid w:val="00757357"/>
    <w:rsid w:val="00792497"/>
    <w:rsid w:val="007A05D3"/>
    <w:rsid w:val="00806737"/>
    <w:rsid w:val="00825F8D"/>
    <w:rsid w:val="00827BB8"/>
    <w:rsid w:val="00831AF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07ADB"/>
    <w:rsid w:val="00C106D6"/>
    <w:rsid w:val="00C119AE"/>
    <w:rsid w:val="00C36127"/>
    <w:rsid w:val="00C60F0C"/>
    <w:rsid w:val="00C805C9"/>
    <w:rsid w:val="00C92939"/>
    <w:rsid w:val="00CA1679"/>
    <w:rsid w:val="00CB151C"/>
    <w:rsid w:val="00CE5A1A"/>
    <w:rsid w:val="00CF55F6"/>
    <w:rsid w:val="00D25667"/>
    <w:rsid w:val="00D33D63"/>
    <w:rsid w:val="00D5253A"/>
    <w:rsid w:val="00D90028"/>
    <w:rsid w:val="00D90138"/>
    <w:rsid w:val="00DB0E8D"/>
    <w:rsid w:val="00DD78D1"/>
    <w:rsid w:val="00DE32CD"/>
    <w:rsid w:val="00DF5767"/>
    <w:rsid w:val="00DF71B9"/>
    <w:rsid w:val="00E12C5F"/>
    <w:rsid w:val="00E73F76"/>
    <w:rsid w:val="00E95A52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AA663A43-8F99-45C6-BC3B-12417048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ListParagraph">
    <w:name w:val="List Paragraph"/>
    <w:basedOn w:val="Normal"/>
    <w:uiPriority w:val="34"/>
    <w:qFormat/>
    <w:rsid w:val="00C36127"/>
    <w:pPr>
      <w:spacing w:after="200" w:line="276" w:lineRule="auto"/>
      <w:ind w:left="720"/>
      <w:contextualSpacing/>
    </w:pPr>
    <w:rPr>
      <w:rFonts w:asciiTheme="minorHAnsi" w:hAnsiTheme="minorHAnsi"/>
      <w:spacing w:val="0"/>
      <w:w w:val="100"/>
      <w:kern w:val="0"/>
      <w:sz w:val="22"/>
      <w:lang w:val="nl-NL"/>
    </w:rPr>
  </w:style>
  <w:style w:type="paragraph" w:customStyle="1" w:styleId="HChG">
    <w:name w:val="_ H _Ch_G"/>
    <w:basedOn w:val="Normal"/>
    <w:next w:val="Normal"/>
    <w:autoRedefine/>
    <w:rsid w:val="00C3612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/>
      <w:b/>
      <w:spacing w:val="0"/>
      <w:w w:val="100"/>
      <w:kern w:val="0"/>
      <w:sz w:val="28"/>
      <w:lang w:val="en-GB" w:eastAsia="en-US"/>
    </w:rPr>
  </w:style>
  <w:style w:type="paragraph" w:customStyle="1" w:styleId="H4G">
    <w:name w:val="_ H_4_G"/>
    <w:basedOn w:val="Normal"/>
    <w:next w:val="Normal"/>
    <w:rsid w:val="00C3612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asciiTheme="minorHAnsi" w:eastAsia="Times New Roman" w:hAnsiTheme="minorHAnsi"/>
      <w:i/>
      <w:spacing w:val="0"/>
      <w:w w:val="100"/>
      <w:kern w:val="0"/>
      <w:sz w:val="22"/>
      <w:lang w:val="en-GB" w:eastAsia="en-US"/>
    </w:rPr>
  </w:style>
  <w:style w:type="paragraph" w:customStyle="1" w:styleId="Style4">
    <w:name w:val="Style4"/>
    <w:basedOn w:val="Normal"/>
    <w:qFormat/>
    <w:rsid w:val="00C36127"/>
    <w:pPr>
      <w:spacing w:after="120" w:line="276" w:lineRule="auto"/>
      <w:ind w:left="1134" w:right="1134"/>
      <w:jc w:val="both"/>
    </w:pPr>
    <w:rPr>
      <w:rFonts w:eastAsia="Times New Roman"/>
      <w:spacing w:val="0"/>
      <w:w w:val="100"/>
      <w:kern w:val="0"/>
      <w:sz w:val="22"/>
      <w:lang w:val="en-GB" w:eastAsia="en-US"/>
    </w:rPr>
  </w:style>
  <w:style w:type="paragraph" w:customStyle="1" w:styleId="Style8">
    <w:name w:val="Style8"/>
    <w:basedOn w:val="Normal"/>
    <w:qFormat/>
    <w:rsid w:val="00C36127"/>
    <w:pPr>
      <w:spacing w:after="120" w:line="276" w:lineRule="auto"/>
      <w:ind w:left="1134" w:right="1134"/>
      <w:jc w:val="both"/>
    </w:pPr>
    <w:rPr>
      <w:rFonts w:eastAsia="Times New Roman"/>
      <w:spacing w:val="0"/>
      <w:w w:val="100"/>
      <w:kern w:val="0"/>
      <w:sz w:val="22"/>
      <w:lang w:val="en-GB" w:eastAsia="en-US"/>
    </w:rPr>
  </w:style>
  <w:style w:type="paragraph" w:customStyle="1" w:styleId="Style14">
    <w:name w:val="Style14"/>
    <w:basedOn w:val="Normal"/>
    <w:qFormat/>
    <w:rsid w:val="00C36127"/>
    <w:pPr>
      <w:spacing w:after="120" w:line="276" w:lineRule="auto"/>
      <w:ind w:left="1134" w:right="1134"/>
      <w:jc w:val="both"/>
    </w:pPr>
    <w:rPr>
      <w:rFonts w:eastAsia="Times New Roman"/>
      <w:spacing w:val="0"/>
      <w:w w:val="100"/>
      <w:kern w:val="0"/>
      <w:sz w:val="22"/>
      <w:lang w:val="en-GB" w:eastAsia="en-US"/>
    </w:rPr>
  </w:style>
  <w:style w:type="paragraph" w:customStyle="1" w:styleId="Style15">
    <w:name w:val="Style15"/>
    <w:basedOn w:val="Normal"/>
    <w:qFormat/>
    <w:rsid w:val="00C36127"/>
    <w:pPr>
      <w:spacing w:after="120" w:line="276" w:lineRule="auto"/>
      <w:ind w:left="1134" w:right="1134"/>
      <w:jc w:val="both"/>
    </w:pPr>
    <w:rPr>
      <w:rFonts w:eastAsia="Times New Roman"/>
      <w:spacing w:val="0"/>
      <w:w w:val="100"/>
      <w:kern w:val="0"/>
      <w:sz w:val="22"/>
      <w:lang w:val="en-GB" w:eastAsia="en-US"/>
    </w:rPr>
  </w:style>
  <w:style w:type="paragraph" w:customStyle="1" w:styleId="Style16">
    <w:name w:val="Style16"/>
    <w:basedOn w:val="Normal"/>
    <w:qFormat/>
    <w:rsid w:val="00C36127"/>
    <w:pPr>
      <w:spacing w:after="120" w:line="276" w:lineRule="auto"/>
      <w:ind w:left="1134" w:right="1134"/>
      <w:jc w:val="both"/>
    </w:pPr>
    <w:rPr>
      <w:rFonts w:eastAsia="Times New Roman"/>
      <w:spacing w:val="0"/>
      <w:w w:val="100"/>
      <w:kern w:val="0"/>
      <w:sz w:val="22"/>
      <w:lang w:val="en-GB" w:eastAsia="en-US"/>
    </w:rPr>
  </w:style>
  <w:style w:type="paragraph" w:customStyle="1" w:styleId="Style17">
    <w:name w:val="Style17"/>
    <w:basedOn w:val="Normal"/>
    <w:qFormat/>
    <w:rsid w:val="00C36127"/>
    <w:pPr>
      <w:spacing w:after="120" w:line="276" w:lineRule="auto"/>
      <w:ind w:left="1134" w:right="1134"/>
      <w:jc w:val="both"/>
    </w:pPr>
    <w:rPr>
      <w:rFonts w:eastAsia="Times New Roman"/>
      <w:spacing w:val="0"/>
      <w:w w:val="100"/>
      <w:kern w:val="0"/>
      <w:sz w:val="22"/>
      <w:lang w:val="en-GB" w:eastAsia="en-US"/>
    </w:rPr>
  </w:style>
  <w:style w:type="paragraph" w:customStyle="1" w:styleId="Style18">
    <w:name w:val="Style18"/>
    <w:basedOn w:val="Normal"/>
    <w:qFormat/>
    <w:rsid w:val="00C3612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/>
      <w:b/>
      <w:spacing w:val="0"/>
      <w:w w:val="100"/>
      <w:kern w:val="0"/>
      <w:sz w:val="24"/>
      <w:lang w:val="en-GB" w:eastAsia="en-US"/>
    </w:rPr>
  </w:style>
  <w:style w:type="paragraph" w:customStyle="1" w:styleId="Style19">
    <w:name w:val="Style19"/>
    <w:basedOn w:val="Normal"/>
    <w:qFormat/>
    <w:rsid w:val="00C3612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/>
      <w:b/>
      <w:spacing w:val="0"/>
      <w:w w:val="100"/>
      <w:kern w:val="0"/>
      <w:sz w:val="24"/>
      <w:lang w:val="en-GB" w:eastAsia="en-US"/>
    </w:rPr>
  </w:style>
  <w:style w:type="paragraph" w:customStyle="1" w:styleId="Style22">
    <w:name w:val="Style22"/>
    <w:basedOn w:val="Normal"/>
    <w:qFormat/>
    <w:rsid w:val="00C36127"/>
    <w:pPr>
      <w:spacing w:after="120" w:line="276" w:lineRule="auto"/>
      <w:ind w:left="1134" w:right="1134"/>
      <w:jc w:val="both"/>
    </w:pPr>
    <w:rPr>
      <w:rFonts w:eastAsia="Times New Roman"/>
      <w:spacing w:val="0"/>
      <w:w w:val="100"/>
      <w:kern w:val="0"/>
      <w:sz w:val="22"/>
      <w:lang w:val="en-GB" w:eastAsia="en-US"/>
    </w:rPr>
  </w:style>
  <w:style w:type="paragraph" w:customStyle="1" w:styleId="Style23">
    <w:name w:val="Style23"/>
    <w:basedOn w:val="Normal"/>
    <w:qFormat/>
    <w:rsid w:val="00C3612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/>
      <w:b/>
      <w:spacing w:val="0"/>
      <w:w w:val="100"/>
      <w:kern w:val="0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1122</Words>
  <Characters>5925</Characters>
  <Application>Microsoft Office Word</Application>
  <DocSecurity>0</DocSecurity>
  <Lines>257</Lines>
  <Paragraphs>163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ECE/TRANS/WP.11/2017/4</vt:lpstr>
      <vt:lpstr>ECE/TRANS/WP.11/2017/4</vt:lpstr>
      <vt:lpstr>A/</vt:lpstr>
    </vt:vector>
  </TitlesOfParts>
  <Company>DCM</Company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ECE/TRANS/WP.11/2017/4</dc:title>
  <dc:subject/>
  <dc:creator>Prokoudina S.</dc:creator>
  <cp:keywords/>
  <cp:lastModifiedBy>Marie-Claude Collet</cp:lastModifiedBy>
  <cp:revision>3</cp:revision>
  <cp:lastPrinted>2017-08-25T09:32:00Z</cp:lastPrinted>
  <dcterms:created xsi:type="dcterms:W3CDTF">2017-08-25T09:27:00Z</dcterms:created>
  <dcterms:modified xsi:type="dcterms:W3CDTF">2017-08-25T09:33:00Z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