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7C3F2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7C3F28" w:rsidP="007C3F28">
            <w:pPr>
              <w:jc w:val="right"/>
            </w:pPr>
            <w:r w:rsidRPr="007C3F28">
              <w:rPr>
                <w:sz w:val="40"/>
              </w:rPr>
              <w:t>ECE</w:t>
            </w:r>
            <w:r>
              <w:t>/TRANS/WP.15/AC.2/2017/48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7C3F28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7C3F28" w:rsidRDefault="007C3F28" w:rsidP="007C3F28">
            <w:pPr>
              <w:spacing w:line="240" w:lineRule="exact"/>
            </w:pPr>
            <w:r>
              <w:t>12 juin 2017</w:t>
            </w:r>
          </w:p>
          <w:p w:rsidR="007C3F28" w:rsidRDefault="007C3F28" w:rsidP="007C3F28">
            <w:pPr>
              <w:spacing w:line="240" w:lineRule="exact"/>
            </w:pPr>
            <w:r>
              <w:t>Français</w:t>
            </w:r>
          </w:p>
          <w:p w:rsidR="007C3F28" w:rsidRPr="00DB58B5" w:rsidRDefault="007C3F28" w:rsidP="007C3F28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795326" w:rsidRDefault="00795326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795326" w:rsidRPr="000B1DFC" w:rsidRDefault="00795326" w:rsidP="00E85C74">
      <w:pPr>
        <w:spacing w:before="120"/>
        <w:rPr>
          <w:b/>
        </w:rPr>
      </w:pPr>
      <w:r w:rsidRPr="000B1DFC">
        <w:rPr>
          <w:b/>
        </w:rPr>
        <w:t xml:space="preserve">Réunion commune d’experts sur le Règlement annexé à l’Accord européen </w:t>
      </w:r>
      <w:r w:rsidR="000B1DFC">
        <w:rPr>
          <w:b/>
        </w:rPr>
        <w:br/>
      </w:r>
      <w:r w:rsidRPr="000B1DFC">
        <w:rPr>
          <w:b/>
        </w:rPr>
        <w:t xml:space="preserve">relatif au transport international des marchandises dangereuses </w:t>
      </w:r>
      <w:r w:rsidR="000B1DFC">
        <w:rPr>
          <w:b/>
        </w:rPr>
        <w:br/>
      </w:r>
      <w:r w:rsidRPr="000B1DFC">
        <w:rPr>
          <w:b/>
        </w:rPr>
        <w:t xml:space="preserve">par voies de navigation intérieures (ADN) </w:t>
      </w:r>
      <w:r w:rsidR="000B1DFC">
        <w:rPr>
          <w:b/>
        </w:rPr>
        <w:br/>
      </w:r>
      <w:r w:rsidRPr="000B1DFC">
        <w:rPr>
          <w:b/>
        </w:rPr>
        <w:t>(Comité de sécurité de l’ADN)</w:t>
      </w:r>
    </w:p>
    <w:p w:rsidR="00795326" w:rsidRPr="00992778" w:rsidRDefault="00795326" w:rsidP="00E85C74">
      <w:pPr>
        <w:spacing w:before="120"/>
        <w:rPr>
          <w:b/>
        </w:rPr>
      </w:pPr>
      <w:r>
        <w:rPr>
          <w:b/>
        </w:rPr>
        <w:t xml:space="preserve">Trente et unième </w:t>
      </w:r>
      <w:r w:rsidRPr="00992778">
        <w:rPr>
          <w:b/>
        </w:rPr>
        <w:t>session</w:t>
      </w:r>
    </w:p>
    <w:p w:rsidR="00795326" w:rsidRDefault="00795326" w:rsidP="00E85C74">
      <w:r>
        <w:t>Genève, 28-31 août 2017</w:t>
      </w:r>
    </w:p>
    <w:p w:rsidR="00795326" w:rsidRDefault="00795326" w:rsidP="00E85C74">
      <w:r w:rsidRPr="00B93E72">
        <w:t>Point</w:t>
      </w:r>
      <w:r>
        <w:t> 4 b)</w:t>
      </w:r>
      <w:r w:rsidRPr="00B93E72">
        <w:t xml:space="preserve"> de l’ordre du jour provisoire</w:t>
      </w:r>
    </w:p>
    <w:p w:rsidR="00795326" w:rsidRPr="000B1DFC" w:rsidRDefault="00795326" w:rsidP="00795326">
      <w:pPr>
        <w:rPr>
          <w:b/>
        </w:rPr>
      </w:pPr>
      <w:r w:rsidRPr="000B1DFC">
        <w:rPr>
          <w:b/>
          <w:lang w:val="fr-FR"/>
        </w:rPr>
        <w:t>Propositions d’amendements au Règlement annexé à l’ADN</w:t>
      </w:r>
      <w:r w:rsidR="000B1DFC" w:rsidRPr="000B1DFC">
        <w:rPr>
          <w:b/>
          <w:lang w:val="fr-FR"/>
        </w:rPr>
        <w:t> </w:t>
      </w:r>
      <w:r w:rsidRPr="000B1DFC">
        <w:rPr>
          <w:b/>
          <w:lang w:val="fr-FR"/>
        </w:rPr>
        <w:t>:</w:t>
      </w:r>
      <w:r w:rsidR="000B1DFC" w:rsidRPr="000B1DFC">
        <w:rPr>
          <w:b/>
        </w:rPr>
        <w:t xml:space="preserve"> </w:t>
      </w:r>
      <w:r w:rsidR="00C76C21">
        <w:rPr>
          <w:b/>
        </w:rPr>
        <w:br/>
      </w:r>
      <w:r w:rsidRPr="000B1DFC">
        <w:rPr>
          <w:b/>
          <w:lang w:val="fr-FR"/>
        </w:rPr>
        <w:t>autres propositions</w:t>
      </w:r>
    </w:p>
    <w:p w:rsidR="00795326" w:rsidRPr="0073159D" w:rsidRDefault="000B1DFC" w:rsidP="000B1DFC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</w:t>
      </w:r>
      <w:r w:rsidR="00795326">
        <w:rPr>
          <w:lang w:val="fr-FR"/>
        </w:rPr>
        <w:t xml:space="preserve"> de modification du paragraphe</w:t>
      </w:r>
      <w:r>
        <w:rPr>
          <w:lang w:val="fr-FR"/>
        </w:rPr>
        <w:t> </w:t>
      </w:r>
      <w:r w:rsidR="00795326">
        <w:rPr>
          <w:lang w:val="fr-FR"/>
        </w:rPr>
        <w:t>7.2.4.25.5</w:t>
      </w:r>
    </w:p>
    <w:p w:rsidR="00F9573C" w:rsidRDefault="00795326" w:rsidP="000B1DFC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des Gouvernements de la France et des Pays-Bas </w:t>
      </w:r>
      <w:r w:rsidR="000B1DFC">
        <w:rPr>
          <w:lang w:val="fr-FR"/>
        </w:rPr>
        <w:br/>
      </w:r>
      <w:r>
        <w:rPr>
          <w:lang w:val="fr-FR"/>
        </w:rPr>
        <w:t>ainsi que du Conseil européen de l’industrie chimique (CEFIC)</w:t>
      </w:r>
      <w:r w:rsidR="000B1DFC" w:rsidRPr="000B1DF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0B1DFC" w:rsidRPr="000B1DFC">
        <w:rPr>
          <w:b w:val="0"/>
          <w:sz w:val="20"/>
          <w:vertAlign w:val="superscript"/>
        </w:rPr>
        <w:t>,</w:t>
      </w:r>
      <w:r w:rsidR="000B1DFC" w:rsidRPr="000B1DFC">
        <w:rPr>
          <w:b w:val="0"/>
          <w:sz w:val="20"/>
        </w:rPr>
        <w:t xml:space="preserve"> </w:t>
      </w:r>
      <w:r w:rsidR="000B1DFC" w:rsidRPr="000B1DFC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795326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795326" w:rsidRPr="000001E7" w:rsidRDefault="00795326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795326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795326" w:rsidRDefault="00795326" w:rsidP="00092ABE">
            <w:pPr>
              <w:pStyle w:val="SingleTxtG"/>
              <w:ind w:left="3402" w:hanging="2268"/>
            </w:pPr>
            <w:r w:rsidRPr="00087314">
              <w:rPr>
                <w:b/>
              </w:rPr>
              <w:t>Résumé analytique</w:t>
            </w:r>
            <w:r>
              <w:t> :</w:t>
            </w:r>
            <w:r>
              <w:tab/>
            </w:r>
            <w:r w:rsidR="00092ABE">
              <w:tab/>
            </w:r>
            <w:r>
              <w:rPr>
                <w:lang w:val="fr-FR"/>
              </w:rPr>
              <w:t>Suite donnée aux propositions initiales faites lors de la réunion d’août 2015 du Comité de sécurité de l’ADN, compt</w:t>
            </w:r>
            <w:r w:rsidR="002469BD">
              <w:rPr>
                <w:lang w:val="fr-FR"/>
              </w:rPr>
              <w:t>e tenu des débats ayant eu lieu</w:t>
            </w:r>
            <w:r>
              <w:rPr>
                <w:lang w:val="fr-FR"/>
              </w:rPr>
              <w:t xml:space="preserve"> lors des réunions de janvier et août 2016 du Comité.</w:t>
            </w:r>
          </w:p>
        </w:tc>
      </w:tr>
      <w:tr w:rsidR="00795326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795326" w:rsidRDefault="00795326" w:rsidP="001A031E">
            <w:pPr>
              <w:pStyle w:val="SingleTxtG"/>
              <w:ind w:left="3402" w:hanging="2268"/>
            </w:pPr>
            <w:r w:rsidRPr="00087314">
              <w:rPr>
                <w:b/>
              </w:rPr>
              <w:t>Mesures à prendre</w:t>
            </w:r>
            <w:r>
              <w:t xml:space="preserve"> : </w:t>
            </w:r>
            <w:r>
              <w:tab/>
            </w:r>
            <w:r>
              <w:rPr>
                <w:lang w:val="fr-FR"/>
              </w:rPr>
              <w:t>Voir le paragraphe</w:t>
            </w:r>
            <w:r w:rsidR="001A031E">
              <w:rPr>
                <w:lang w:val="fr-FR"/>
              </w:rPr>
              <w:t> </w:t>
            </w:r>
            <w:r>
              <w:rPr>
                <w:lang w:val="fr-FR"/>
              </w:rPr>
              <w:t>8.</w:t>
            </w:r>
          </w:p>
        </w:tc>
      </w:tr>
      <w:tr w:rsidR="00795326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795326" w:rsidRDefault="00795326" w:rsidP="00C76C21">
            <w:pPr>
              <w:pStyle w:val="SingleTxtG"/>
              <w:ind w:left="3402" w:hanging="2268"/>
              <w:jc w:val="left"/>
            </w:pPr>
            <w:r w:rsidRPr="00087314">
              <w:rPr>
                <w:b/>
              </w:rPr>
              <w:t>Documents de référence</w:t>
            </w:r>
            <w:r>
              <w:t xml:space="preserve"> : </w:t>
            </w:r>
            <w:r>
              <w:tab/>
            </w:r>
            <w:r>
              <w:rPr>
                <w:lang w:val="fr-FR"/>
              </w:rPr>
              <w:t xml:space="preserve">ECE/TRANS/WP.15/AC.2/2015/18 </w:t>
            </w:r>
            <w:r>
              <w:rPr>
                <w:lang w:val="fr-FR"/>
              </w:rPr>
              <w:br/>
              <w:t xml:space="preserve">ECE/TRANS/WP.15/AC.2/56 (par. 16 et 17) </w:t>
            </w:r>
            <w:r>
              <w:rPr>
                <w:lang w:val="fr-FR"/>
              </w:rPr>
              <w:br/>
              <w:t xml:space="preserve">ECE/TRANS/WP.15/AC.2/2016/24 </w:t>
            </w:r>
            <w:r>
              <w:rPr>
                <w:lang w:val="fr-FR"/>
              </w:rPr>
              <w:br/>
              <w:t xml:space="preserve">ECE/TRANS/WP.15/AC.2/58 (par. 55 à 57) </w:t>
            </w:r>
            <w:r>
              <w:rPr>
                <w:lang w:val="fr-FR"/>
              </w:rPr>
              <w:br/>
              <w:t xml:space="preserve">ECE/TRANS/WP.15/AC.2/2016/44 </w:t>
            </w:r>
            <w:r>
              <w:rPr>
                <w:lang w:val="fr-FR"/>
              </w:rPr>
              <w:br/>
            </w:r>
            <w:r w:rsidR="00C76C21">
              <w:rPr>
                <w:lang w:val="fr-FR"/>
              </w:rPr>
              <w:t>Document informel</w:t>
            </w:r>
            <w:r>
              <w:rPr>
                <w:lang w:val="fr-FR"/>
              </w:rPr>
              <w:t xml:space="preserve"> INF. 11 de la vingt-neuvième session </w:t>
            </w:r>
            <w:r>
              <w:rPr>
                <w:lang w:val="fr-FR"/>
              </w:rPr>
              <w:br/>
              <w:t>ECE/TRANS/WP.15/AC.2/60 (par. 35)</w:t>
            </w:r>
          </w:p>
        </w:tc>
      </w:tr>
      <w:tr w:rsidR="00795326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795326" w:rsidRDefault="00795326" w:rsidP="00216E0F"/>
        </w:tc>
      </w:tr>
    </w:tbl>
    <w:p w:rsidR="001F08C0" w:rsidRPr="0073159D" w:rsidRDefault="001F08C0" w:rsidP="00C86E8F">
      <w:pPr>
        <w:pStyle w:val="HChG"/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  <w:t>Introduction</w:t>
      </w:r>
    </w:p>
    <w:p w:rsidR="001F08C0" w:rsidRPr="0073159D" w:rsidRDefault="001F08C0" w:rsidP="00C86E8F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À la vingt-septième session du Comité de sécurité de l’</w:t>
      </w:r>
      <w:r w:rsidR="00E469CA">
        <w:rPr>
          <w:lang w:val="fr-FR"/>
        </w:rPr>
        <w:t>ADN (août 2015), les Pays−</w:t>
      </w:r>
      <w:r>
        <w:rPr>
          <w:lang w:val="fr-FR"/>
        </w:rPr>
        <w:t>Bas ont soumis pour examen le document ECE/TRANS/WP.15/AC.2/2015/18, dans lequel figurait l’interprétation nationale (néerlandaise) relative au paragraphe</w:t>
      </w:r>
      <w:r w:rsidR="00C86E8F">
        <w:rPr>
          <w:lang w:val="fr-FR"/>
        </w:rPr>
        <w:t> </w:t>
      </w:r>
      <w:r>
        <w:rPr>
          <w:lang w:val="fr-FR"/>
        </w:rPr>
        <w:t>7.2.4.25.5.</w:t>
      </w:r>
    </w:p>
    <w:p w:rsidR="001F08C0" w:rsidRPr="0073159D" w:rsidRDefault="001F08C0" w:rsidP="00C86E8F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La proposition néerlandaise visait à appliquer les dispositions actuelles du paragraphe</w:t>
      </w:r>
      <w:r w:rsidR="00C86E8F">
        <w:rPr>
          <w:lang w:val="fr-FR"/>
        </w:rPr>
        <w:t> </w:t>
      </w:r>
      <w:r>
        <w:rPr>
          <w:lang w:val="fr-FR"/>
        </w:rPr>
        <w:t>7.2.4.25.5 également dans le cas où la cargaison précédente aurait nécessité un « bateau de type fermé » conformément à la colonne (7) du tableau C du chapitre</w:t>
      </w:r>
      <w:r w:rsidR="00C86E8F">
        <w:rPr>
          <w:lang w:val="fr-FR"/>
        </w:rPr>
        <w:t> </w:t>
      </w:r>
      <w:r>
        <w:rPr>
          <w:lang w:val="fr-FR"/>
        </w:rPr>
        <w:t>3.2.</w:t>
      </w:r>
    </w:p>
    <w:p w:rsidR="001F08C0" w:rsidRPr="0073159D" w:rsidRDefault="001F08C0" w:rsidP="00C86E8F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Dans son rapport ECE/TRANS/WP.15/AC.2/56 (par.</w:t>
      </w:r>
      <w:r w:rsidR="00C86E8F">
        <w:rPr>
          <w:lang w:val="fr-FR"/>
        </w:rPr>
        <w:t> </w:t>
      </w:r>
      <w:r>
        <w:rPr>
          <w:lang w:val="fr-FR"/>
        </w:rPr>
        <w:t>16 et 17), le Comité a demandé aux Gouvernements de la France et des Pays-Bas de soumettre une proposition de modification du</w:t>
      </w:r>
      <w:r w:rsidR="00C86E8F">
        <w:rPr>
          <w:lang w:val="fr-FR"/>
        </w:rPr>
        <w:t xml:space="preserve"> paragraphe </w:t>
      </w:r>
      <w:r>
        <w:rPr>
          <w:lang w:val="fr-FR"/>
        </w:rPr>
        <w:t>7.2.4.25.5 du Règlement annexé à l’ADN.</w:t>
      </w:r>
    </w:p>
    <w:p w:rsidR="001F08C0" w:rsidRPr="0073159D" w:rsidRDefault="001F08C0" w:rsidP="00C86E8F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 xml:space="preserve">Toutefois, lors de sa vingt-huitième session, le </w:t>
      </w:r>
      <w:r w:rsidR="00C86E8F">
        <w:rPr>
          <w:lang w:val="fr-FR"/>
        </w:rPr>
        <w:t>Comité de sécurité de</w:t>
      </w:r>
      <w:r>
        <w:rPr>
          <w:lang w:val="fr-FR"/>
        </w:rPr>
        <w:t xml:space="preserve"> l’ADN n’était pas encore en mesure de prendre une décision concernant cette proposition, et les représentants de la France, des Pays-Bas et du CEFIC ont suggéré de soumettre une nouvelle proposition qui tiendrait compte des problèmes rencontrés dans la pratique (ECE/TRANS/WP.15/AC.2/58, par.</w:t>
      </w:r>
      <w:r w:rsidR="00C86E8F">
        <w:rPr>
          <w:lang w:val="fr-FR"/>
        </w:rPr>
        <w:t> </w:t>
      </w:r>
      <w:r>
        <w:rPr>
          <w:lang w:val="fr-FR"/>
        </w:rPr>
        <w:t>55 à 57 et ECE/TRANS/WP.15/AC.2/60, par.</w:t>
      </w:r>
      <w:r w:rsidR="00C86E8F">
        <w:rPr>
          <w:lang w:val="fr-FR"/>
        </w:rPr>
        <w:t> </w:t>
      </w:r>
      <w:r>
        <w:rPr>
          <w:lang w:val="fr-FR"/>
        </w:rPr>
        <w:t>35).</w:t>
      </w:r>
    </w:p>
    <w:p w:rsidR="001F08C0" w:rsidRPr="0073159D" w:rsidRDefault="001F08C0" w:rsidP="00C86E8F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 xml:space="preserve">Les </w:t>
      </w:r>
      <w:r w:rsidR="00E469CA">
        <w:rPr>
          <w:lang w:val="fr-FR"/>
        </w:rPr>
        <w:t>G</w:t>
      </w:r>
      <w:r>
        <w:rPr>
          <w:lang w:val="fr-FR"/>
        </w:rPr>
        <w:t>ouvernements de la France et des Pays-Bas ainsi que le CEFIC jugent souhaitable de préciser les conditions de chargement dans lesquelles l’utilisation de la conduite de retour de gaz est nécessaire</w:t>
      </w:r>
      <w:r w:rsidR="00C86E8F">
        <w:rPr>
          <w:lang w:val="fr-FR"/>
        </w:rPr>
        <w:t>.</w:t>
      </w:r>
    </w:p>
    <w:p w:rsidR="001F08C0" w:rsidRPr="0073159D" w:rsidRDefault="001F08C0" w:rsidP="00C86E8F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>À titre d’observation supplémentaire par rapport à la proposition finale, il convient de noter que la colonne (7) du tableau C du chapitre</w:t>
      </w:r>
      <w:r w:rsidR="00C86E8F">
        <w:rPr>
          <w:lang w:val="fr-FR"/>
        </w:rPr>
        <w:t> </w:t>
      </w:r>
      <w:r>
        <w:rPr>
          <w:lang w:val="fr-FR"/>
        </w:rPr>
        <w:t>3.2 a trait à la conception des citernes à cargaison et non aux bateaux, et que l’</w:t>
      </w:r>
      <w:r w:rsidR="00C86E8F">
        <w:rPr>
          <w:lang w:val="fr-FR"/>
        </w:rPr>
        <w:t>expression « </w:t>
      </w:r>
      <w:r>
        <w:rPr>
          <w:lang w:val="fr-FR"/>
        </w:rPr>
        <w:t>bateau de type fermé</w:t>
      </w:r>
      <w:r w:rsidR="00C86E8F">
        <w:rPr>
          <w:lang w:val="fr-FR"/>
        </w:rPr>
        <w:t> »</w:t>
      </w:r>
      <w:r>
        <w:rPr>
          <w:lang w:val="fr-FR"/>
        </w:rPr>
        <w:t xml:space="preserve"> est inappropriée.</w:t>
      </w:r>
    </w:p>
    <w:p w:rsidR="001F08C0" w:rsidRPr="0073159D" w:rsidRDefault="001F08C0" w:rsidP="00492550">
      <w:pPr>
        <w:pStyle w:val="HChG"/>
      </w:pPr>
      <w:r>
        <w:rPr>
          <w:lang w:val="fr-FR"/>
        </w:rPr>
        <w:tab/>
        <w:t>II.</w:t>
      </w:r>
      <w:r>
        <w:rPr>
          <w:lang w:val="fr-FR"/>
        </w:rPr>
        <w:tab/>
        <w:t>Modification proposée</w:t>
      </w:r>
    </w:p>
    <w:p w:rsidR="001F08C0" w:rsidRPr="0073159D" w:rsidRDefault="001F08C0" w:rsidP="00C86E8F">
      <w:pPr>
        <w:pStyle w:val="SingleTxtG"/>
      </w:pPr>
      <w:r>
        <w:rPr>
          <w:lang w:val="fr-FR"/>
        </w:rPr>
        <w:t>7.</w:t>
      </w:r>
      <w:r>
        <w:rPr>
          <w:lang w:val="fr-FR"/>
        </w:rPr>
        <w:tab/>
        <w:t>La proposition de modification du paragraphe</w:t>
      </w:r>
      <w:r w:rsidR="00492550">
        <w:rPr>
          <w:lang w:val="fr-FR"/>
        </w:rPr>
        <w:t> </w:t>
      </w:r>
      <w:r>
        <w:rPr>
          <w:lang w:val="fr-FR"/>
        </w:rPr>
        <w:t>7.2.4.25.5 tient compte des remarques fai</w:t>
      </w:r>
      <w:r w:rsidR="00492550">
        <w:rPr>
          <w:lang w:val="fr-FR"/>
        </w:rPr>
        <w:t>tes lors des précédents débats.</w:t>
      </w:r>
      <w:r>
        <w:rPr>
          <w:lang w:val="fr-FR"/>
        </w:rPr>
        <w:t xml:space="preserve"> Elle est présentée ci-dessous, le texte supprimé étant biffé et le texte ajouté figurant en caractères gras et soulignés.</w:t>
      </w:r>
    </w:p>
    <w:p w:rsidR="001F08C0" w:rsidRPr="0073159D" w:rsidRDefault="001F08C0" w:rsidP="00573090">
      <w:pPr>
        <w:pStyle w:val="SingleTxtG"/>
        <w:ind w:left="2268" w:hanging="1134"/>
      </w:pPr>
      <w:r>
        <w:t>« </w:t>
      </w:r>
      <w:r>
        <w:rPr>
          <w:lang w:val="fr-FR"/>
        </w:rPr>
        <w:t>7.2.4.25.5</w:t>
      </w:r>
      <w:r>
        <w:rPr>
          <w:lang w:val="fr-FR"/>
        </w:rPr>
        <w:tab/>
        <w:t>Les mélanges gaz-air survenant lors du chargement doivent être renvoyés à terre au moyen d’une conduite de ret</w:t>
      </w:r>
      <w:r w:rsidR="00492550">
        <w:rPr>
          <w:lang w:val="fr-FR"/>
        </w:rPr>
        <w:t>our de gaz </w:t>
      </w:r>
      <w:r>
        <w:rPr>
          <w:lang w:val="fr-FR"/>
        </w:rPr>
        <w:t>:</w:t>
      </w:r>
    </w:p>
    <w:p w:rsidR="001F08C0" w:rsidRPr="0073159D" w:rsidRDefault="001F08C0" w:rsidP="00573090">
      <w:pPr>
        <w:pStyle w:val="Bullet1G"/>
        <w:ind w:left="2438"/>
      </w:pPr>
      <w:proofErr w:type="gramStart"/>
      <w:r w:rsidRPr="001351D5">
        <w:rPr>
          <w:strike/>
          <w:lang w:val="fr-FR"/>
        </w:rPr>
        <w:t>qu</w:t>
      </w:r>
      <w:r>
        <w:rPr>
          <w:strike/>
          <w:lang w:val="fr-FR"/>
        </w:rPr>
        <w:t>’</w:t>
      </w:r>
      <w:r w:rsidRPr="001351D5">
        <w:rPr>
          <w:strike/>
          <w:lang w:val="fr-FR"/>
        </w:rPr>
        <w:t>un</w:t>
      </w:r>
      <w:proofErr w:type="gramEnd"/>
      <w:r w:rsidRPr="001351D5">
        <w:rPr>
          <w:strike/>
          <w:lang w:val="fr-FR"/>
        </w:rPr>
        <w:t xml:space="preserve"> bateau du type fermé</w:t>
      </w:r>
      <w:r w:rsidRPr="001A031E">
        <w:rPr>
          <w:lang w:val="fr-FR"/>
        </w:rPr>
        <w:t xml:space="preserve"> </w:t>
      </w:r>
      <w:r w:rsidRPr="001A031E">
        <w:rPr>
          <w:b/>
          <w:u w:val="single"/>
          <w:lang w:val="fr-FR"/>
        </w:rPr>
        <w:t>quand une citerne à cargaison fermée</w:t>
      </w:r>
      <w:r>
        <w:rPr>
          <w:lang w:val="fr-FR"/>
        </w:rPr>
        <w:t xml:space="preserve"> est exigée conformément à la colonne (7) du tableau C du chapitre</w:t>
      </w:r>
      <w:r w:rsidR="001A031E">
        <w:rPr>
          <w:lang w:val="fr-FR"/>
        </w:rPr>
        <w:t> </w:t>
      </w:r>
      <w:r>
        <w:rPr>
          <w:lang w:val="fr-FR"/>
        </w:rPr>
        <w:t>3.2</w:t>
      </w:r>
      <w:r w:rsidR="001A031E">
        <w:rPr>
          <w:lang w:val="fr-FR"/>
        </w:rPr>
        <w:t> </w:t>
      </w:r>
      <w:r>
        <w:rPr>
          <w:lang w:val="fr-FR"/>
        </w:rPr>
        <w:t>;</w:t>
      </w:r>
    </w:p>
    <w:p w:rsidR="001F08C0" w:rsidRPr="00C13831" w:rsidRDefault="001F08C0" w:rsidP="00573090">
      <w:pPr>
        <w:pStyle w:val="SingleTxtG"/>
        <w:ind w:left="1701" w:firstLine="567"/>
        <w:rPr>
          <w:b/>
          <w:bCs/>
          <w:u w:val="single"/>
        </w:rPr>
      </w:pPr>
      <w:proofErr w:type="gramStart"/>
      <w:r w:rsidRPr="00C13831">
        <w:rPr>
          <w:b/>
          <w:u w:val="single"/>
          <w:lang w:val="fr-FR"/>
        </w:rPr>
        <w:t>ou</w:t>
      </w:r>
      <w:proofErr w:type="gramEnd"/>
    </w:p>
    <w:p w:rsidR="001F08C0" w:rsidRPr="001A031E" w:rsidRDefault="001F08C0" w:rsidP="00573090">
      <w:pPr>
        <w:pStyle w:val="Bullet1G"/>
        <w:ind w:left="2438"/>
        <w:rPr>
          <w:b/>
          <w:u w:val="single"/>
        </w:rPr>
      </w:pPr>
      <w:proofErr w:type="gramStart"/>
      <w:r w:rsidRPr="001A031E">
        <w:rPr>
          <w:b/>
          <w:u w:val="single"/>
          <w:lang w:val="fr-FR"/>
        </w:rPr>
        <w:t>quand</w:t>
      </w:r>
      <w:proofErr w:type="gramEnd"/>
      <w:r w:rsidRPr="001A031E">
        <w:rPr>
          <w:b/>
          <w:u w:val="single"/>
          <w:lang w:val="fr-FR"/>
        </w:rPr>
        <w:t xml:space="preserve"> une citerne à cargaison fermée était exigée pour la cargaison précédente dans la colonne (7) du tableau</w:t>
      </w:r>
      <w:r w:rsidR="00492550" w:rsidRPr="001A031E">
        <w:rPr>
          <w:b/>
          <w:u w:val="single"/>
          <w:lang w:val="fr-FR"/>
        </w:rPr>
        <w:t> C du chapitre </w:t>
      </w:r>
      <w:r w:rsidRPr="001A031E">
        <w:rPr>
          <w:b/>
          <w:u w:val="single"/>
          <w:lang w:val="fr-FR"/>
        </w:rPr>
        <w:t>3.2 et quand, après déchargement de la cargaison précédente, la concentration de gaz inflammables y est</w:t>
      </w:r>
      <w:r w:rsidR="00492550" w:rsidRPr="001A031E">
        <w:rPr>
          <w:b/>
          <w:u w:val="single"/>
          <w:lang w:val="fr-FR"/>
        </w:rPr>
        <w:t xml:space="preserve"> supérieure à 10 </w:t>
      </w:r>
      <w:r w:rsidRPr="001A031E">
        <w:rPr>
          <w:b/>
          <w:u w:val="single"/>
          <w:lang w:val="fr-FR"/>
        </w:rPr>
        <w:t>% de la LIE ou qu’elle contient des gaz toxiques ou corrosifs (groupe d’</w:t>
      </w:r>
      <w:r w:rsidR="00492550" w:rsidRPr="001A031E">
        <w:rPr>
          <w:b/>
          <w:u w:val="single"/>
          <w:lang w:val="fr-FR"/>
        </w:rPr>
        <w:t>emballage </w:t>
      </w:r>
      <w:r w:rsidRPr="001A031E">
        <w:rPr>
          <w:b/>
          <w:u w:val="single"/>
          <w:lang w:val="fr-FR"/>
        </w:rPr>
        <w:t>I ou II) ou des gaz ayant des caractéristiques CMR</w:t>
      </w:r>
      <w:r w:rsidR="00492550" w:rsidRPr="001A031E">
        <w:rPr>
          <w:b/>
          <w:u w:val="single"/>
          <w:lang w:val="fr-FR"/>
        </w:rPr>
        <w:t xml:space="preserve"> (catégories </w:t>
      </w:r>
      <w:r w:rsidRPr="001A031E">
        <w:rPr>
          <w:b/>
          <w:u w:val="single"/>
          <w:lang w:val="fr-FR"/>
        </w:rPr>
        <w:t>1A ou 1B) à une concentration dépassant les niveaux d’expositions acceptés à l’échelle nationale.</w:t>
      </w:r>
    </w:p>
    <w:p w:rsidR="001F08C0" w:rsidRPr="0073159D" w:rsidRDefault="001F08C0" w:rsidP="00C86E8F">
      <w:pPr>
        <w:pStyle w:val="HChG"/>
      </w:pPr>
      <w:r>
        <w:rPr>
          <w:lang w:val="fr-FR"/>
        </w:rPr>
        <w:tab/>
        <w:t>III.</w:t>
      </w:r>
      <w:r>
        <w:rPr>
          <w:lang w:val="fr-FR"/>
        </w:rPr>
        <w:tab/>
        <w:t>Suite à donner</w:t>
      </w:r>
    </w:p>
    <w:p w:rsidR="00795326" w:rsidRDefault="001F08C0" w:rsidP="00C86E8F">
      <w:pPr>
        <w:pStyle w:val="SingleTxtG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Le Comité de sécurité est invité à examiner la proposition formulée au paragraphe 7 ci-dessus et à lui donner la suite qu’il jugera appropriée.</w:t>
      </w:r>
    </w:p>
    <w:p w:rsidR="001F08C0" w:rsidRPr="001F08C0" w:rsidRDefault="001F08C0" w:rsidP="001F08C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F08C0" w:rsidRPr="001F08C0" w:rsidSect="007C3F2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2F7" w:rsidRDefault="00F512F7" w:rsidP="00F95C08">
      <w:pPr>
        <w:spacing w:line="240" w:lineRule="auto"/>
      </w:pPr>
    </w:p>
  </w:endnote>
  <w:endnote w:type="continuationSeparator" w:id="0">
    <w:p w:rsidR="00F512F7" w:rsidRPr="00AC3823" w:rsidRDefault="00F512F7" w:rsidP="00AC3823">
      <w:pPr>
        <w:pStyle w:val="Footer"/>
      </w:pPr>
    </w:p>
  </w:endnote>
  <w:endnote w:type="continuationNotice" w:id="1">
    <w:p w:rsidR="00F512F7" w:rsidRDefault="00F512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28" w:rsidRPr="007C3F28" w:rsidRDefault="007C3F28" w:rsidP="007C3F28">
    <w:pPr>
      <w:pStyle w:val="Footer"/>
      <w:tabs>
        <w:tab w:val="right" w:pos="9638"/>
      </w:tabs>
    </w:pPr>
    <w:r w:rsidRPr="007C3F28">
      <w:rPr>
        <w:b/>
        <w:sz w:val="18"/>
      </w:rPr>
      <w:fldChar w:fldCharType="begin"/>
    </w:r>
    <w:r w:rsidRPr="007C3F28">
      <w:rPr>
        <w:b/>
        <w:sz w:val="18"/>
      </w:rPr>
      <w:instrText xml:space="preserve"> PAGE  \* MERGEFORMAT </w:instrText>
    </w:r>
    <w:r w:rsidRPr="007C3F28">
      <w:rPr>
        <w:b/>
        <w:sz w:val="18"/>
      </w:rPr>
      <w:fldChar w:fldCharType="separate"/>
    </w:r>
    <w:r w:rsidR="009C3001">
      <w:rPr>
        <w:b/>
        <w:noProof/>
        <w:sz w:val="18"/>
      </w:rPr>
      <w:t>2</w:t>
    </w:r>
    <w:r w:rsidRPr="007C3F28">
      <w:rPr>
        <w:b/>
        <w:sz w:val="18"/>
      </w:rPr>
      <w:fldChar w:fldCharType="end"/>
    </w:r>
    <w:r>
      <w:rPr>
        <w:b/>
        <w:sz w:val="18"/>
      </w:rPr>
      <w:tab/>
    </w:r>
    <w:r>
      <w:t>GE.17-09555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28" w:rsidRPr="007C3F28" w:rsidRDefault="007C3F28" w:rsidP="007C3F28">
    <w:pPr>
      <w:pStyle w:val="Footer"/>
      <w:tabs>
        <w:tab w:val="right" w:pos="9638"/>
      </w:tabs>
      <w:rPr>
        <w:b/>
        <w:sz w:val="18"/>
      </w:rPr>
    </w:pPr>
    <w:r>
      <w:t>GE.17-09555</w:t>
    </w:r>
    <w:r>
      <w:tab/>
    </w:r>
    <w:r w:rsidRPr="007C3F28">
      <w:rPr>
        <w:b/>
        <w:sz w:val="18"/>
      </w:rPr>
      <w:fldChar w:fldCharType="begin"/>
    </w:r>
    <w:r w:rsidRPr="007C3F28">
      <w:rPr>
        <w:b/>
        <w:sz w:val="18"/>
      </w:rPr>
      <w:instrText xml:space="preserve"> PAGE  \* MERGEFORMAT </w:instrText>
    </w:r>
    <w:r w:rsidRPr="007C3F28">
      <w:rPr>
        <w:b/>
        <w:sz w:val="18"/>
      </w:rPr>
      <w:fldChar w:fldCharType="separate"/>
    </w:r>
    <w:r w:rsidR="00C76C21">
      <w:rPr>
        <w:b/>
        <w:noProof/>
        <w:sz w:val="18"/>
      </w:rPr>
      <w:t>2</w:t>
    </w:r>
    <w:r w:rsidRPr="007C3F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7C3F28" w:rsidRDefault="007C3F28" w:rsidP="007C3F2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17-09555  (F)    100717    190717</w:t>
    </w:r>
    <w:r>
      <w:rPr>
        <w:sz w:val="20"/>
      </w:rPr>
      <w:br/>
    </w:r>
    <w:r w:rsidRPr="007C3F28">
      <w:rPr>
        <w:rFonts w:ascii="C39T30Lfz" w:hAnsi="C39T30Lfz"/>
        <w:sz w:val="56"/>
      </w:rPr>
      <w:t></w:t>
    </w:r>
    <w:r w:rsidRPr="007C3F28">
      <w:rPr>
        <w:rFonts w:ascii="C39T30Lfz" w:hAnsi="C39T30Lfz"/>
        <w:sz w:val="56"/>
      </w:rPr>
      <w:t></w:t>
    </w:r>
    <w:r w:rsidRPr="007C3F28">
      <w:rPr>
        <w:rFonts w:ascii="C39T30Lfz" w:hAnsi="C39T30Lfz"/>
        <w:sz w:val="56"/>
      </w:rPr>
      <w:t></w:t>
    </w:r>
    <w:r w:rsidRPr="007C3F28">
      <w:rPr>
        <w:rFonts w:ascii="C39T30Lfz" w:hAnsi="C39T30Lfz"/>
        <w:sz w:val="56"/>
      </w:rPr>
      <w:t></w:t>
    </w:r>
    <w:r w:rsidRPr="007C3F28">
      <w:rPr>
        <w:rFonts w:ascii="C39T30Lfz" w:hAnsi="C39T30Lfz"/>
        <w:sz w:val="56"/>
      </w:rPr>
      <w:t></w:t>
    </w:r>
    <w:r w:rsidRPr="007C3F28">
      <w:rPr>
        <w:rFonts w:ascii="C39T30Lfz" w:hAnsi="C39T30Lfz"/>
        <w:sz w:val="56"/>
      </w:rPr>
      <w:t></w:t>
    </w:r>
    <w:r w:rsidRPr="007C3F28">
      <w:rPr>
        <w:rFonts w:ascii="C39T30Lfz" w:hAnsi="C39T30Lfz"/>
        <w:sz w:val="56"/>
      </w:rPr>
      <w:t></w:t>
    </w:r>
    <w:r w:rsidRPr="007C3F28">
      <w:rPr>
        <w:rFonts w:ascii="C39T30Lfz" w:hAnsi="C39T30Lfz"/>
        <w:sz w:val="56"/>
      </w:rPr>
      <w:t></w:t>
    </w:r>
    <w:r w:rsidRPr="007C3F28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7/4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4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2F7" w:rsidRPr="00AC3823" w:rsidRDefault="00F512F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512F7" w:rsidRPr="00AC3823" w:rsidRDefault="00F512F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512F7" w:rsidRPr="00AC3823" w:rsidRDefault="00F512F7">
      <w:pPr>
        <w:spacing w:line="240" w:lineRule="auto"/>
        <w:rPr>
          <w:sz w:val="2"/>
          <w:szCs w:val="2"/>
        </w:rPr>
      </w:pPr>
    </w:p>
  </w:footnote>
  <w:footnote w:id="2">
    <w:p w:rsidR="000B1DFC" w:rsidRPr="000B1DFC" w:rsidRDefault="000B1DFC" w:rsidP="001A031E">
      <w:pPr>
        <w:pStyle w:val="FootnoteText"/>
      </w:pPr>
      <w:r>
        <w:rPr>
          <w:rStyle w:val="FootnoteReference"/>
        </w:rPr>
        <w:tab/>
      </w:r>
      <w:r w:rsidRPr="000B1DF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</w:t>
      </w:r>
      <w:r w:rsidR="00027B5F">
        <w:rPr>
          <w:lang w:val="fr-FR"/>
        </w:rPr>
        <w:t>e</w:t>
      </w:r>
      <w:r>
        <w:rPr>
          <w:lang w:val="fr-FR"/>
        </w:rPr>
        <w:t xml:space="preserve"> en langue allemande par </w:t>
      </w:r>
      <w:r w:rsidRPr="001A031E">
        <w:t>la</w:t>
      </w:r>
      <w:r>
        <w:rPr>
          <w:lang w:val="fr-FR"/>
        </w:rPr>
        <w:t xml:space="preserve"> Commission centrale pour la navigation du Rhin sous la cote CCNR/ZKR/ADN/WP.15/AC.2/2017/48.</w:t>
      </w:r>
    </w:p>
  </w:footnote>
  <w:footnote w:id="3">
    <w:p w:rsidR="000B1DFC" w:rsidRPr="000B1DFC" w:rsidRDefault="000B1DFC" w:rsidP="001A031E">
      <w:pPr>
        <w:pStyle w:val="FootnoteText"/>
      </w:pPr>
      <w:r>
        <w:rPr>
          <w:rStyle w:val="FootnoteReference"/>
        </w:rPr>
        <w:tab/>
      </w:r>
      <w:r w:rsidRPr="000B1DFC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 xml:space="preserve">Conformément au programme de travail du Comité des </w:t>
      </w:r>
      <w:r w:rsidRPr="001A031E">
        <w:t>transports</w:t>
      </w:r>
      <w:r>
        <w:rPr>
          <w:lang w:val="fr-FR"/>
        </w:rPr>
        <w:t xml:space="preserve"> intérieurs pour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28" w:rsidRPr="007C3F28" w:rsidRDefault="009C300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ECE/TRANS/WP.15/AC.2/2017/48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28" w:rsidRPr="007C3F28" w:rsidRDefault="009C3001" w:rsidP="007C3F2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ECE/TRANS/WP.15/AC.2/2017/48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F7"/>
    <w:rsid w:val="00017F94"/>
    <w:rsid w:val="00023842"/>
    <w:rsid w:val="00027B5F"/>
    <w:rsid w:val="000334F9"/>
    <w:rsid w:val="00045FEB"/>
    <w:rsid w:val="0007174C"/>
    <w:rsid w:val="0007796D"/>
    <w:rsid w:val="00087314"/>
    <w:rsid w:val="00092ABE"/>
    <w:rsid w:val="000B1DFC"/>
    <w:rsid w:val="000B7790"/>
    <w:rsid w:val="00111F2F"/>
    <w:rsid w:val="0014365E"/>
    <w:rsid w:val="00143C66"/>
    <w:rsid w:val="00176178"/>
    <w:rsid w:val="001A031E"/>
    <w:rsid w:val="001D0BFE"/>
    <w:rsid w:val="001F08C0"/>
    <w:rsid w:val="001F525A"/>
    <w:rsid w:val="00223272"/>
    <w:rsid w:val="002469BD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92550"/>
    <w:rsid w:val="004E468C"/>
    <w:rsid w:val="005502E6"/>
    <w:rsid w:val="005505B7"/>
    <w:rsid w:val="00573090"/>
    <w:rsid w:val="00573BE5"/>
    <w:rsid w:val="00586ED3"/>
    <w:rsid w:val="00596AA9"/>
    <w:rsid w:val="0071601D"/>
    <w:rsid w:val="00735988"/>
    <w:rsid w:val="00795326"/>
    <w:rsid w:val="007A62E6"/>
    <w:rsid w:val="007C3F28"/>
    <w:rsid w:val="007F20FA"/>
    <w:rsid w:val="0080684C"/>
    <w:rsid w:val="00871C75"/>
    <w:rsid w:val="008776DC"/>
    <w:rsid w:val="008C4BFC"/>
    <w:rsid w:val="009446C0"/>
    <w:rsid w:val="009705C8"/>
    <w:rsid w:val="009C1CF4"/>
    <w:rsid w:val="009C3001"/>
    <w:rsid w:val="009F6B74"/>
    <w:rsid w:val="00A30353"/>
    <w:rsid w:val="00AC3823"/>
    <w:rsid w:val="00AE323C"/>
    <w:rsid w:val="00AF0CB5"/>
    <w:rsid w:val="00B00181"/>
    <w:rsid w:val="00B00B0D"/>
    <w:rsid w:val="00B53DF9"/>
    <w:rsid w:val="00B765F7"/>
    <w:rsid w:val="00BA0CA9"/>
    <w:rsid w:val="00BB2301"/>
    <w:rsid w:val="00BC65DC"/>
    <w:rsid w:val="00C02897"/>
    <w:rsid w:val="00C13831"/>
    <w:rsid w:val="00C76C21"/>
    <w:rsid w:val="00C86E8F"/>
    <w:rsid w:val="00C97039"/>
    <w:rsid w:val="00D3439C"/>
    <w:rsid w:val="00DB1831"/>
    <w:rsid w:val="00DD3BFD"/>
    <w:rsid w:val="00DF6678"/>
    <w:rsid w:val="00E469CA"/>
    <w:rsid w:val="00E85C74"/>
    <w:rsid w:val="00EA6547"/>
    <w:rsid w:val="00EF2E22"/>
    <w:rsid w:val="00F35BAF"/>
    <w:rsid w:val="00F512F7"/>
    <w:rsid w:val="00F660DF"/>
    <w:rsid w:val="00F84974"/>
    <w:rsid w:val="00F94664"/>
    <w:rsid w:val="00F9573C"/>
    <w:rsid w:val="00F95C08"/>
    <w:rsid w:val="00FA1869"/>
    <w:rsid w:val="00F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F884CF4-2102-41F0-BF54-0DAD4E46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95326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ECE/TRANS/WP.15/AC.2/2017/48</vt:lpstr>
      <vt:lpstr>ECE/TRANS/WP.15/AC.2/2017/48</vt:lpstr>
    </vt:vector>
  </TitlesOfParts>
  <Company>DCM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ECE/TRANS/WP.15/AC.2/2017/48</dc:title>
  <dc:subject/>
  <dc:creator>Marie DESCHAMPS</dc:creator>
  <cp:keywords/>
  <cp:lastModifiedBy>Marie-Claude Collet</cp:lastModifiedBy>
  <cp:revision>3</cp:revision>
  <cp:lastPrinted>2017-07-21T08:40:00Z</cp:lastPrinted>
  <dcterms:created xsi:type="dcterms:W3CDTF">2017-07-21T08:39:00Z</dcterms:created>
  <dcterms:modified xsi:type="dcterms:W3CDTF">2017-07-21T08:40:00Z</dcterms:modified>
</cp:coreProperties>
</file>