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640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64051" w:rsidP="00864051">
            <w:pPr>
              <w:jc w:val="right"/>
            </w:pPr>
            <w:r w:rsidRPr="00864051">
              <w:rPr>
                <w:sz w:val="40"/>
              </w:rPr>
              <w:t>ECE</w:t>
            </w:r>
            <w:r>
              <w:t>/TRANS/WP.15/AC.2/2017/42</w:t>
            </w:r>
          </w:p>
        </w:tc>
      </w:tr>
      <w:tr w:rsidR="002D5AAC" w:rsidRPr="001A1F3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640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64051" w:rsidRDefault="00864051" w:rsidP="008640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2017</w:t>
            </w:r>
          </w:p>
          <w:p w:rsidR="00864051" w:rsidRDefault="00864051" w:rsidP="008640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64051" w:rsidRPr="008D53B6" w:rsidRDefault="00864051" w:rsidP="008640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64051" w:rsidRPr="00864051" w:rsidRDefault="00864051" w:rsidP="00864051">
      <w:pPr>
        <w:spacing w:before="120" w:after="120"/>
        <w:rPr>
          <w:sz w:val="28"/>
          <w:szCs w:val="28"/>
        </w:rPr>
      </w:pPr>
      <w:r w:rsidRPr="00864051">
        <w:rPr>
          <w:sz w:val="28"/>
          <w:szCs w:val="28"/>
        </w:rPr>
        <w:t>Комитет по внутреннему транспорту</w:t>
      </w:r>
    </w:p>
    <w:p w:rsidR="00864051" w:rsidRPr="00864051" w:rsidRDefault="00864051" w:rsidP="00864051">
      <w:pPr>
        <w:spacing w:before="120" w:after="120"/>
        <w:rPr>
          <w:b/>
          <w:sz w:val="24"/>
          <w:szCs w:val="24"/>
        </w:rPr>
      </w:pPr>
      <w:r w:rsidRPr="00864051">
        <w:rPr>
          <w:b/>
          <w:sz w:val="24"/>
          <w:szCs w:val="24"/>
        </w:rPr>
        <w:t>Рабочая группа по перевозкам опасных грузов</w:t>
      </w:r>
    </w:p>
    <w:p w:rsidR="00864051" w:rsidRPr="00864051" w:rsidRDefault="00864051" w:rsidP="00864051">
      <w:pPr>
        <w:spacing w:before="120" w:after="120"/>
        <w:rPr>
          <w:b/>
        </w:rPr>
      </w:pPr>
      <w:r w:rsidRPr="00864051">
        <w:rPr>
          <w:b/>
        </w:rPr>
        <w:t>Совместное совещание экспертов по Правилам,</w:t>
      </w:r>
      <w:r w:rsidRPr="00864051">
        <w:rPr>
          <w:b/>
        </w:rPr>
        <w:br/>
        <w:t xml:space="preserve">прилагаемым к Европейскому соглашению </w:t>
      </w:r>
      <w:r w:rsidRPr="00864051">
        <w:rPr>
          <w:b/>
        </w:rPr>
        <w:br/>
        <w:t xml:space="preserve">о международной перевозке опасных грузов </w:t>
      </w:r>
      <w:r w:rsidRPr="00864051">
        <w:rPr>
          <w:b/>
        </w:rPr>
        <w:br/>
        <w:t>по внутренним водным путям (ВОПОГ)</w:t>
      </w:r>
      <w:r w:rsidRPr="00864051">
        <w:rPr>
          <w:b/>
        </w:rPr>
        <w:br/>
        <w:t>(Комитет по вопросам безопасности ВОПОГ)</w:t>
      </w:r>
    </w:p>
    <w:p w:rsidR="00864051" w:rsidRPr="00864051" w:rsidRDefault="00864051" w:rsidP="00864051">
      <w:pPr>
        <w:rPr>
          <w:b/>
        </w:rPr>
      </w:pPr>
      <w:r w:rsidRPr="00864051">
        <w:rPr>
          <w:b/>
        </w:rPr>
        <w:t>Тридцать первая сессия</w:t>
      </w:r>
    </w:p>
    <w:p w:rsidR="00864051" w:rsidRPr="00864051" w:rsidRDefault="00864051" w:rsidP="00864051">
      <w:r w:rsidRPr="00864051">
        <w:t>Женева, 28–31 августа 2017 года</w:t>
      </w:r>
    </w:p>
    <w:p w:rsidR="00864051" w:rsidRPr="00864051" w:rsidRDefault="00864051" w:rsidP="00864051">
      <w:r w:rsidRPr="00864051">
        <w:t>Пункт 4 b) предварительной повестки дня</w:t>
      </w:r>
    </w:p>
    <w:p w:rsidR="00864051" w:rsidRPr="00864051" w:rsidRDefault="00864051" w:rsidP="00864051">
      <w:pPr>
        <w:rPr>
          <w:b/>
        </w:rPr>
      </w:pPr>
      <w:r w:rsidRPr="00864051">
        <w:rPr>
          <w:b/>
        </w:rPr>
        <w:t xml:space="preserve">Предложения о внесении поправок в Правила, </w:t>
      </w:r>
      <w:r w:rsidRPr="00864051">
        <w:rPr>
          <w:b/>
        </w:rPr>
        <w:br/>
        <w:t>прилагаемые к ВОПОГ: другие предложения</w:t>
      </w:r>
    </w:p>
    <w:p w:rsidR="00864051" w:rsidRPr="00864051" w:rsidRDefault="00864051" w:rsidP="00864051">
      <w:pPr>
        <w:pStyle w:val="HChGR"/>
      </w:pPr>
      <w:r w:rsidRPr="00864051">
        <w:tab/>
      </w:r>
      <w:r w:rsidRPr="00864051">
        <w:tab/>
        <w:t xml:space="preserve">Изъятие из подраздела 7.1.2.19 ВОПОГ </w:t>
      </w:r>
      <w:r w:rsidRPr="00864051">
        <w:br/>
        <w:t>и подраздела 7.2.2.19 ВОПОГ</w:t>
      </w:r>
    </w:p>
    <w:p w:rsidR="00864051" w:rsidRPr="00864051" w:rsidRDefault="00864051" w:rsidP="00864051">
      <w:pPr>
        <w:pStyle w:val="H1GR"/>
      </w:pPr>
      <w:r w:rsidRPr="00864051">
        <w:tab/>
      </w:r>
      <w:r w:rsidRPr="00864051">
        <w:tab/>
        <w:t>Передано правительством Бельгии</w:t>
      </w:r>
      <w:r w:rsidRPr="00864051">
        <w:rPr>
          <w:b w:val="0"/>
          <w:sz w:val="20"/>
        </w:rPr>
        <w:footnoteReference w:customMarkFollows="1" w:id="1"/>
        <w:t>*</w:t>
      </w:r>
      <w:r w:rsidRPr="00864051">
        <w:rPr>
          <w:b w:val="0"/>
          <w:sz w:val="20"/>
          <w:vertAlign w:val="superscript"/>
        </w:rPr>
        <w:t>,</w:t>
      </w:r>
      <w:r w:rsidRPr="00864051">
        <w:rPr>
          <w:b w:val="0"/>
          <w:sz w:val="20"/>
        </w:rPr>
        <w:t xml:space="preserve"> </w:t>
      </w:r>
      <w:r w:rsidRPr="00864051">
        <w:rPr>
          <w:b w:val="0"/>
          <w:sz w:val="20"/>
        </w:rPr>
        <w:footnoteReference w:customMarkFollows="1" w:id="2"/>
        <w:t>**</w:t>
      </w:r>
    </w:p>
    <w:p w:rsidR="00864051" w:rsidRPr="00864051" w:rsidRDefault="00864051" w:rsidP="00864051">
      <w:pPr>
        <w:pStyle w:val="HChGR"/>
      </w:pPr>
      <w:r w:rsidRPr="00864051">
        <w:tab/>
      </w:r>
      <w:r w:rsidRPr="00864051">
        <w:tab/>
        <w:t>Введение</w:t>
      </w:r>
    </w:p>
    <w:p w:rsidR="00864051" w:rsidRPr="00864051" w:rsidRDefault="00864051" w:rsidP="00864051">
      <w:pPr>
        <w:pStyle w:val="SingleTxtGR"/>
        <w:rPr>
          <w:bCs/>
          <w:iCs/>
        </w:rPr>
      </w:pPr>
      <w:r w:rsidRPr="00864051">
        <w:t>1.</w:t>
      </w:r>
      <w:r w:rsidRPr="00864051">
        <w:tab/>
        <w:t>В издании ВОПОГ 2017 года упоминаются следующие предписания, касающиеся «</w:t>
      </w:r>
      <w:r w:rsidRPr="00864051">
        <w:rPr>
          <w:bCs/>
          <w:iCs/>
        </w:rPr>
        <w:t>Толкаемых составов и счаленных групп»:</w:t>
      </w:r>
    </w:p>
    <w:p w:rsidR="00864051" w:rsidRPr="00864051" w:rsidRDefault="00864051" w:rsidP="00864051">
      <w:pPr>
        <w:pStyle w:val="SingleTxtGR"/>
        <w:keepNext/>
        <w:suppressAutoHyphens/>
        <w:spacing w:before="240" w:after="240"/>
        <w:ind w:left="1138" w:right="1138"/>
        <w:rPr>
          <w:sz w:val="24"/>
          <w:szCs w:val="24"/>
        </w:rPr>
      </w:pPr>
      <w:r w:rsidRPr="00864051">
        <w:rPr>
          <w:b/>
          <w:sz w:val="24"/>
          <w:szCs w:val="24"/>
        </w:rPr>
        <w:t>7.1.2.19</w:t>
      </w:r>
      <w:r w:rsidRPr="00864051">
        <w:rPr>
          <w:b/>
          <w:sz w:val="24"/>
          <w:szCs w:val="24"/>
        </w:rPr>
        <w:tab/>
      </w:r>
      <w:r w:rsidRPr="00864051">
        <w:rPr>
          <w:b/>
          <w:bCs/>
          <w:iCs/>
          <w:sz w:val="24"/>
          <w:szCs w:val="24"/>
        </w:rPr>
        <w:t>Толкаемые составы и счаленные группы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7.1.2.19.1</w:t>
      </w:r>
      <w:r w:rsidRPr="00864051">
        <w:rPr>
          <w:i/>
        </w:rPr>
        <w:tab/>
        <w:t>Если по крайней мере на одном судне толкаемого состава или счаленной группы требуется наличие свидетельства о допущении для перевозки опасных грузов, то все суда такого состава или такой группы должны иметь соответствующее свидетельство о допущении.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В этом случае суда, не перевозящие опасные грузы, должны удовлетворять предписаниям нижеследующих пунктов: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  <w:lang w:bidi="ru-RU"/>
        </w:rPr>
        <w:lastRenderedPageBreak/>
        <w:t xml:space="preserve">1.16.1.1, 1.16.1.2, 1.16.1.3, </w:t>
      </w:r>
      <w:r w:rsidRPr="00864051">
        <w:rPr>
          <w:i/>
        </w:rPr>
        <w:t>7.1.2.5, 8.1.5, 8.1.6.1, 8.1.6.3, 8.1.7, 9.1.0.0, 9.1.0.12.3, 9.1.0.17.2, 9.1.0.17.3, 9.1.0.31, 9.1.0.32, 9.1.0.34, 9.1.0.41, 9.1.0.52.2, 9.1.0.52.3, 9.1.0.56, 9.1.0.71 и 9.1.0.74.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7.1.2.19.2</w:t>
      </w:r>
      <w:r w:rsidRPr="00864051">
        <w:rPr>
          <w:i/>
        </w:rPr>
        <w:tab/>
        <w:t>Для целей применения предписаний настоящей главы, за исключением пунктов 7.1.4.1.1 и 7.1.4.1.2, весь толкаемый состав или вся счаленная группа рассматривается как одно судно.</w:t>
      </w:r>
    </w:p>
    <w:p w:rsidR="00864051" w:rsidRPr="00864051" w:rsidRDefault="00864051" w:rsidP="00864051">
      <w:pPr>
        <w:pStyle w:val="SingleTxtGR"/>
        <w:keepNext/>
        <w:suppressAutoHyphens/>
        <w:spacing w:before="240" w:after="240"/>
        <w:ind w:left="1138" w:right="1138"/>
        <w:rPr>
          <w:b/>
          <w:sz w:val="24"/>
          <w:szCs w:val="24"/>
        </w:rPr>
      </w:pPr>
      <w:r w:rsidRPr="00864051">
        <w:rPr>
          <w:b/>
          <w:sz w:val="24"/>
          <w:szCs w:val="24"/>
        </w:rPr>
        <w:t>7.2.2.19</w:t>
      </w:r>
      <w:r w:rsidRPr="00864051">
        <w:rPr>
          <w:b/>
          <w:sz w:val="24"/>
          <w:szCs w:val="24"/>
        </w:rPr>
        <w:tab/>
        <w:t>Толкаемые составы и счаленные группы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7.2.2.19.1</w:t>
      </w:r>
      <w:r w:rsidRPr="00864051">
        <w:rPr>
          <w:i/>
        </w:rPr>
        <w:tab/>
        <w:t>Если по крайней мере на одном судне толкаемого состава или счаленной группы требуется наличие свидетельства о допущении для перевозки опасных грузов, то все суда такого состава или такой группы должны иметь соответствующее свидетельство о допущении.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Суда, не перевозящие опасные грузы, должны отвечать предписаниям подраздела</w:t>
      </w:r>
      <w:r w:rsidRPr="00864051">
        <w:rPr>
          <w:i/>
          <w:lang w:val="en-US"/>
        </w:rPr>
        <w:t> </w:t>
      </w:r>
      <w:r w:rsidRPr="00864051">
        <w:rPr>
          <w:i/>
        </w:rPr>
        <w:t>7.1.2.19.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7.2.2.19.2</w:t>
      </w:r>
      <w:r w:rsidRPr="00864051">
        <w:rPr>
          <w:i/>
        </w:rPr>
        <w:tab/>
        <w:t>Для целей применения предписаний настоящей главы весь толкаемый состав или вся счаленная группа рассматривается как одно судно.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>7.2.2.19.3</w:t>
      </w:r>
      <w:r w:rsidRPr="00864051">
        <w:rPr>
          <w:i/>
        </w:rPr>
        <w:tab/>
        <w:t>Если в толкаемом составе или счаленной группе имеется танкер, перевозящий опасные вещества, суда, используемые для обеспечения движения, должны удовлетворять предписаниям нижеследующих пунктов: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  <w:lang w:bidi="ru-RU"/>
        </w:rPr>
        <w:t xml:space="preserve">1.16.1.1, 1.16.1.2, 1.16.1.3, </w:t>
      </w:r>
      <w:r w:rsidRPr="00864051">
        <w:rPr>
          <w:i/>
        </w:rPr>
        <w:t>7.2.2.5, 8.1.4, 8.1.5, 8.1.6.1, 8.1.6.3, 8.1.7, 9.3.3.0.1, 9.3.3.0.3</w:t>
      </w:r>
      <w:r>
        <w:rPr>
          <w:i/>
          <w:lang w:val="en-US"/>
        </w:rPr>
        <w:t> </w:t>
      </w:r>
      <w:r w:rsidRPr="00864051">
        <w:rPr>
          <w:i/>
        </w:rPr>
        <w:t>d), 9.3.3.0.5, 9.3.3.10.1, 9.3.3.10.2, 9.3.3.12.4, 9.3.3.12.6, 9.3.3.16, 9.3.3.17.1–9.3.3.17.4, 9.3.3.31.1–9.3.3.31.5, 9.3.3.32.2, 9.3.3.34.1, 9.3.3.34.2, 9.3.3.40.1 (однако достаточно одного пожарного или балластного насоса), 9.3.3.40.2, 9.3.3.41, 9.3.3.50.1</w:t>
      </w:r>
      <w:r>
        <w:rPr>
          <w:i/>
          <w:lang w:val="en-US"/>
        </w:rPr>
        <w:t> </w:t>
      </w:r>
      <w:r w:rsidRPr="00864051">
        <w:rPr>
          <w:i/>
          <w:lang w:val="en-US"/>
        </w:rPr>
        <w:t>c</w:t>
      </w:r>
      <w:r w:rsidRPr="00864051">
        <w:rPr>
          <w:i/>
        </w:rPr>
        <w:t>), 9.3.3.50.2, 9.3.3.51, 9.3.3.52.3–9.3.3.52.6, 9.3.3.56.5, 9.3.3.71 и 9.3.3.74.</w:t>
      </w:r>
    </w:p>
    <w:p w:rsidR="00864051" w:rsidRPr="00864051" w:rsidRDefault="00864051" w:rsidP="00864051">
      <w:pPr>
        <w:pStyle w:val="SingleTxtGR"/>
        <w:rPr>
          <w:i/>
        </w:rPr>
      </w:pPr>
      <w:r w:rsidRPr="00864051">
        <w:rPr>
          <w:i/>
        </w:rPr>
        <w:t xml:space="preserve">Суда, ведущие только танкеры открытого типа </w:t>
      </w:r>
      <w:r w:rsidRPr="00864051">
        <w:rPr>
          <w:i/>
          <w:lang w:val="en-US"/>
        </w:rPr>
        <w:t>N</w:t>
      </w:r>
      <w:r w:rsidRPr="00864051">
        <w:rPr>
          <w:i/>
        </w:rPr>
        <w:t>, не обязаны удовлетворять предписаниям пунктов 9.3.3.10.1, 9.3.3.10.2 и 9.3.3.12.6. В этом случае в пункте</w:t>
      </w:r>
      <w:r>
        <w:rPr>
          <w:i/>
          <w:lang w:val="en-US"/>
        </w:rPr>
        <w:t> </w:t>
      </w:r>
      <w:r w:rsidRPr="00864051">
        <w:rPr>
          <w:i/>
        </w:rPr>
        <w:t xml:space="preserve">5 «Разрешенные отступления» свидетельства о допущении или временного свидетельства о допущении должна быть сделана следующая запись: «Отступление от пунктов 9.3.3.10.1, 9.3.3.10.2 и 9.3.3.12.6; судно может вести только танкеры открытого типа </w:t>
      </w:r>
      <w:r w:rsidRPr="00864051">
        <w:rPr>
          <w:i/>
          <w:lang w:val="en-US"/>
        </w:rPr>
        <w:t>N</w:t>
      </w:r>
      <w:r w:rsidRPr="00864051">
        <w:rPr>
          <w:i/>
        </w:rPr>
        <w:t>.».</w:t>
      </w:r>
    </w:p>
    <w:p w:rsidR="00864051" w:rsidRPr="00864051" w:rsidRDefault="00864051" w:rsidP="00864051">
      <w:pPr>
        <w:pStyle w:val="SingleTxtGR"/>
      </w:pPr>
      <w:r w:rsidRPr="00864051">
        <w:t>2.</w:t>
      </w:r>
      <w:r w:rsidRPr="00864051">
        <w:tab/>
        <w:t>Бельгия хотела бы указать на то, что предписания подраздела 7.1.2.19 ВОПОГ и подраздела 7.2.2.19 ВОПОГ создают проблемы при бункеровке. Во</w:t>
      </w:r>
      <w:r>
        <w:rPr>
          <w:lang w:val="en-US"/>
        </w:rPr>
        <w:t> </w:t>
      </w:r>
      <w:r w:rsidRPr="00864051">
        <w:t xml:space="preserve">время </w:t>
      </w:r>
      <w:proofErr w:type="spellStart"/>
      <w:r w:rsidRPr="00864051">
        <w:t>бункеровочных</w:t>
      </w:r>
      <w:proofErr w:type="spellEnd"/>
      <w:r w:rsidRPr="00864051">
        <w:t xml:space="preserve"> операций судно-бункеровщик (танкер открытого типа</w:t>
      </w:r>
      <w:r>
        <w:rPr>
          <w:lang w:val="en-US"/>
        </w:rPr>
        <w:t> </w:t>
      </w:r>
      <w:r w:rsidRPr="00864051">
        <w:rPr>
          <w:lang w:val="en-US"/>
        </w:rPr>
        <w:t>N</w:t>
      </w:r>
      <w:r w:rsidRPr="00864051">
        <w:t>, построенный и оборудованный для перевозки и доставки веществ, используемых для обеспечения движения судов, на другие суда, грузоподъемностью до 300 т) пришвартовано к бункеруемому судну при помощи швартовных канатов.</w:t>
      </w:r>
    </w:p>
    <w:p w:rsidR="00864051" w:rsidRPr="00864051" w:rsidRDefault="00864051" w:rsidP="00864051">
      <w:pPr>
        <w:pStyle w:val="SingleTxtGR"/>
      </w:pPr>
      <w:r w:rsidRPr="00864051">
        <w:t>3.</w:t>
      </w:r>
      <w:r w:rsidRPr="00864051">
        <w:tab/>
        <w:t>В соответствии с указанными предписаниями бункеруемое судно также должно иметь свидетельство о допущении. В пунктах 7.1.2.19.1 и 7.2.2.19.3 ВОПОГ предусмотрено, что</w:t>
      </w:r>
      <w:r w:rsidRPr="00864051">
        <w:rPr>
          <w:i/>
        </w:rPr>
        <w:t xml:space="preserve"> </w:t>
      </w:r>
      <w:r w:rsidRPr="00864051">
        <w:t>если по крайней мере на одном судне счаленной группы требуется наличие свидетельства о допущении для перевозки опасных грузов, то все суда такой группы должны иметь соответствующее свидетельство о допущении.</w:t>
      </w:r>
    </w:p>
    <w:p w:rsidR="00864051" w:rsidRPr="00864051" w:rsidRDefault="00864051" w:rsidP="00864051">
      <w:pPr>
        <w:pStyle w:val="SingleTxtGR"/>
      </w:pPr>
      <w:r w:rsidRPr="00864051">
        <w:t>4.</w:t>
      </w:r>
      <w:r w:rsidRPr="00864051">
        <w:tab/>
        <w:t>Поскольку свидетельство о допущении не является обязательным для судов, некоторые суда не имеют такого свидетельства, а это означает, что они могут бункероваться только в том случае, если судно-бункеровщик не пришвартовано (т.е. не использует швартовные канаты).</w:t>
      </w:r>
    </w:p>
    <w:p w:rsidR="00864051" w:rsidRPr="00864051" w:rsidRDefault="00864051" w:rsidP="00864051">
      <w:pPr>
        <w:pStyle w:val="HChGR"/>
      </w:pPr>
      <w:r w:rsidRPr="001A1F3A">
        <w:lastRenderedPageBreak/>
        <w:tab/>
      </w:r>
      <w:r w:rsidRPr="001A1F3A">
        <w:tab/>
      </w:r>
      <w:r w:rsidRPr="00864051">
        <w:t>Предложение</w:t>
      </w:r>
    </w:p>
    <w:p w:rsidR="00864051" w:rsidRPr="00864051" w:rsidRDefault="00864051" w:rsidP="00864051">
      <w:pPr>
        <w:pStyle w:val="SingleTxtGR"/>
      </w:pPr>
      <w:r w:rsidRPr="00864051">
        <w:t>5.</w:t>
      </w:r>
      <w:r w:rsidRPr="00864051">
        <w:tab/>
        <w:t>Бельгия просит Комитет по вопросам безопасности ВОПОГ открыть обсуждение пунктов 2, 3 и 4 выше и дать оценку предложения, изложенного в пункте 6 ниже.</w:t>
      </w:r>
    </w:p>
    <w:p w:rsidR="00864051" w:rsidRPr="00864051" w:rsidRDefault="00864051" w:rsidP="00864051">
      <w:pPr>
        <w:pStyle w:val="SingleTxtGR"/>
      </w:pPr>
      <w:r w:rsidRPr="00864051">
        <w:t>6.</w:t>
      </w:r>
      <w:r w:rsidRPr="00864051">
        <w:tab/>
        <w:t xml:space="preserve">Бельгия предлагает включить в главы 7.1 и 7.2 новые пункты, в соответствии с которыми суда будут освобождены от требования о наличии свидетельства о допущении во время </w:t>
      </w:r>
      <w:proofErr w:type="spellStart"/>
      <w:r w:rsidRPr="00864051">
        <w:t>бункеровочных</w:t>
      </w:r>
      <w:proofErr w:type="spellEnd"/>
      <w:r w:rsidRPr="00864051">
        <w:t xml:space="preserve"> операций, а именно:</w:t>
      </w:r>
    </w:p>
    <w:p w:rsidR="00864051" w:rsidRPr="00864051" w:rsidRDefault="00864051" w:rsidP="00864051">
      <w:pPr>
        <w:pStyle w:val="SingleTxtGR"/>
      </w:pPr>
      <w:r w:rsidRPr="00864051">
        <w:t xml:space="preserve">«7.1.2.20: </w:t>
      </w:r>
      <w:r w:rsidR="00F674A2" w:rsidRPr="00F674A2">
        <w:tab/>
      </w:r>
      <w:r w:rsidRPr="00864051">
        <w:t xml:space="preserve">Пункт 7.1.2.19.1 не применяется в отношении бункеровки веществами, используемыми для </w:t>
      </w:r>
      <w:r w:rsidRPr="00864051">
        <w:rPr>
          <w:iCs/>
        </w:rPr>
        <w:t>обеспечения движения судов</w:t>
      </w:r>
      <w:r w:rsidRPr="00864051">
        <w:t>.».</w:t>
      </w:r>
    </w:p>
    <w:p w:rsidR="00E12C5F" w:rsidRPr="00F674A2" w:rsidRDefault="00864051" w:rsidP="00864051">
      <w:pPr>
        <w:pStyle w:val="SingleTxtGR"/>
      </w:pPr>
      <w:r w:rsidRPr="00864051">
        <w:t xml:space="preserve">«7.2.2.20: </w:t>
      </w:r>
      <w:r w:rsidR="00F674A2" w:rsidRPr="00F674A2">
        <w:tab/>
      </w:r>
      <w:r w:rsidRPr="00864051">
        <w:t xml:space="preserve">Пункт 7.2.2.19.3 не применяется в отношении бункеровки веществами, используемыми для </w:t>
      </w:r>
      <w:r w:rsidRPr="00864051">
        <w:rPr>
          <w:iCs/>
        </w:rPr>
        <w:t>обеспечения движения судов</w:t>
      </w:r>
      <w:r w:rsidRPr="00864051">
        <w:t>.».</w:t>
      </w:r>
    </w:p>
    <w:p w:rsidR="00864051" w:rsidRPr="00F674A2" w:rsidRDefault="00864051" w:rsidP="00864051">
      <w:pPr>
        <w:pStyle w:val="SingleTxtGR"/>
        <w:spacing w:before="240" w:after="0"/>
        <w:jc w:val="center"/>
        <w:rPr>
          <w:u w:val="single"/>
        </w:rPr>
      </w:pPr>
      <w:r w:rsidRPr="00F674A2">
        <w:rPr>
          <w:u w:val="single"/>
        </w:rPr>
        <w:tab/>
      </w:r>
      <w:r w:rsidRPr="00F674A2">
        <w:rPr>
          <w:u w:val="single"/>
        </w:rPr>
        <w:tab/>
      </w:r>
      <w:r w:rsidRPr="00F674A2">
        <w:rPr>
          <w:u w:val="single"/>
        </w:rPr>
        <w:tab/>
      </w:r>
    </w:p>
    <w:sectPr w:rsidR="00864051" w:rsidRPr="00F674A2" w:rsidSect="008640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5C" w:rsidRPr="00A312BC" w:rsidRDefault="0019175C" w:rsidP="00A312BC"/>
  </w:endnote>
  <w:endnote w:type="continuationSeparator" w:id="0">
    <w:p w:rsidR="0019175C" w:rsidRPr="00A312BC" w:rsidRDefault="001917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51" w:rsidRPr="00864051" w:rsidRDefault="00864051">
    <w:pPr>
      <w:pStyle w:val="Footer"/>
    </w:pPr>
    <w:r w:rsidRPr="00864051">
      <w:rPr>
        <w:b/>
        <w:sz w:val="18"/>
      </w:rPr>
      <w:fldChar w:fldCharType="begin"/>
    </w:r>
    <w:r w:rsidRPr="00864051">
      <w:rPr>
        <w:b/>
        <w:sz w:val="18"/>
      </w:rPr>
      <w:instrText xml:space="preserve"> PAGE  \* MERGEFORMAT </w:instrText>
    </w:r>
    <w:r w:rsidRPr="00864051">
      <w:rPr>
        <w:b/>
        <w:sz w:val="18"/>
      </w:rPr>
      <w:fldChar w:fldCharType="separate"/>
    </w:r>
    <w:r w:rsidR="00EC5582">
      <w:rPr>
        <w:b/>
        <w:noProof/>
        <w:sz w:val="18"/>
      </w:rPr>
      <w:t>2</w:t>
    </w:r>
    <w:r w:rsidRPr="00864051">
      <w:rPr>
        <w:b/>
        <w:sz w:val="18"/>
      </w:rPr>
      <w:fldChar w:fldCharType="end"/>
    </w:r>
    <w:r>
      <w:rPr>
        <w:b/>
        <w:sz w:val="18"/>
      </w:rPr>
      <w:tab/>
    </w:r>
    <w:r>
      <w:t>GE.17-09303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51" w:rsidRPr="00864051" w:rsidRDefault="00864051" w:rsidP="0086405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GE.17-09303</w:t>
    </w:r>
    <w:r>
      <w:tab/>
    </w:r>
    <w:r w:rsidRPr="00864051">
      <w:rPr>
        <w:b/>
        <w:sz w:val="18"/>
      </w:rPr>
      <w:fldChar w:fldCharType="begin"/>
    </w:r>
    <w:r w:rsidRPr="00864051">
      <w:rPr>
        <w:b/>
        <w:sz w:val="18"/>
      </w:rPr>
      <w:instrText xml:space="preserve"> PAGE  \* MERGEFORMAT </w:instrText>
    </w:r>
    <w:r w:rsidRPr="00864051">
      <w:rPr>
        <w:b/>
        <w:sz w:val="18"/>
      </w:rPr>
      <w:fldChar w:fldCharType="separate"/>
    </w:r>
    <w:r w:rsidR="00EC5582">
      <w:rPr>
        <w:b/>
        <w:noProof/>
        <w:sz w:val="18"/>
      </w:rPr>
      <w:t>3</w:t>
    </w:r>
    <w:r w:rsidRPr="008640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64051" w:rsidRDefault="00864051" w:rsidP="0086405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C1D2852" wp14:editId="25A092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17-09303  (R)</w:t>
    </w:r>
    <w:r>
      <w:rPr>
        <w:lang w:val="en-US"/>
      </w:rPr>
      <w:t xml:space="preserve">   140617   140617</w:t>
    </w:r>
    <w:r>
      <w:br/>
    </w:r>
    <w:r w:rsidRPr="00864051">
      <w:rPr>
        <w:rFonts w:ascii="C39T30Lfz" w:hAnsi="C39T30Lfz"/>
        <w:spacing w:val="0"/>
        <w:w w:val="100"/>
        <w:sz w:val="56"/>
      </w:rPr>
      <w:t></w:t>
    </w:r>
    <w:r w:rsidRPr="00864051">
      <w:rPr>
        <w:rFonts w:ascii="C39T30Lfz" w:hAnsi="C39T30Lfz"/>
        <w:spacing w:val="0"/>
        <w:w w:val="100"/>
        <w:sz w:val="56"/>
      </w:rPr>
      <w:t></w:t>
    </w:r>
    <w:r w:rsidRPr="00864051">
      <w:rPr>
        <w:rFonts w:ascii="C39T30Lfz" w:hAnsi="C39T30Lfz"/>
        <w:spacing w:val="0"/>
        <w:w w:val="100"/>
        <w:sz w:val="56"/>
      </w:rPr>
      <w:t></w:t>
    </w:r>
    <w:r w:rsidRPr="00864051">
      <w:rPr>
        <w:rFonts w:ascii="C39T30Lfz" w:hAnsi="C39T30Lfz"/>
        <w:spacing w:val="0"/>
        <w:w w:val="100"/>
        <w:sz w:val="56"/>
      </w:rPr>
      <w:t></w:t>
    </w:r>
    <w:r w:rsidRPr="00864051">
      <w:rPr>
        <w:rFonts w:ascii="C39T30Lfz" w:hAnsi="C39T30Lfz"/>
        <w:spacing w:val="0"/>
        <w:w w:val="100"/>
        <w:sz w:val="56"/>
      </w:rPr>
      <w:t></w:t>
    </w:r>
    <w:r w:rsidRPr="00864051">
      <w:rPr>
        <w:rFonts w:ascii="C39T30Lfz" w:hAnsi="C39T30Lfz"/>
        <w:spacing w:val="0"/>
        <w:w w:val="100"/>
        <w:sz w:val="56"/>
      </w:rPr>
      <w:t></w:t>
    </w:r>
    <w:r w:rsidRPr="00864051">
      <w:rPr>
        <w:rFonts w:ascii="C39T30Lfz" w:hAnsi="C39T30Lfz"/>
        <w:spacing w:val="0"/>
        <w:w w:val="100"/>
        <w:sz w:val="56"/>
      </w:rPr>
      <w:t></w:t>
    </w:r>
    <w:r w:rsidRPr="00864051">
      <w:rPr>
        <w:rFonts w:ascii="C39T30Lfz" w:hAnsi="C39T30Lfz"/>
        <w:spacing w:val="0"/>
        <w:w w:val="100"/>
        <w:sz w:val="56"/>
      </w:rPr>
      <w:t></w:t>
    </w:r>
    <w:r w:rsidRPr="0086405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5C" w:rsidRPr="001075E9" w:rsidRDefault="001917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9175C" w:rsidRDefault="001917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4051" w:rsidRDefault="00864051" w:rsidP="00864051">
      <w:pPr>
        <w:pStyle w:val="FootnoteText"/>
        <w:widowControl w:val="0"/>
        <w:rPr>
          <w:lang w:val="ru-RU"/>
        </w:rPr>
      </w:pPr>
      <w:r w:rsidRPr="00864051">
        <w:tab/>
      </w:r>
      <w:r w:rsidRPr="00864051">
        <w:rPr>
          <w:rStyle w:val="FootnoteReference"/>
          <w:sz w:val="20"/>
          <w:vertAlign w:val="baseline"/>
          <w:lang w:val="ru-RU"/>
        </w:rPr>
        <w:t>*</w:t>
      </w:r>
      <w:r w:rsidRPr="00864051">
        <w:rPr>
          <w:b/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rPr>
          <w:lang w:val="ru-RU"/>
        </w:rPr>
        <w:t xml:space="preserve">условным обозначением </w:t>
      </w:r>
      <w:r>
        <w:t>CCNR</w:t>
      </w:r>
      <w:r>
        <w:rPr>
          <w:lang w:val="ru-RU"/>
        </w:rPr>
        <w:t>-</w:t>
      </w:r>
      <w:r>
        <w:t>ZKR</w:t>
      </w:r>
      <w:r>
        <w:rPr>
          <w:lang w:val="ru-RU"/>
        </w:rPr>
        <w:t>/</w:t>
      </w:r>
      <w:r>
        <w:t>ADN</w:t>
      </w:r>
      <w:r>
        <w:rPr>
          <w:lang w:val="ru-RU"/>
        </w:rPr>
        <w:t>/</w:t>
      </w:r>
      <w:r>
        <w:t>WP</w:t>
      </w:r>
      <w:r>
        <w:rPr>
          <w:lang w:val="ru-RU"/>
        </w:rPr>
        <w:t>.15/</w:t>
      </w:r>
      <w:r>
        <w:t>AC</w:t>
      </w:r>
      <w:r>
        <w:rPr>
          <w:lang w:val="ru-RU"/>
        </w:rPr>
        <w:t>.2/2017/42</w:t>
      </w:r>
      <w:r>
        <w:rPr>
          <w:noProof/>
          <w:lang w:val="ru-RU"/>
        </w:rPr>
        <w:t>.</w:t>
      </w:r>
    </w:p>
  </w:footnote>
  <w:footnote w:id="2">
    <w:p w:rsidR="00864051" w:rsidRDefault="00864051" w:rsidP="00864051">
      <w:pPr>
        <w:pStyle w:val="FootnoteText"/>
        <w:widowControl w:val="0"/>
        <w:rPr>
          <w:lang w:val="ru-RU"/>
        </w:rPr>
      </w:pPr>
      <w:r w:rsidRPr="00864051">
        <w:rPr>
          <w:lang w:val="ru-RU"/>
        </w:rPr>
        <w:tab/>
      </w:r>
      <w:r w:rsidRPr="00864051">
        <w:rPr>
          <w:rStyle w:val="FootnoteReference"/>
          <w:sz w:val="20"/>
          <w:vertAlign w:val="baseline"/>
          <w:lang w:val="ru-RU"/>
        </w:rPr>
        <w:t>**</w:t>
      </w:r>
      <w:r w:rsidRPr="00864051">
        <w:rPr>
          <w:lang w:val="ru-RU"/>
        </w:rPr>
        <w:t xml:space="preserve"> </w:t>
      </w:r>
      <w:r w:rsidRPr="00332576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на </w:t>
      </w:r>
      <w:r>
        <w:rPr>
          <w:lang w:val="ru-RU"/>
        </w:rPr>
        <w:br/>
        <w:t>2016–2017 годы (</w:t>
      </w:r>
      <w:r>
        <w:rPr>
          <w:lang w:val="en-US"/>
        </w:rPr>
        <w:t>ECE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51" w:rsidRPr="00864051" w:rsidRDefault="00864051">
    <w:pPr>
      <w:pStyle w:val="Header"/>
    </w:pPr>
    <w:fldSimple w:instr=" TITLE  \* MERGEFORMAT ">
      <w:r w:rsidR="00EC5582">
        <w:t>ECE/TRANS/WP.15/AC.2/2017/42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51" w:rsidRPr="00864051" w:rsidRDefault="00864051" w:rsidP="00864051">
    <w:pPr>
      <w:pStyle w:val="Header"/>
      <w:jc w:val="right"/>
    </w:pPr>
    <w:fldSimple w:instr=" TITLE  \* MERGEFORMAT ">
      <w:r w:rsidR="00EC5582">
        <w:t>ECE/TRANS/WP.15/AC.2/2017/42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75C"/>
    <w:rsid w:val="00196389"/>
    <w:rsid w:val="001A1F3A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165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05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4C7E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5582"/>
    <w:rsid w:val="00ED0BDA"/>
    <w:rsid w:val="00EE142A"/>
    <w:rsid w:val="00EF1360"/>
    <w:rsid w:val="00EF3220"/>
    <w:rsid w:val="00F2523A"/>
    <w:rsid w:val="00F43903"/>
    <w:rsid w:val="00F674A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8808301-001D-46B2-BDC4-C987C6F9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4345</Characters>
  <Application>Microsoft Office Word</Application>
  <DocSecurity>0</DocSecurity>
  <Lines>36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ECE/TRANS/WP.15/AC.2/2017/42</vt:lpstr>
      <vt:lpstr>ECE/TRANS/WP.15/AC.2/2017/42</vt:lpstr>
      <vt:lpstr>A/</vt:lpstr>
    </vt:vector>
  </TitlesOfParts>
  <Company>DCM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ECE/TRANS/WP.15/AC.2/2017/42</dc:title>
  <dc:subject/>
  <dc:creator>Maykov</dc:creator>
  <cp:keywords/>
  <cp:lastModifiedBy>Marie-Claude Collet</cp:lastModifiedBy>
  <cp:revision>3</cp:revision>
  <cp:lastPrinted>2017-07-06T06:07:00Z</cp:lastPrinted>
  <dcterms:created xsi:type="dcterms:W3CDTF">2017-07-06T06:07:00Z</dcterms:created>
  <dcterms:modified xsi:type="dcterms:W3CDTF">2017-07-06T06:07:00Z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