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3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317A" w:rsidP="0042317A">
            <w:pPr>
              <w:jc w:val="right"/>
            </w:pPr>
            <w:r w:rsidRPr="0042317A">
              <w:rPr>
                <w:sz w:val="40"/>
              </w:rPr>
              <w:t>ECE</w:t>
            </w:r>
            <w:r>
              <w:t>/TRANS/WP.15/AC.2/2017/40</w:t>
            </w:r>
          </w:p>
        </w:tc>
      </w:tr>
      <w:tr w:rsidR="002D5AAC" w:rsidRPr="00636F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31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317A" w:rsidRDefault="0042317A" w:rsidP="004231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42317A" w:rsidRDefault="0042317A" w:rsidP="004231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317A" w:rsidRPr="008D53B6" w:rsidRDefault="0042317A" w:rsidP="004231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317A" w:rsidRPr="0042317A" w:rsidRDefault="0042317A" w:rsidP="0042317A">
      <w:pPr>
        <w:spacing w:before="120"/>
        <w:rPr>
          <w:sz w:val="28"/>
          <w:szCs w:val="28"/>
        </w:rPr>
      </w:pPr>
      <w:r w:rsidRPr="0042317A">
        <w:rPr>
          <w:sz w:val="28"/>
          <w:szCs w:val="28"/>
        </w:rPr>
        <w:t>Комитет по внутреннему транспорту</w:t>
      </w:r>
    </w:p>
    <w:p w:rsidR="0042317A" w:rsidRPr="0042317A" w:rsidRDefault="0042317A" w:rsidP="0042317A">
      <w:pPr>
        <w:spacing w:before="120"/>
        <w:rPr>
          <w:b/>
          <w:sz w:val="24"/>
        </w:rPr>
      </w:pPr>
      <w:r w:rsidRPr="0042317A">
        <w:rPr>
          <w:b/>
          <w:sz w:val="24"/>
        </w:rPr>
        <w:t>Рабочая группа по перевозкам опасных грузов</w:t>
      </w:r>
    </w:p>
    <w:p w:rsidR="0042317A" w:rsidRPr="0042317A" w:rsidRDefault="0042317A" w:rsidP="0042317A">
      <w:pPr>
        <w:spacing w:before="120"/>
        <w:rPr>
          <w:b/>
        </w:rPr>
      </w:pPr>
      <w:r w:rsidRPr="0042317A">
        <w:rPr>
          <w:b/>
        </w:rPr>
        <w:t>Совместное совещание экспертов по Правилам,</w:t>
      </w:r>
      <w:r w:rsidRPr="0042317A">
        <w:rPr>
          <w:b/>
        </w:rPr>
        <w:br/>
        <w:t xml:space="preserve">прилагаемым к Европейскому соглашению </w:t>
      </w:r>
      <w:r w:rsidRPr="0042317A">
        <w:rPr>
          <w:b/>
        </w:rPr>
        <w:br/>
        <w:t xml:space="preserve">о международной перевозке опасных грузов </w:t>
      </w:r>
      <w:r w:rsidRPr="0042317A">
        <w:rPr>
          <w:b/>
        </w:rPr>
        <w:br/>
        <w:t>по внутренним водным путям (ВОПОГ)</w:t>
      </w:r>
    </w:p>
    <w:p w:rsidR="0042317A" w:rsidRPr="0042317A" w:rsidRDefault="0042317A" w:rsidP="0042317A">
      <w:pPr>
        <w:rPr>
          <w:b/>
        </w:rPr>
      </w:pPr>
      <w:r w:rsidRPr="0042317A">
        <w:rPr>
          <w:b/>
        </w:rPr>
        <w:t>(Комитет по вопросам безопасности ВОПОГ)</w:t>
      </w:r>
    </w:p>
    <w:p w:rsidR="0042317A" w:rsidRPr="0042317A" w:rsidRDefault="0042317A" w:rsidP="0042317A">
      <w:pPr>
        <w:spacing w:before="120"/>
        <w:rPr>
          <w:b/>
        </w:rPr>
      </w:pPr>
      <w:r w:rsidRPr="0042317A">
        <w:rPr>
          <w:b/>
        </w:rPr>
        <w:t>Тридцать первая сессия</w:t>
      </w:r>
    </w:p>
    <w:p w:rsidR="0042317A" w:rsidRPr="0042317A" w:rsidRDefault="0042317A" w:rsidP="0042317A">
      <w:r w:rsidRPr="0042317A">
        <w:t>Женева, 28–31 августа 2017 года</w:t>
      </w:r>
    </w:p>
    <w:p w:rsidR="0042317A" w:rsidRPr="0042317A" w:rsidRDefault="0042317A" w:rsidP="0042317A">
      <w:r w:rsidRPr="0042317A">
        <w:t>Пункт 4 b) предварительной повестки дня</w:t>
      </w:r>
    </w:p>
    <w:p w:rsidR="0042317A" w:rsidRPr="0042317A" w:rsidRDefault="0042317A" w:rsidP="0042317A">
      <w:pPr>
        <w:rPr>
          <w:b/>
        </w:rPr>
      </w:pPr>
      <w:r w:rsidRPr="0042317A">
        <w:rPr>
          <w:b/>
        </w:rPr>
        <w:t xml:space="preserve">Предложения о внесении поправок в Правила, </w:t>
      </w:r>
      <w:r w:rsidRPr="0042317A">
        <w:rPr>
          <w:b/>
        </w:rPr>
        <w:br/>
        <w:t>прилагаемые к ВОПОГ: другие предложения</w:t>
      </w:r>
    </w:p>
    <w:p w:rsidR="0042317A" w:rsidRPr="0042317A" w:rsidRDefault="0042317A" w:rsidP="0042317A">
      <w:pPr>
        <w:pStyle w:val="HChGR"/>
      </w:pPr>
      <w:r w:rsidRPr="0042317A">
        <w:tab/>
      </w:r>
      <w:r w:rsidRPr="0042317A">
        <w:tab/>
        <w:t>Конструкционные материалы</w:t>
      </w:r>
    </w:p>
    <w:p w:rsidR="0042317A" w:rsidRPr="0042317A" w:rsidRDefault="0042317A" w:rsidP="0042317A">
      <w:pPr>
        <w:pStyle w:val="H1GR"/>
      </w:pPr>
      <w:r w:rsidRPr="0042317A">
        <w:tab/>
      </w:r>
      <w:r w:rsidRPr="0042317A">
        <w:tab/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</w:t>
      </w:r>
      <w:r w:rsidRPr="0042317A">
        <w:rPr>
          <w:lang w:val="fr-CH"/>
        </w:rPr>
        <w:t>EO</w:t>
      </w:r>
      <w:r w:rsidRPr="0042317A">
        <w:t>С)</w:t>
      </w:r>
      <w:r w:rsidRPr="0042317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2317A">
        <w:rPr>
          <w:b w:val="0"/>
          <w:vertAlign w:val="superscript"/>
        </w:rPr>
        <w:t>,</w:t>
      </w:r>
      <w:r w:rsidRPr="0042317A">
        <w:rPr>
          <w:b w:val="0"/>
        </w:rPr>
        <w:t xml:space="preserve"> </w:t>
      </w:r>
      <w:r w:rsidRPr="0042317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42317A" w:rsidRPr="0042317A" w:rsidRDefault="0042317A" w:rsidP="0042317A">
      <w:pPr>
        <w:pStyle w:val="HChGR"/>
      </w:pPr>
      <w:r w:rsidRPr="0042317A">
        <w:tab/>
      </w:r>
      <w:r w:rsidRPr="0042317A">
        <w:tab/>
        <w:t>Введение</w:t>
      </w:r>
    </w:p>
    <w:p w:rsidR="0042317A" w:rsidRPr="0042317A" w:rsidRDefault="0042317A" w:rsidP="0042317A">
      <w:pPr>
        <w:pStyle w:val="SingleTxtGR"/>
      </w:pPr>
      <w:r w:rsidRPr="0042317A">
        <w:t>1.</w:t>
      </w:r>
      <w:r w:rsidRPr="0042317A">
        <w:tab/>
        <w:t>На своей двадцать седьмой сессии Комитет по вопросам безопасности</w:t>
      </w:r>
      <w:r w:rsidRPr="0042317A">
        <w:rPr>
          <w:b/>
        </w:rPr>
        <w:t xml:space="preserve"> </w:t>
      </w:r>
      <w:r w:rsidRPr="0042317A">
        <w:t>ВОПОГ вновь рассмотрел просьбу</w:t>
      </w:r>
      <w:r w:rsidRPr="0042317A">
        <w:rPr>
          <w:lang w:bidi="ru-RU"/>
        </w:rPr>
        <w:t xml:space="preserve"> профессиональных организаций обновить положения, касающиеся использования разрешенных конструкционных материалов, и представить их в другом формате. </w:t>
      </w:r>
      <w:r w:rsidRPr="0042317A">
        <w:t xml:space="preserve">В докладах о работе сессий содержатся следующие замечания: </w:t>
      </w:r>
    </w:p>
    <w:p w:rsidR="0042317A" w:rsidRPr="0042317A" w:rsidRDefault="0042317A" w:rsidP="002D083B">
      <w:pPr>
        <w:pStyle w:val="H1GR"/>
      </w:pPr>
      <w:r>
        <w:lastRenderedPageBreak/>
        <w:tab/>
      </w:r>
      <w:r>
        <w:tab/>
      </w:r>
      <w:r w:rsidRPr="0042317A">
        <w:t>Двадцать седьмая сессия (</w:t>
      </w:r>
      <w:r w:rsidRPr="0042317A">
        <w:rPr>
          <w:lang w:val="fr-FR"/>
        </w:rPr>
        <w:t>ECE</w:t>
      </w:r>
      <w:r w:rsidRPr="0042317A">
        <w:t>/</w:t>
      </w:r>
      <w:r w:rsidRPr="0042317A">
        <w:rPr>
          <w:lang w:val="fr-FR"/>
        </w:rPr>
        <w:t>TRANS</w:t>
      </w:r>
      <w:r w:rsidRPr="0042317A">
        <w:t>/</w:t>
      </w:r>
      <w:r w:rsidRPr="0042317A">
        <w:rPr>
          <w:lang w:val="fr-FR"/>
        </w:rPr>
        <w:t>WP</w:t>
      </w:r>
      <w:r w:rsidRPr="0042317A">
        <w:t>.15/</w:t>
      </w:r>
      <w:r w:rsidRPr="0042317A">
        <w:rPr>
          <w:lang w:val="fr-FR"/>
        </w:rPr>
        <w:t>AC</w:t>
      </w:r>
      <w:r w:rsidRPr="0042317A">
        <w:t>.2/56)</w:t>
      </w:r>
    </w:p>
    <w:p w:rsidR="0042317A" w:rsidRPr="0042317A" w:rsidRDefault="0042317A" w:rsidP="002D083B">
      <w:pPr>
        <w:pStyle w:val="H23GR"/>
      </w:pPr>
      <w:r>
        <w:tab/>
      </w:r>
      <w:r>
        <w:tab/>
      </w:r>
      <w:r w:rsidRPr="00636F07">
        <w:rPr>
          <w:b w:val="0"/>
        </w:rPr>
        <w:t>«</w:t>
      </w:r>
      <w:r w:rsidRPr="0042317A">
        <w:t>16.</w:t>
      </w:r>
      <w:r w:rsidRPr="0042317A">
        <w:tab/>
        <w:t>Конструкционные материалы</w:t>
      </w:r>
    </w:p>
    <w:p w:rsidR="0042317A" w:rsidRPr="0042317A" w:rsidRDefault="0042317A" w:rsidP="002D083B">
      <w:pPr>
        <w:pStyle w:val="SingleTxtGR"/>
        <w:keepNext/>
        <w:keepLines/>
        <w:ind w:left="3969" w:hanging="2835"/>
        <w:jc w:val="left"/>
      </w:pPr>
      <w:r w:rsidRPr="0042317A">
        <w:rPr>
          <w:i/>
          <w:iCs/>
        </w:rPr>
        <w:t>Документ</w:t>
      </w:r>
      <w:r w:rsidRPr="0042317A">
        <w:t>:</w:t>
      </w:r>
      <w:r w:rsidRPr="0042317A">
        <w:tab/>
      </w:r>
      <w:r w:rsidRPr="0042317A">
        <w:tab/>
      </w:r>
      <w:r w:rsidRPr="0042317A">
        <w:tab/>
      </w:r>
      <w:r w:rsidRPr="0042317A">
        <w:tab/>
        <w:t>ECE/TRANS/WP.15/AC.2/2015/19 и Corr.1</w:t>
      </w:r>
      <w:r w:rsidRPr="0042317A">
        <w:br/>
        <w:t>(ЕСРС, ЕСРПТ и ЕОС)</w:t>
      </w:r>
    </w:p>
    <w:p w:rsidR="0042317A" w:rsidRPr="0042317A" w:rsidRDefault="0042317A" w:rsidP="0042317A">
      <w:pPr>
        <w:pStyle w:val="SingleTxtGR"/>
      </w:pPr>
      <w:r w:rsidRPr="0042317A">
        <w:t>59.</w:t>
      </w:r>
      <w:r w:rsidRPr="0042317A">
        <w:tab/>
        <w:t>Ряд делегаций поддержали предложение о включении соответствующих положений с целью учета все более широкого использования современных материалов на судах и высказались за более удобный для пользователей формат этих положений, которые можно было бы включить, например, в виде таблицы. На следующей сессии будет представлено новое предложение.».</w:t>
      </w:r>
    </w:p>
    <w:p w:rsidR="0042317A" w:rsidRPr="0042317A" w:rsidRDefault="0042317A" w:rsidP="0042317A">
      <w:pPr>
        <w:pStyle w:val="H1GR"/>
      </w:pPr>
      <w:r>
        <w:tab/>
      </w:r>
      <w:r>
        <w:tab/>
      </w:r>
      <w:r w:rsidRPr="0042317A">
        <w:t>Двадцать восьмая сессия (</w:t>
      </w:r>
      <w:r w:rsidRPr="0042317A">
        <w:rPr>
          <w:lang w:val="fr-FR"/>
        </w:rPr>
        <w:t>ECE</w:t>
      </w:r>
      <w:r w:rsidRPr="0042317A">
        <w:t>/</w:t>
      </w:r>
      <w:r w:rsidRPr="0042317A">
        <w:rPr>
          <w:lang w:val="fr-FR"/>
        </w:rPr>
        <w:t>TRANS</w:t>
      </w:r>
      <w:r w:rsidRPr="0042317A">
        <w:t>/</w:t>
      </w:r>
      <w:r w:rsidRPr="0042317A">
        <w:rPr>
          <w:lang w:val="fr-FR"/>
        </w:rPr>
        <w:t>WP</w:t>
      </w:r>
      <w:r w:rsidRPr="0042317A">
        <w:t>.15/</w:t>
      </w:r>
      <w:r w:rsidRPr="0042317A">
        <w:rPr>
          <w:lang w:val="fr-FR"/>
        </w:rPr>
        <w:t>AC</w:t>
      </w:r>
      <w:r w:rsidRPr="0042317A">
        <w:t>.2/58)</w:t>
      </w:r>
    </w:p>
    <w:p w:rsidR="0042317A" w:rsidRPr="0042317A" w:rsidRDefault="0042317A" w:rsidP="0042317A">
      <w:pPr>
        <w:pStyle w:val="H23GR"/>
      </w:pPr>
      <w:r w:rsidRPr="0042317A">
        <w:tab/>
      </w:r>
      <w:r w:rsidRPr="0042317A">
        <w:tab/>
      </w:r>
      <w:r w:rsidRPr="00636F07">
        <w:rPr>
          <w:b w:val="0"/>
        </w:rPr>
        <w:t>«</w:t>
      </w:r>
      <w:r w:rsidRPr="0042317A">
        <w:t>16.</w:t>
      </w:r>
      <w:r w:rsidRPr="0042317A">
        <w:tab/>
        <w:t>Конструкционные материалы</w:t>
      </w:r>
    </w:p>
    <w:p w:rsidR="0042317A" w:rsidRPr="0042317A" w:rsidRDefault="0042317A" w:rsidP="0042317A">
      <w:pPr>
        <w:pStyle w:val="SingleTxtGR"/>
        <w:ind w:left="3969" w:hanging="2835"/>
      </w:pPr>
      <w:r w:rsidRPr="0042317A">
        <w:rPr>
          <w:i/>
        </w:rPr>
        <w:t>Документ</w:t>
      </w:r>
      <w:r w:rsidRPr="0042317A">
        <w:t>:</w:t>
      </w:r>
      <w:r w:rsidRPr="0042317A">
        <w:tab/>
      </w:r>
      <w:r w:rsidRPr="0042317A">
        <w:tab/>
      </w:r>
      <w:r w:rsidRPr="0042317A">
        <w:tab/>
      </w:r>
      <w:r w:rsidRPr="0042317A">
        <w:tab/>
      </w:r>
      <w:r w:rsidRPr="0042317A">
        <w:rPr>
          <w:lang w:val="fr-CH"/>
        </w:rPr>
        <w:t>ECE</w:t>
      </w:r>
      <w:r w:rsidRPr="0042317A">
        <w:t>/</w:t>
      </w:r>
      <w:r w:rsidRPr="0042317A">
        <w:rPr>
          <w:lang w:val="fr-CH"/>
        </w:rPr>
        <w:t>TRANS</w:t>
      </w:r>
      <w:r w:rsidRPr="0042317A">
        <w:t>/</w:t>
      </w:r>
      <w:r w:rsidRPr="0042317A">
        <w:rPr>
          <w:lang w:val="fr-CH"/>
        </w:rPr>
        <w:t>WP</w:t>
      </w:r>
      <w:r w:rsidRPr="0042317A">
        <w:t>.15/</w:t>
      </w:r>
      <w:r w:rsidRPr="0042317A">
        <w:rPr>
          <w:lang w:val="fr-CH"/>
        </w:rPr>
        <w:t>AC</w:t>
      </w:r>
      <w:r w:rsidRPr="0042317A">
        <w:t>.2/2016/22</w:t>
      </w:r>
      <w:r w:rsidRPr="0042317A">
        <w:br/>
        <w:t>(ЕСРС, ЕСРПТ и ЕОС)</w:t>
      </w:r>
    </w:p>
    <w:p w:rsidR="0042317A" w:rsidRPr="0042317A" w:rsidRDefault="0042317A" w:rsidP="0042317A">
      <w:pPr>
        <w:pStyle w:val="SingleTxtGR"/>
      </w:pPr>
      <w:r w:rsidRPr="0042317A">
        <w:rPr>
          <w:i/>
        </w:rPr>
        <w:t>Неофициальный документ</w:t>
      </w:r>
      <w:r w:rsidRPr="0042317A">
        <w:t>:</w:t>
      </w:r>
      <w:r w:rsidRPr="0042317A">
        <w:tab/>
      </w:r>
      <w:r w:rsidRPr="0042317A">
        <w:rPr>
          <w:lang w:val="fr-CH"/>
        </w:rPr>
        <w:t>INF</w:t>
      </w:r>
      <w:r w:rsidRPr="0042317A">
        <w:t>.19 (ЕСРС, ЕСРПТ и ЕОС)</w:t>
      </w:r>
    </w:p>
    <w:p w:rsidR="0042317A" w:rsidRPr="0042317A" w:rsidRDefault="0042317A" w:rsidP="0042317A">
      <w:pPr>
        <w:pStyle w:val="SingleTxtGR"/>
      </w:pPr>
      <w:r w:rsidRPr="0042317A">
        <w:t>51.</w:t>
      </w:r>
      <w:r w:rsidRPr="0042317A">
        <w:tab/>
        <w:t>Комитет по вопросам безопасности в принципе согласился с тем, чтобы представить в виде таблицы различные случаи, когда могут использоваться дерево, алюминиевые сплавы, пластмассы или резина, однако счел, что некоторые предлагаемые дополнения касаются подвижных частей оборудования и относятся скорее к части 7, чем к части 9 Правил.</w:t>
      </w:r>
    </w:p>
    <w:p w:rsidR="0042317A" w:rsidRPr="0042317A" w:rsidRDefault="0042317A" w:rsidP="0042317A">
      <w:pPr>
        <w:pStyle w:val="SingleTxtGR"/>
      </w:pPr>
      <w:r w:rsidRPr="0042317A">
        <w:t>52.</w:t>
      </w:r>
      <w:r w:rsidRPr="0042317A">
        <w:tab/>
        <w:t>К авторам предложения обратились с просьбой подготовить – с учетом высказанных замечаний – новое предложение, которое надлежащим образом охватывало бы обе эти части.».</w:t>
      </w:r>
    </w:p>
    <w:p w:rsidR="0042317A" w:rsidRPr="0042317A" w:rsidRDefault="0042317A" w:rsidP="0042317A">
      <w:pPr>
        <w:pStyle w:val="H1GR"/>
      </w:pPr>
      <w:r>
        <w:tab/>
      </w:r>
      <w:r>
        <w:tab/>
      </w:r>
      <w:r w:rsidRPr="0042317A">
        <w:t>Двадцать девятая сессия (</w:t>
      </w:r>
      <w:r w:rsidRPr="0042317A">
        <w:rPr>
          <w:lang w:val="fr-FR"/>
        </w:rPr>
        <w:t>ECE</w:t>
      </w:r>
      <w:r w:rsidRPr="0042317A">
        <w:t>/</w:t>
      </w:r>
      <w:r w:rsidRPr="0042317A">
        <w:rPr>
          <w:lang w:val="fr-FR"/>
        </w:rPr>
        <w:t>TRANS</w:t>
      </w:r>
      <w:r w:rsidRPr="0042317A">
        <w:t>/</w:t>
      </w:r>
      <w:r w:rsidRPr="0042317A">
        <w:rPr>
          <w:lang w:val="fr-FR"/>
        </w:rPr>
        <w:t>WP</w:t>
      </w:r>
      <w:r w:rsidRPr="0042317A">
        <w:t>.15/</w:t>
      </w:r>
      <w:r w:rsidRPr="0042317A">
        <w:rPr>
          <w:lang w:val="fr-FR"/>
        </w:rPr>
        <w:t>AC</w:t>
      </w:r>
      <w:r w:rsidRPr="0042317A">
        <w:t>.2/60)</w:t>
      </w:r>
    </w:p>
    <w:p w:rsidR="0042317A" w:rsidRPr="0042317A" w:rsidRDefault="0042317A" w:rsidP="0042317A">
      <w:pPr>
        <w:pStyle w:val="H23GR"/>
      </w:pPr>
      <w:r w:rsidRPr="0042317A">
        <w:tab/>
      </w:r>
      <w:r w:rsidRPr="0042317A">
        <w:tab/>
      </w:r>
      <w:r w:rsidRPr="00636F07">
        <w:rPr>
          <w:b w:val="0"/>
        </w:rPr>
        <w:t>«</w:t>
      </w:r>
      <w:r w:rsidRPr="0042317A">
        <w:t>5.</w:t>
      </w:r>
      <w:r w:rsidRPr="0042317A">
        <w:tab/>
        <w:t>Конструкционные материалы</w:t>
      </w:r>
    </w:p>
    <w:p w:rsidR="0042317A" w:rsidRPr="0042317A" w:rsidRDefault="0042317A" w:rsidP="0042317A">
      <w:pPr>
        <w:pStyle w:val="SingleTxtGR"/>
        <w:ind w:left="3969" w:hanging="2835"/>
      </w:pPr>
      <w:r w:rsidRPr="0042317A">
        <w:rPr>
          <w:i/>
        </w:rPr>
        <w:t>Документ</w:t>
      </w:r>
      <w:r w:rsidRPr="0042317A">
        <w:t>:</w:t>
      </w:r>
      <w:r w:rsidRPr="0042317A">
        <w:tab/>
      </w:r>
      <w:r w:rsidRPr="0042317A">
        <w:tab/>
      </w:r>
      <w:r w:rsidRPr="0042317A">
        <w:tab/>
      </w:r>
      <w:r w:rsidRPr="0042317A">
        <w:tab/>
      </w:r>
      <w:r w:rsidRPr="0042317A">
        <w:tab/>
        <w:t xml:space="preserve">ECE/TRANS/WP.15/AC.2/2016/41 </w:t>
      </w:r>
      <w:r w:rsidRPr="0042317A">
        <w:br/>
        <w:t>(ЕСРС, ЕСРПТ и EOС)</w:t>
      </w:r>
    </w:p>
    <w:p w:rsidR="0042317A" w:rsidRPr="0042317A" w:rsidRDefault="0042317A" w:rsidP="0042317A">
      <w:pPr>
        <w:pStyle w:val="SingleTxtGR"/>
      </w:pPr>
      <w:r w:rsidRPr="0042317A">
        <w:t>33.</w:t>
      </w:r>
      <w:r w:rsidRPr="0042317A">
        <w:tab/>
        <w:t>Комитет по вопросам безопасности в целом поддержал эти предложения, однако авторам было предложено представить новый документ на следующей сессии с учетом высказанных замечаний.».</w:t>
      </w:r>
    </w:p>
    <w:p w:rsidR="0042317A" w:rsidRPr="0042317A" w:rsidRDefault="0042317A" w:rsidP="0042317A">
      <w:pPr>
        <w:pStyle w:val="H1GR"/>
      </w:pPr>
      <w:r>
        <w:rPr>
          <w:bCs/>
        </w:rPr>
        <w:tab/>
      </w:r>
      <w:r>
        <w:rPr>
          <w:bCs/>
        </w:rPr>
        <w:tab/>
      </w:r>
      <w:r w:rsidRPr="0042317A">
        <w:rPr>
          <w:bCs/>
        </w:rPr>
        <w:t xml:space="preserve">Тридцатая сессия </w:t>
      </w:r>
      <w:r w:rsidRPr="0042317A">
        <w:t>(</w:t>
      </w:r>
      <w:r w:rsidRPr="0042317A">
        <w:rPr>
          <w:lang w:val="fr-FR"/>
        </w:rPr>
        <w:t>ECE</w:t>
      </w:r>
      <w:r w:rsidRPr="0042317A">
        <w:t>/</w:t>
      </w:r>
      <w:r w:rsidRPr="0042317A">
        <w:rPr>
          <w:lang w:val="fr-FR"/>
        </w:rPr>
        <w:t>TRANS</w:t>
      </w:r>
      <w:r w:rsidRPr="0042317A">
        <w:t>/</w:t>
      </w:r>
      <w:r w:rsidRPr="0042317A">
        <w:rPr>
          <w:lang w:val="fr-FR"/>
        </w:rPr>
        <w:t>WP</w:t>
      </w:r>
      <w:r w:rsidRPr="0042317A">
        <w:t>.15/</w:t>
      </w:r>
      <w:r w:rsidRPr="0042317A">
        <w:rPr>
          <w:lang w:val="fr-FR"/>
        </w:rPr>
        <w:t>AC</w:t>
      </w:r>
      <w:r w:rsidRPr="0042317A">
        <w:t>.2/62)</w:t>
      </w:r>
    </w:p>
    <w:p w:rsidR="0042317A" w:rsidRPr="0042317A" w:rsidRDefault="0042317A" w:rsidP="0042317A">
      <w:pPr>
        <w:pStyle w:val="H23GR"/>
      </w:pPr>
      <w:r w:rsidRPr="0042317A">
        <w:tab/>
      </w:r>
      <w:r w:rsidRPr="0042317A">
        <w:tab/>
      </w:r>
      <w:r w:rsidRPr="00636F07">
        <w:rPr>
          <w:b w:val="0"/>
        </w:rPr>
        <w:t>«</w:t>
      </w:r>
      <w:r w:rsidRPr="0042317A">
        <w:t>10.</w:t>
      </w:r>
      <w:r w:rsidRPr="0042317A">
        <w:tab/>
        <w:t>Конструкционные материалы</w:t>
      </w:r>
    </w:p>
    <w:p w:rsidR="0042317A" w:rsidRPr="0042317A" w:rsidRDefault="0042317A" w:rsidP="0042317A">
      <w:pPr>
        <w:pStyle w:val="SingleTxtGR"/>
      </w:pPr>
      <w:r w:rsidRPr="0042317A">
        <w:rPr>
          <w:i/>
        </w:rPr>
        <w:t>Неофициальный документ</w:t>
      </w:r>
      <w:r w:rsidRPr="0042317A">
        <w:t>:</w:t>
      </w:r>
      <w:r w:rsidRPr="0042317A">
        <w:tab/>
      </w:r>
      <w:r w:rsidRPr="0042317A">
        <w:tab/>
        <w:t>INF.24 (ЕСРС, ЕСРПТ и ЕОС)</w:t>
      </w:r>
    </w:p>
    <w:p w:rsidR="0042317A" w:rsidRPr="0042317A" w:rsidRDefault="0042317A" w:rsidP="0042317A">
      <w:pPr>
        <w:pStyle w:val="SingleTxtGR"/>
      </w:pPr>
      <w:r w:rsidRPr="0042317A">
        <w:t>67.</w:t>
      </w:r>
      <w:r w:rsidRPr="0042317A">
        <w:tab/>
        <w:t>Комитет по вопросам безопасности предложил заинтересованным делегациям направить свои замечания представителю ЕСРС в течение двух месяцев, с тем чтобы можно было подготовить официальное предложение для следующей сессии.».</w:t>
      </w:r>
    </w:p>
    <w:p w:rsidR="0042317A" w:rsidRPr="0042317A" w:rsidRDefault="0042317A" w:rsidP="0042317A">
      <w:pPr>
        <w:pStyle w:val="H1GR"/>
      </w:pPr>
      <w:r>
        <w:tab/>
      </w:r>
      <w:r>
        <w:tab/>
      </w:r>
      <w:r w:rsidRPr="0042317A">
        <w:t>Предложения</w:t>
      </w:r>
    </w:p>
    <w:p w:rsidR="0042317A" w:rsidRPr="0042317A" w:rsidRDefault="0042317A" w:rsidP="0042317A">
      <w:pPr>
        <w:pStyle w:val="SingleTxtGR"/>
      </w:pPr>
      <w:r w:rsidRPr="0042317A">
        <w:t>2.</w:t>
      </w:r>
      <w:r w:rsidRPr="0042317A">
        <w:tab/>
        <w:t>Профессиональные организации в области судоходства не получили замечаний по данной теме, запрошенных на тридцатой сессии Комитета по вопросам безопасности. Поэтому ЕСРС, ЕСРПТ и ЕОС пре</w:t>
      </w:r>
      <w:r w:rsidR="009D5111">
        <w:t>дставляют следующие предложения.</w:t>
      </w:r>
    </w:p>
    <w:p w:rsidR="0042317A" w:rsidRPr="0042317A" w:rsidRDefault="0042317A" w:rsidP="0042317A">
      <w:pPr>
        <w:pStyle w:val="SingleTxtGR"/>
      </w:pPr>
      <w:r w:rsidRPr="0042317A">
        <w:lastRenderedPageBreak/>
        <w:t>3.</w:t>
      </w:r>
      <w:r w:rsidRPr="0042317A">
        <w:tab/>
        <w:t>По аналогии с пунктом 9.3.1.0.1 включить новый подраздел 7.1.2.3 следующего содержания:</w:t>
      </w:r>
    </w:p>
    <w:p w:rsidR="0042317A" w:rsidRPr="0042317A" w:rsidRDefault="0042317A" w:rsidP="0042317A">
      <w:pPr>
        <w:pStyle w:val="SingleTxtGR"/>
        <w:ind w:left="1701" w:hanging="567"/>
      </w:pPr>
      <w:r>
        <w:tab/>
      </w:r>
      <w:r w:rsidRPr="0042317A">
        <w:t>«В пределах грузового пространства разрешается использовать только те подвижные части оборудования, которые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продуктов.».</w:t>
      </w:r>
    </w:p>
    <w:p w:rsidR="0042317A" w:rsidRPr="0042317A" w:rsidRDefault="0042317A" w:rsidP="0042317A">
      <w:pPr>
        <w:pStyle w:val="SingleTxtGR"/>
      </w:pPr>
      <w:r w:rsidRPr="0042317A">
        <w:t>4.</w:t>
      </w:r>
      <w:r w:rsidRPr="0042317A">
        <w:tab/>
        <w:t>По аналогии с пунктом 9.3.1.0.1 включить новый подраздел 7.2.2.3 следующего содержания:</w:t>
      </w:r>
    </w:p>
    <w:p w:rsidR="0042317A" w:rsidRPr="0042317A" w:rsidRDefault="0042317A" w:rsidP="0042317A">
      <w:pPr>
        <w:pStyle w:val="SingleTxtGR"/>
        <w:ind w:left="1701" w:hanging="567"/>
      </w:pPr>
      <w:r>
        <w:tab/>
      </w:r>
      <w:r w:rsidRPr="0042317A">
        <w:t>«В пределах грузового пространства разрешается использовать только те подвижные части оборудования, которые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продуктов.».</w:t>
      </w:r>
    </w:p>
    <w:p w:rsidR="0042317A" w:rsidRPr="0042317A" w:rsidRDefault="0042317A" w:rsidP="0042317A">
      <w:pPr>
        <w:pStyle w:val="SingleTxtGR"/>
      </w:pPr>
      <w:r w:rsidRPr="0042317A">
        <w:t>5.</w:t>
      </w:r>
      <w:r w:rsidRPr="0042317A">
        <w:tab/>
      </w:r>
      <w:r w:rsidRPr="0042317A">
        <w:rPr>
          <w:lang w:bidi="ru-RU"/>
        </w:rPr>
        <w:t>Пункт 9.3.</w:t>
      </w:r>
      <w:r w:rsidRPr="0042317A">
        <w:rPr>
          <w:lang w:val="en-US"/>
        </w:rPr>
        <w:t>x</w:t>
      </w:r>
      <w:r w:rsidRPr="0042317A">
        <w:rPr>
          <w:lang w:bidi="ru-RU"/>
        </w:rPr>
        <w:t>.0.5 был сформулирован следующим образом:</w:t>
      </w:r>
    </w:p>
    <w:p w:rsidR="0042317A" w:rsidRPr="0042317A" w:rsidRDefault="0042317A" w:rsidP="0042317A">
      <w:pPr>
        <w:pStyle w:val="SingleTxtGR"/>
        <w:ind w:left="1701" w:hanging="567"/>
        <w:rPr>
          <w:lang w:bidi="ru-RU"/>
        </w:rPr>
      </w:pPr>
      <w:r>
        <w:rPr>
          <w:lang w:bidi="ru-RU"/>
        </w:rPr>
        <w:tab/>
      </w:r>
      <w:r w:rsidRPr="0042317A">
        <w:rPr>
          <w:lang w:bidi="ru-RU"/>
        </w:rPr>
        <w:t>«Судовые шлюпки разрешается изготавливать из пластмасс только в том случае, если материал является трудновоспламеняющимся.».</w:t>
      </w:r>
    </w:p>
    <w:p w:rsidR="0042317A" w:rsidRPr="0042317A" w:rsidRDefault="0042317A" w:rsidP="0042317A">
      <w:pPr>
        <w:pStyle w:val="SingleTxtGR"/>
        <w:rPr>
          <w:lang w:bidi="ru-RU"/>
        </w:rPr>
      </w:pPr>
      <w:r>
        <w:rPr>
          <w:lang w:bidi="ru-RU"/>
        </w:rPr>
        <w:tab/>
      </w:r>
      <w:r w:rsidRPr="0042317A">
        <w:rPr>
          <w:lang w:bidi="ru-RU"/>
        </w:rPr>
        <w:t>Предлагается изменить его следующим образом:</w:t>
      </w:r>
    </w:p>
    <w:p w:rsidR="0042317A" w:rsidRPr="0042317A" w:rsidRDefault="0042317A" w:rsidP="0042317A">
      <w:pPr>
        <w:pStyle w:val="SingleTxtGR"/>
        <w:ind w:left="1701" w:hanging="567"/>
        <w:rPr>
          <w:lang w:bidi="ru-RU"/>
        </w:rPr>
      </w:pPr>
      <w:r>
        <w:rPr>
          <w:lang w:bidi="ru-RU"/>
        </w:rPr>
        <w:tab/>
      </w:r>
      <w:r w:rsidRPr="0042317A">
        <w:rPr>
          <w:lang w:bidi="ru-RU"/>
        </w:rPr>
        <w:t>«Судовые шлюпки</w:t>
      </w:r>
      <w:r w:rsidRPr="0042317A">
        <w:rPr>
          <w:u w:val="single"/>
          <w:lang w:bidi="ru-RU"/>
        </w:rPr>
        <w:t>, находящиеся в пределах грузового пространства,</w:t>
      </w:r>
      <w:r w:rsidRPr="0042317A">
        <w:rPr>
          <w:lang w:bidi="ru-RU"/>
        </w:rPr>
        <w:t xml:space="preserve"> разрешается изготавливать из пластмасс только в том случае, если материал является трудновоспламеняющимся.</w:t>
      </w:r>
    </w:p>
    <w:p w:rsidR="0042317A" w:rsidRPr="0042317A" w:rsidRDefault="0042317A" w:rsidP="0042317A">
      <w:pPr>
        <w:pStyle w:val="SingleTxtGR"/>
        <w:ind w:left="1701" w:hanging="567"/>
        <w:rPr>
          <w:lang w:bidi="ru-RU"/>
        </w:rPr>
      </w:pPr>
      <w:r w:rsidRPr="0042317A">
        <w:rPr>
          <w:lang w:bidi="ru-RU"/>
        </w:rPr>
        <w:tab/>
      </w:r>
      <w:r w:rsidRPr="0042317A">
        <w:rPr>
          <w:u w:val="single"/>
          <w:lang w:bidi="ru-RU"/>
        </w:rPr>
        <w:t>Настилы (сходные трапы), находящиеся в пределах грузового пространства, разрешается изготавливать из алюминиевых сплавов или пластмасс только в том случае, если материал является трудновоспламеняющимся и неэлектропроводящим.</w:t>
      </w:r>
      <w:r w:rsidRPr="0042317A">
        <w:rPr>
          <w:lang w:bidi="ru-RU"/>
        </w:rPr>
        <w:t>».</w:t>
      </w:r>
    </w:p>
    <w:p w:rsidR="0042317A" w:rsidRPr="0042317A" w:rsidRDefault="0042317A" w:rsidP="0042317A">
      <w:pPr>
        <w:pStyle w:val="SingleTxtGR"/>
      </w:pPr>
      <w:r w:rsidRPr="0042317A">
        <w:t>6.</w:t>
      </w:r>
      <w:r w:rsidRPr="0042317A">
        <w:tab/>
        <w:t>Содержание подразделов 9.3.</w:t>
      </w:r>
      <w:r w:rsidRPr="0042317A">
        <w:rPr>
          <w:lang w:val="fr-FR"/>
        </w:rPr>
        <w:t>x</w:t>
      </w:r>
      <w:r w:rsidRPr="0042317A">
        <w:t>.0.3 представлено в виде таблицы, см. приложение.</w:t>
      </w:r>
    </w:p>
    <w:p w:rsidR="0042317A" w:rsidRPr="0042317A" w:rsidRDefault="0042317A" w:rsidP="0042317A">
      <w:pPr>
        <w:pStyle w:val="SingleTxtGR"/>
      </w:pPr>
      <w:r w:rsidRPr="0042317A">
        <w:t>7.</w:t>
      </w:r>
      <w:r w:rsidRPr="0042317A">
        <w:tab/>
        <w:t>По сравнению с предыдущими вариантами таблицы в нее между тем были внесены следующие изменения:</w:t>
      </w:r>
    </w:p>
    <w:p w:rsidR="0042317A" w:rsidRPr="0042317A" w:rsidRDefault="0042317A" w:rsidP="0042317A">
      <w:pPr>
        <w:pStyle w:val="SingleTxtGR"/>
        <w:ind w:left="1701" w:hanging="567"/>
      </w:pPr>
      <w:r>
        <w:tab/>
      </w:r>
      <w:r w:rsidRPr="0042317A">
        <w:t>-</w:t>
      </w:r>
      <w:r w:rsidRPr="0042317A">
        <w:tab/>
        <w:t>в строку «Наружные трапы и настилы (сходные трапы)» включена сноска на пункт 9.3.</w:t>
      </w:r>
      <w:r w:rsidRPr="0042317A">
        <w:rPr>
          <w:lang w:val="fr-FR"/>
        </w:rPr>
        <w:t>x</w:t>
      </w:r>
      <w:r w:rsidRPr="0042317A">
        <w:t>.0.5;</w:t>
      </w:r>
    </w:p>
    <w:p w:rsidR="0042317A" w:rsidRPr="0042317A" w:rsidRDefault="0042317A" w:rsidP="0042317A">
      <w:pPr>
        <w:pStyle w:val="SingleTxtGR"/>
        <w:ind w:left="1701" w:hanging="567"/>
      </w:pPr>
      <w:r>
        <w:tab/>
      </w:r>
      <w:r w:rsidRPr="0042317A">
        <w:t>-</w:t>
      </w:r>
      <w:r w:rsidRPr="0042317A">
        <w:tab/>
        <w:t xml:space="preserve">включена новая строка для переносных огнетушителей </w:t>
      </w:r>
      <w:r w:rsidRPr="0042317A">
        <w:rPr>
          <w:u w:val="single"/>
        </w:rPr>
        <w:t>из пластмасс</w:t>
      </w:r>
      <w:r w:rsidRPr="0042317A">
        <w:t>.</w:t>
      </w:r>
    </w:p>
    <w:p w:rsidR="0042317A" w:rsidRPr="0042317A" w:rsidRDefault="0042317A" w:rsidP="0042317A">
      <w:pPr>
        <w:pStyle w:val="SingleTxtGR"/>
        <w:ind w:left="1701" w:hanging="567"/>
      </w:pPr>
      <w:r>
        <w:tab/>
      </w:r>
      <w:r w:rsidRPr="0042317A">
        <w:t>-</w:t>
      </w:r>
      <w:r w:rsidRPr="0042317A">
        <w:tab/>
        <w:t>в строке «</w:t>
      </w:r>
      <w:r w:rsidRPr="0042317A">
        <w:rPr>
          <w:u w:val="single"/>
        </w:rPr>
        <w:t>с</w:t>
      </w:r>
      <w:r w:rsidRPr="0042317A">
        <w:rPr>
          <w:u w:val="single"/>
          <w:lang w:val="fr-FR"/>
        </w:rPr>
        <w:t>ouverture</w:t>
      </w:r>
      <w:r w:rsidRPr="0042317A">
        <w:t xml:space="preserve"> </w:t>
      </w:r>
      <w:r w:rsidRPr="0042317A">
        <w:rPr>
          <w:lang w:val="fr-FR"/>
        </w:rPr>
        <w:t>de</w:t>
      </w:r>
      <w:r w:rsidRPr="0042317A">
        <w:t xml:space="preserve"> </w:t>
      </w:r>
      <w:r w:rsidRPr="0042317A">
        <w:rPr>
          <w:lang w:val="fr-FR"/>
        </w:rPr>
        <w:t>protection</w:t>
      </w:r>
      <w:r w:rsidRPr="0042317A">
        <w:t xml:space="preserve"> </w:t>
      </w:r>
      <w:r w:rsidRPr="0042317A">
        <w:rPr>
          <w:lang w:val="fr-FR"/>
        </w:rPr>
        <w:t>de</w:t>
      </w:r>
      <w:r w:rsidRPr="0042317A">
        <w:t xml:space="preserve"> </w:t>
      </w:r>
      <w:r w:rsidRPr="0042317A">
        <w:rPr>
          <w:lang w:val="fr-FR"/>
        </w:rPr>
        <w:t>moteurs</w:t>
      </w:r>
      <w:r w:rsidRPr="0042317A">
        <w:t xml:space="preserve"> </w:t>
      </w:r>
      <w:r w:rsidRPr="0042317A">
        <w:rPr>
          <w:lang w:val="fr-FR"/>
        </w:rPr>
        <w:t>et</w:t>
      </w:r>
      <w:r w:rsidRPr="0042317A">
        <w:t xml:space="preserve"> </w:t>
      </w:r>
      <w:r w:rsidRPr="0042317A">
        <w:rPr>
          <w:lang w:val="fr-FR"/>
        </w:rPr>
        <w:t>de</w:t>
      </w:r>
      <w:r w:rsidRPr="0042317A">
        <w:t xml:space="preserve"> </w:t>
      </w:r>
      <w:r w:rsidRPr="0042317A">
        <w:rPr>
          <w:lang w:val="fr-FR"/>
        </w:rPr>
        <w:t>pompes</w:t>
      </w:r>
      <w:r w:rsidRPr="0042317A">
        <w:t>» ранее использовалось выражение «</w:t>
      </w:r>
      <w:r w:rsidRPr="0042317A">
        <w:rPr>
          <w:i/>
          <w:lang w:val="fr-FR"/>
        </w:rPr>
        <w:t>habillage</w:t>
      </w:r>
      <w:r w:rsidRPr="0042317A">
        <w:t xml:space="preserve"> </w:t>
      </w:r>
      <w:r w:rsidRPr="0042317A">
        <w:rPr>
          <w:lang w:val="fr-FR"/>
        </w:rPr>
        <w:t>de</w:t>
      </w:r>
      <w:r w:rsidRPr="0042317A">
        <w:t xml:space="preserve"> </w:t>
      </w:r>
      <w:r w:rsidRPr="0042317A">
        <w:rPr>
          <w:lang w:val="fr-FR"/>
        </w:rPr>
        <w:t>protection</w:t>
      </w:r>
      <w:r w:rsidRPr="0042317A">
        <w:t>» (не касается текста на русском языке);</w:t>
      </w:r>
    </w:p>
    <w:p w:rsidR="0042317A" w:rsidRPr="009D5111" w:rsidRDefault="0042317A" w:rsidP="0042317A">
      <w:pPr>
        <w:pStyle w:val="SingleTxtGR"/>
        <w:ind w:left="1701" w:hanging="567"/>
      </w:pPr>
      <w:r>
        <w:tab/>
      </w:r>
      <w:r w:rsidRPr="0042317A">
        <w:t>-</w:t>
      </w:r>
      <w:r w:rsidRPr="0042317A">
        <w:tab/>
        <w:t>ящики, шкафы или контейнеры, расположенные на палубе и предназначенные для хранения подвижных частей оборудования, могут изготавливаться также из дерева; до сих пор в колонке «Дерево» отсутствовал знак «</w:t>
      </w:r>
      <w:r w:rsidRPr="0042317A">
        <w:rPr>
          <w:lang w:val="fr-FR"/>
        </w:rPr>
        <w:t>X</w:t>
      </w:r>
      <w:r w:rsidRPr="0042317A">
        <w:t>»</w:t>
      </w:r>
      <w:r w:rsidR="009D5111" w:rsidRPr="009D5111">
        <w:t>.</w:t>
      </w:r>
    </w:p>
    <w:p w:rsidR="002D083B" w:rsidRDefault="002D083B" w:rsidP="002E5067">
      <w:pPr>
        <w:sectPr w:rsidR="002D083B" w:rsidSect="0042317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1680"/>
        </w:sectPr>
      </w:pPr>
    </w:p>
    <w:p w:rsidR="002D083B" w:rsidRPr="002D083B" w:rsidRDefault="002D083B" w:rsidP="002D083B">
      <w:pPr>
        <w:pStyle w:val="HChGR"/>
      </w:pPr>
      <w:r w:rsidRPr="002D083B">
        <w:lastRenderedPageBreak/>
        <w:t>Приложение</w:t>
      </w:r>
    </w:p>
    <w:p w:rsidR="002D083B" w:rsidRPr="002D083B" w:rsidRDefault="002D083B" w:rsidP="002D083B">
      <w:pPr>
        <w:pStyle w:val="SingleTxtGR"/>
        <w:rPr>
          <w:rFonts w:eastAsia="SimSun"/>
          <w:b/>
          <w:w w:val="100"/>
        </w:rPr>
      </w:pPr>
      <w:r>
        <w:rPr>
          <w:rFonts w:eastAsia="SimSun"/>
          <w:b/>
          <w:w w:val="100"/>
        </w:rPr>
        <w:t>9.3.1.0.3</w:t>
      </w:r>
      <w:r w:rsidRPr="002D083B">
        <w:rPr>
          <w:rFonts w:eastAsia="SimSun"/>
          <w:b/>
          <w:w w:val="100"/>
        </w:rPr>
        <w:t>, 9.3.2.0.3, 9.3.3.0.3</w:t>
      </w:r>
    </w:p>
    <w:p w:rsidR="002D083B" w:rsidRPr="002D083B" w:rsidRDefault="002D083B" w:rsidP="002D083B">
      <w:pPr>
        <w:pStyle w:val="SingleTxtGR"/>
        <w:rPr>
          <w:rFonts w:eastAsia="SimSun"/>
          <w:w w:val="100"/>
        </w:rPr>
      </w:pPr>
      <w:r w:rsidRPr="002D083B">
        <w:rPr>
          <w:rFonts w:eastAsia="SimSun"/>
          <w:w w:val="100"/>
        </w:rPr>
        <w:t>Использование дерева, алюминиевых сплавов, пластмасс или резины в пределах грузового пространства разрешается только в соответствии с нижеследующей таблицей («</w:t>
      </w:r>
      <w:r w:rsidRPr="002D083B">
        <w:rPr>
          <w:rFonts w:eastAsia="SimSun"/>
          <w:i/>
          <w:w w:val="100"/>
          <w:lang w:val="fr-FR"/>
        </w:rPr>
        <w:t>X</w:t>
      </w:r>
      <w:r w:rsidRPr="002D083B">
        <w:rPr>
          <w:rFonts w:eastAsia="SimSun"/>
          <w:i/>
          <w:w w:val="100"/>
        </w:rPr>
        <w:t>» означает, что использование разрешено</w:t>
      </w:r>
      <w:r w:rsidRPr="002D083B">
        <w:rPr>
          <w:rFonts w:eastAsia="SimSun"/>
          <w:w w:val="100"/>
        </w:rPr>
        <w:t>):</w:t>
      </w:r>
    </w:p>
    <w:tbl>
      <w:tblPr>
        <w:tblW w:w="1392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560"/>
        <w:gridCol w:w="1842"/>
        <w:gridCol w:w="1560"/>
        <w:gridCol w:w="1308"/>
      </w:tblGrid>
      <w:tr w:rsidR="002D083B" w:rsidRPr="002D083B" w:rsidTr="009D5111">
        <w:trPr>
          <w:trHeight w:val="227"/>
          <w:tblHeader/>
        </w:trPr>
        <w:tc>
          <w:tcPr>
            <w:tcW w:w="76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083B" w:rsidRPr="002D083B" w:rsidRDefault="002D083B" w:rsidP="00DF2C91">
            <w:pPr>
              <w:spacing w:before="80" w:after="80" w:line="200" w:lineRule="exact"/>
              <w:ind w:right="113"/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eastAsia="en-US"/>
              </w:rPr>
            </w:pP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083B" w:rsidRPr="002D083B" w:rsidRDefault="002D083B" w:rsidP="00DF2C91">
            <w:pPr>
              <w:spacing w:before="80" w:after="80" w:line="200" w:lineRule="exact"/>
              <w:ind w:right="113"/>
              <w:jc w:val="center"/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</w:pP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CH" w:eastAsia="en-US"/>
              </w:rPr>
              <w:t>Дерево</w:t>
            </w: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083B" w:rsidRPr="002D083B" w:rsidRDefault="002D083B" w:rsidP="00DF2C91">
            <w:pPr>
              <w:spacing w:before="80" w:after="80" w:line="200" w:lineRule="exact"/>
              <w:ind w:right="113"/>
              <w:jc w:val="center"/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</w:pP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CH" w:eastAsia="en-US"/>
              </w:rPr>
              <w:t>Алюминиевые сплавы</w:t>
            </w: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083B" w:rsidRPr="002D083B" w:rsidRDefault="002D083B" w:rsidP="00DF2C91">
            <w:pPr>
              <w:spacing w:before="80" w:after="80" w:line="200" w:lineRule="exact"/>
              <w:ind w:right="113"/>
              <w:jc w:val="center"/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</w:pP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CH" w:eastAsia="en-US"/>
              </w:rPr>
              <w:t>Пластмассы</w:t>
            </w: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083B" w:rsidRPr="002D083B" w:rsidRDefault="002D083B" w:rsidP="00DF2C91">
            <w:pPr>
              <w:spacing w:before="80" w:after="80" w:line="200" w:lineRule="exact"/>
              <w:ind w:right="113"/>
              <w:jc w:val="center"/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</w:pP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CH" w:eastAsia="en-US"/>
              </w:rPr>
              <w:t>Резина</w:t>
            </w:r>
            <w:r w:rsidRPr="002D083B">
              <w:rPr>
                <w:rFonts w:eastAsia="Calibri" w:cs="Times New Roman"/>
                <w:i/>
                <w:spacing w:val="0"/>
                <w:w w:val="100"/>
                <w:kern w:val="0"/>
                <w:sz w:val="16"/>
                <w:szCs w:val="16"/>
                <w:lang w:val="fr-FR" w:eastAsia="en-US"/>
              </w:rPr>
              <w:t xml:space="preserve"> </w:t>
            </w: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 xml:space="preserve">Сходные трапы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Наружные трапы и настилы (сходные трапы)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 xml:space="preserve">Приспособления для крепления грузовых танков, не являющихся частью корпуса судна, и для крепления установок и оборудования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szCs w:val="18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 xml:space="preserve">Мачты, древки для флагов и аналогичное рангоутное дерево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Части машин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Защитные кожухи двигателей и насосов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szCs w:val="18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Части электрооборудования, включая изоляцию, герметизирующие прокладки и т.д.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Части установки для погрузки и разгрузки, включая герметизирующие прокладки и т.д.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Ящики, шкафы или контейнеры, расположенные на палубе и предназначенные для хранения подвижных частей оборудования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szCs w:val="18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Опоры и стопоры любого рода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>Вентиляторы, включая шланги в сборе для вентиляции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lang w:eastAsia="en-US"/>
              </w:rPr>
              <w:t>Переносные огнетушители</w:t>
            </w:r>
          </w:p>
        </w:tc>
        <w:tc>
          <w:tcPr>
            <w:tcW w:w="1560" w:type="dxa"/>
            <w:shd w:val="clear" w:color="auto" w:fill="auto"/>
            <w:noWrap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 xml:space="preserve">Части водораспылительной системы, душа и умывальника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shd w:val="clear" w:color="auto" w:fill="auto"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t xml:space="preserve">Изоляция грузовых танков, погрузочно-разгрузочных трубопроводов, газоотводных трубопроводов и отопительных трубопроводов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D083B" w:rsidRPr="002D083B" w:rsidRDefault="002D083B" w:rsidP="00DF2C91">
            <w:pPr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  <w:lastRenderedPageBreak/>
              <w:t xml:space="preserve">Покрытие грузовых танков и погрузочно-разгрузочных трубопроводов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  <w:tr w:rsidR="002D083B" w:rsidRPr="002D083B" w:rsidTr="009D5111">
        <w:trPr>
          <w:trHeight w:val="227"/>
        </w:trPr>
        <w:tc>
          <w:tcPr>
            <w:tcW w:w="7654" w:type="dxa"/>
            <w:tcBorders>
              <w:bottom w:val="single" w:sz="12" w:space="0" w:color="auto"/>
            </w:tcBorders>
            <w:shd w:val="clear" w:color="auto" w:fill="auto"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rPr>
                <w:rFonts w:eastAsia="Calibri" w:cs="Times New Roman"/>
                <w:spacing w:val="0"/>
                <w:w w:val="100"/>
                <w:kern w:val="0"/>
                <w:szCs w:val="20"/>
                <w:lang w:eastAsia="en-US"/>
              </w:rPr>
            </w:pPr>
            <w:r w:rsidRPr="002D083B">
              <w:rPr>
                <w:rFonts w:eastAsia="Calibri" w:cs="Times New Roman"/>
                <w:szCs w:val="20"/>
                <w:lang w:eastAsia="en-US"/>
              </w:rPr>
              <w:t>Воспроизведенные фотооптическим методом копии всего свидетельства о допущении в соответствии с пунктом 8.1.2.6 или 8.1.2.7, а также судового свидетельства, мерительного свидетельства</w:t>
            </w:r>
            <w:r w:rsidRPr="002D083B">
              <w:rPr>
                <w:rFonts w:eastAsia="Calibri" w:cs="Times New Roman"/>
                <w:lang w:eastAsia="en-US"/>
              </w:rPr>
              <w:t xml:space="preserve"> и свидетельства о принадлежности к судоходству по Рейну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  <w:r w:rsidRPr="002D083B"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  <w:t>X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D083B" w:rsidRPr="002D083B" w:rsidRDefault="002D083B" w:rsidP="00DF2C91">
            <w:pPr>
              <w:keepNext/>
              <w:spacing w:before="40" w:after="120" w:line="220" w:lineRule="exact"/>
              <w:ind w:right="113"/>
              <w:jc w:val="center"/>
              <w:rPr>
                <w:rFonts w:eastAsia="Calibri" w:cs="Times New Roman"/>
                <w:spacing w:val="0"/>
                <w:w w:val="100"/>
                <w:kern w:val="0"/>
                <w:lang w:val="fr-FR" w:eastAsia="en-US"/>
              </w:rPr>
            </w:pPr>
          </w:p>
        </w:tc>
      </w:tr>
    </w:tbl>
    <w:p w:rsidR="002D083B" w:rsidRPr="002D083B" w:rsidRDefault="002D083B" w:rsidP="002D083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20" w:lineRule="exact"/>
        <w:ind w:left="142" w:right="362" w:firstLine="170"/>
        <w:jc w:val="both"/>
        <w:rPr>
          <w:rFonts w:eastAsia="Times New Roman" w:cs="Times New Roman"/>
          <w:sz w:val="18"/>
          <w:szCs w:val="20"/>
          <w:lang w:eastAsia="en-US"/>
        </w:rPr>
      </w:pPr>
      <w:r w:rsidRPr="002D083B">
        <w:rPr>
          <w:rFonts w:eastAsia="Times New Roman" w:cs="Times New Roman"/>
          <w:sz w:val="18"/>
          <w:szCs w:val="20"/>
          <w:lang w:val="fr-FR" w:eastAsia="en-US"/>
        </w:rPr>
        <w:t xml:space="preserve">*) </w:t>
      </w:r>
      <w:r w:rsidRPr="000D1C7D">
        <w:rPr>
          <w:rFonts w:eastAsia="Times New Roman" w:cs="Times New Roman"/>
          <w:sz w:val="18"/>
          <w:szCs w:val="20"/>
          <w:lang w:eastAsia="en-US"/>
        </w:rPr>
        <w:t>См</w:t>
      </w:r>
      <w:r w:rsidRPr="002D083B">
        <w:rPr>
          <w:rFonts w:eastAsia="Times New Roman" w:cs="Times New Roman"/>
          <w:sz w:val="18"/>
          <w:szCs w:val="20"/>
          <w:lang w:eastAsia="en-US"/>
        </w:rPr>
        <w:t>.</w:t>
      </w:r>
      <w:r w:rsidRPr="002D083B">
        <w:rPr>
          <w:rFonts w:eastAsia="Times New Roman" w:cs="Times New Roman"/>
          <w:sz w:val="18"/>
          <w:szCs w:val="20"/>
          <w:lang w:val="fr-FR" w:eastAsia="en-US"/>
        </w:rPr>
        <w:t>: 9.3.x.0.5</w:t>
      </w:r>
      <w:r w:rsidRPr="000D1C7D">
        <w:rPr>
          <w:rFonts w:eastAsia="Times New Roman" w:cs="Times New Roman"/>
          <w:sz w:val="18"/>
          <w:szCs w:val="20"/>
          <w:lang w:val="fr-FR" w:eastAsia="en-US"/>
        </w:rPr>
        <w:t>.</w:t>
      </w:r>
    </w:p>
    <w:p w:rsidR="002D083B" w:rsidRPr="002D083B" w:rsidRDefault="002D083B" w:rsidP="000D1C7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line="220" w:lineRule="exact"/>
        <w:ind w:left="142" w:right="363" w:firstLine="170"/>
        <w:rPr>
          <w:rFonts w:eastAsia="Times New Roman" w:cs="Times New Roman"/>
          <w:sz w:val="18"/>
          <w:szCs w:val="20"/>
          <w:lang w:eastAsia="en-US"/>
        </w:rPr>
      </w:pPr>
      <w:r w:rsidRPr="002D083B">
        <w:rPr>
          <w:rFonts w:eastAsia="Times New Roman" w:cs="Times New Roman"/>
          <w:sz w:val="18"/>
          <w:szCs w:val="20"/>
          <w:lang w:eastAsia="en-US"/>
        </w:rPr>
        <w:t>Все материалы, используемые в постоянно закрепленных предметах в жилых помещениях или рулевой рубке, за исключением мебели, должны быть трудновоспламеняющимися. В случае возникновения пожара они не должны выделять дым или токсичные газы в опасных количествах.</w:t>
      </w:r>
    </w:p>
    <w:p w:rsidR="002D083B" w:rsidRPr="002D083B" w:rsidRDefault="002D083B" w:rsidP="002D083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/>
        <w:ind w:left="1134" w:right="1134"/>
        <w:jc w:val="center"/>
        <w:rPr>
          <w:rFonts w:eastAsia="Times New Roman" w:cs="Times New Roman"/>
          <w:szCs w:val="20"/>
          <w:u w:val="single"/>
          <w:lang w:eastAsia="en-US"/>
        </w:rPr>
      </w:pPr>
      <w:r w:rsidRPr="002D083B">
        <w:rPr>
          <w:rFonts w:eastAsia="Times New Roman" w:cs="Times New Roman"/>
          <w:szCs w:val="20"/>
          <w:u w:val="single"/>
          <w:lang w:eastAsia="en-US"/>
        </w:rPr>
        <w:tab/>
      </w:r>
      <w:r w:rsidRPr="002D083B">
        <w:rPr>
          <w:rFonts w:eastAsia="Times New Roman" w:cs="Times New Roman"/>
          <w:szCs w:val="20"/>
          <w:u w:val="single"/>
          <w:lang w:eastAsia="en-US"/>
        </w:rPr>
        <w:tab/>
      </w:r>
      <w:r w:rsidRPr="002D083B">
        <w:rPr>
          <w:rFonts w:eastAsia="Times New Roman" w:cs="Times New Roman"/>
          <w:szCs w:val="20"/>
          <w:u w:val="single"/>
          <w:lang w:eastAsia="en-US"/>
        </w:rPr>
        <w:tab/>
      </w:r>
    </w:p>
    <w:p w:rsidR="00E12C5F" w:rsidRPr="008D53B6" w:rsidRDefault="00E12C5F" w:rsidP="002D083B"/>
    <w:sectPr w:rsidR="00E12C5F" w:rsidRPr="008D53B6" w:rsidSect="002D083B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27" w:rsidRPr="00A312BC" w:rsidRDefault="003C0D27" w:rsidP="00A312BC"/>
  </w:endnote>
  <w:endnote w:type="continuationSeparator" w:id="0">
    <w:p w:rsidR="003C0D27" w:rsidRPr="00A312BC" w:rsidRDefault="003C0D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7A" w:rsidRPr="0042317A" w:rsidRDefault="0042317A">
    <w:pPr>
      <w:pStyle w:val="Footer"/>
    </w:pPr>
    <w:r w:rsidRPr="0042317A">
      <w:rPr>
        <w:b/>
        <w:sz w:val="18"/>
      </w:rPr>
      <w:fldChar w:fldCharType="begin"/>
    </w:r>
    <w:r w:rsidRPr="0042317A">
      <w:rPr>
        <w:b/>
        <w:sz w:val="18"/>
      </w:rPr>
      <w:instrText xml:space="preserve"> PAGE  \* MERGEFORMAT </w:instrText>
    </w:r>
    <w:r w:rsidRPr="0042317A">
      <w:rPr>
        <w:b/>
        <w:sz w:val="18"/>
      </w:rPr>
      <w:fldChar w:fldCharType="separate"/>
    </w:r>
    <w:r w:rsidR="00211A07">
      <w:rPr>
        <w:b/>
        <w:noProof/>
        <w:sz w:val="18"/>
      </w:rPr>
      <w:t>2</w:t>
    </w:r>
    <w:r w:rsidRPr="0042317A">
      <w:rPr>
        <w:b/>
        <w:sz w:val="18"/>
      </w:rPr>
      <w:fldChar w:fldCharType="end"/>
    </w:r>
    <w:r>
      <w:rPr>
        <w:b/>
        <w:sz w:val="18"/>
      </w:rPr>
      <w:tab/>
    </w:r>
    <w:r>
      <w:t>GE.17-08990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7A" w:rsidRPr="0042317A" w:rsidRDefault="0042317A" w:rsidP="0042317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GE.17-08990</w:t>
    </w:r>
    <w:r>
      <w:tab/>
    </w:r>
    <w:r w:rsidRPr="0042317A">
      <w:rPr>
        <w:b/>
        <w:sz w:val="18"/>
      </w:rPr>
      <w:fldChar w:fldCharType="begin"/>
    </w:r>
    <w:r w:rsidRPr="0042317A">
      <w:rPr>
        <w:b/>
        <w:sz w:val="18"/>
      </w:rPr>
      <w:instrText xml:space="preserve"> PAGE  \* MERGEFORMAT </w:instrText>
    </w:r>
    <w:r w:rsidRPr="0042317A">
      <w:rPr>
        <w:b/>
        <w:sz w:val="18"/>
      </w:rPr>
      <w:fldChar w:fldCharType="separate"/>
    </w:r>
    <w:r w:rsidR="00211A07">
      <w:rPr>
        <w:b/>
        <w:noProof/>
        <w:sz w:val="18"/>
      </w:rPr>
      <w:t>3</w:t>
    </w:r>
    <w:r w:rsidRPr="004231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2317A" w:rsidRDefault="0042317A" w:rsidP="0042317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17-08990  (R)</w:t>
    </w:r>
    <w:r w:rsidR="002D083B">
      <w:rPr>
        <w:lang w:val="en-US"/>
      </w:rPr>
      <w:t xml:space="preserve">  190617  190617</w:t>
    </w:r>
    <w:r>
      <w:br/>
    </w:r>
    <w:r w:rsidRPr="0042317A">
      <w:rPr>
        <w:rFonts w:ascii="C39T30Lfz" w:hAnsi="C39T30Lfz"/>
        <w:spacing w:val="0"/>
        <w:w w:val="100"/>
        <w:sz w:val="56"/>
      </w:rPr>
      <w:t></w:t>
    </w:r>
    <w:r w:rsidRPr="0042317A">
      <w:rPr>
        <w:rFonts w:ascii="C39T30Lfz" w:hAnsi="C39T30Lfz"/>
        <w:spacing w:val="0"/>
        <w:w w:val="100"/>
        <w:sz w:val="56"/>
      </w:rPr>
      <w:t></w:t>
    </w:r>
    <w:r w:rsidRPr="0042317A">
      <w:rPr>
        <w:rFonts w:ascii="C39T30Lfz" w:hAnsi="C39T30Lfz"/>
        <w:spacing w:val="0"/>
        <w:w w:val="100"/>
        <w:sz w:val="56"/>
      </w:rPr>
      <w:t></w:t>
    </w:r>
    <w:r w:rsidRPr="0042317A">
      <w:rPr>
        <w:rFonts w:ascii="C39T30Lfz" w:hAnsi="C39T30Lfz"/>
        <w:spacing w:val="0"/>
        <w:w w:val="100"/>
        <w:sz w:val="56"/>
      </w:rPr>
      <w:t></w:t>
    </w:r>
    <w:r w:rsidRPr="0042317A">
      <w:rPr>
        <w:rFonts w:ascii="C39T30Lfz" w:hAnsi="C39T30Lfz"/>
        <w:spacing w:val="0"/>
        <w:w w:val="100"/>
        <w:sz w:val="56"/>
      </w:rPr>
      <w:t></w:t>
    </w:r>
    <w:r w:rsidRPr="0042317A">
      <w:rPr>
        <w:rFonts w:ascii="C39T30Lfz" w:hAnsi="C39T30Lfz"/>
        <w:spacing w:val="0"/>
        <w:w w:val="100"/>
        <w:sz w:val="56"/>
      </w:rPr>
      <w:t></w:t>
    </w:r>
    <w:r w:rsidRPr="0042317A">
      <w:rPr>
        <w:rFonts w:ascii="C39T30Lfz" w:hAnsi="C39T30Lfz"/>
        <w:spacing w:val="0"/>
        <w:w w:val="100"/>
        <w:sz w:val="56"/>
      </w:rPr>
      <w:t></w:t>
    </w:r>
    <w:r w:rsidRPr="0042317A">
      <w:rPr>
        <w:rFonts w:ascii="C39T30Lfz" w:hAnsi="C39T30Lfz"/>
        <w:spacing w:val="0"/>
        <w:w w:val="100"/>
        <w:sz w:val="56"/>
      </w:rPr>
      <w:t></w:t>
    </w:r>
    <w:r w:rsidRPr="0042317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3B" w:rsidRPr="002D083B" w:rsidRDefault="002D083B" w:rsidP="002D083B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083B" w:rsidRPr="0042317A" w:rsidRDefault="002D083B" w:rsidP="002D083B">
                          <w:pPr>
                            <w:pStyle w:val="Footer"/>
                          </w:pPr>
                          <w:r w:rsidRPr="0042317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2317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2317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11A07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42317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GE.17-08990</w:t>
                          </w:r>
                        </w:p>
                        <w:p w:rsidR="002D083B" w:rsidRDefault="002D08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083B" w:rsidRPr="0042317A" w:rsidRDefault="002D083B" w:rsidP="002D083B">
                    <w:pPr>
                      <w:pStyle w:val="Footer"/>
                    </w:pPr>
                    <w:r w:rsidRPr="0042317A">
                      <w:rPr>
                        <w:b/>
                        <w:sz w:val="18"/>
                      </w:rPr>
                      <w:fldChar w:fldCharType="begin"/>
                    </w:r>
                    <w:r w:rsidRPr="0042317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2317A">
                      <w:rPr>
                        <w:b/>
                        <w:sz w:val="18"/>
                      </w:rPr>
                      <w:fldChar w:fldCharType="separate"/>
                    </w:r>
                    <w:r w:rsidR="00211A07">
                      <w:rPr>
                        <w:b/>
                        <w:noProof/>
                        <w:sz w:val="18"/>
                      </w:rPr>
                      <w:t>4</w:t>
                    </w:r>
                    <w:r w:rsidRPr="0042317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GE.17-08990</w:t>
                    </w:r>
                  </w:p>
                  <w:p w:rsidR="002D083B" w:rsidRDefault="002D083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3B" w:rsidRPr="002D083B" w:rsidRDefault="002D083B" w:rsidP="002D083B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083B" w:rsidRPr="0042317A" w:rsidRDefault="002D083B" w:rsidP="002D083B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GE.17-08990</w:t>
                          </w:r>
                          <w:r>
                            <w:tab/>
                          </w:r>
                          <w:r w:rsidRPr="0042317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2317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2317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11A07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42317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2D083B" w:rsidRDefault="002D08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083B" w:rsidRPr="0042317A" w:rsidRDefault="002D083B" w:rsidP="002D083B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GE.17-08990</w:t>
                    </w:r>
                    <w:r>
                      <w:tab/>
                    </w:r>
                    <w:r w:rsidRPr="0042317A">
                      <w:rPr>
                        <w:b/>
                        <w:sz w:val="18"/>
                      </w:rPr>
                      <w:fldChar w:fldCharType="begin"/>
                    </w:r>
                    <w:r w:rsidRPr="0042317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2317A">
                      <w:rPr>
                        <w:b/>
                        <w:sz w:val="18"/>
                      </w:rPr>
                      <w:fldChar w:fldCharType="separate"/>
                    </w:r>
                    <w:r w:rsidR="00211A07">
                      <w:rPr>
                        <w:b/>
                        <w:noProof/>
                        <w:sz w:val="18"/>
                      </w:rPr>
                      <w:t>5</w:t>
                    </w:r>
                    <w:r w:rsidRPr="0042317A">
                      <w:rPr>
                        <w:b/>
                        <w:sz w:val="18"/>
                      </w:rPr>
                      <w:fldChar w:fldCharType="end"/>
                    </w:r>
                  </w:p>
                  <w:p w:rsidR="002D083B" w:rsidRDefault="002D083B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27" w:rsidRPr="001075E9" w:rsidRDefault="003C0D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0D27" w:rsidRDefault="003C0D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317A" w:rsidRPr="0042317A" w:rsidRDefault="0042317A">
      <w:pPr>
        <w:pStyle w:val="FootnoteText"/>
        <w:rPr>
          <w:sz w:val="20"/>
          <w:lang w:val="ru-RU"/>
        </w:rPr>
      </w:pPr>
      <w:r>
        <w:tab/>
      </w:r>
      <w:r w:rsidRPr="0042317A">
        <w:rPr>
          <w:rStyle w:val="FootnoteReference"/>
          <w:sz w:val="20"/>
          <w:vertAlign w:val="baseline"/>
          <w:lang w:val="ru-RU"/>
        </w:rPr>
        <w:t>*</w:t>
      </w:r>
      <w:r w:rsidRPr="0042317A">
        <w:rPr>
          <w:rStyle w:val="FootnoteReference"/>
          <w:vertAlign w:val="baseline"/>
          <w:lang w:val="ru-RU"/>
        </w:rPr>
        <w:tab/>
      </w:r>
      <w:r w:rsidRPr="0042317A">
        <w:rPr>
          <w:lang w:val="ru-RU"/>
        </w:rPr>
        <w:t>Распространено на немецком языке Центральной комиссией судоходства по Рейну под</w:t>
      </w:r>
      <w:r w:rsidRPr="0042317A">
        <w:rPr>
          <w:lang w:val="en-US"/>
        </w:rPr>
        <w:t> </w:t>
      </w:r>
      <w:r w:rsidRPr="0042317A">
        <w:rPr>
          <w:lang w:val="ru-RU"/>
        </w:rPr>
        <w:t>условным обозначением CCNR-ZKR/ADN/WP.15/AC.2/2017/40.</w:t>
      </w:r>
    </w:p>
  </w:footnote>
  <w:footnote w:id="2">
    <w:p w:rsidR="0042317A" w:rsidRPr="0042317A" w:rsidRDefault="0042317A">
      <w:pPr>
        <w:pStyle w:val="FootnoteText"/>
        <w:rPr>
          <w:sz w:val="20"/>
          <w:lang w:val="ru-RU"/>
        </w:rPr>
      </w:pPr>
      <w:r w:rsidRPr="00636F07">
        <w:rPr>
          <w:lang w:val="ru-RU"/>
        </w:rPr>
        <w:tab/>
      </w:r>
      <w:r w:rsidRPr="0042317A">
        <w:rPr>
          <w:rStyle w:val="FootnoteReference"/>
          <w:sz w:val="20"/>
          <w:vertAlign w:val="baseline"/>
          <w:lang w:val="ru-RU"/>
        </w:rPr>
        <w:t>**</w:t>
      </w:r>
      <w:r w:rsidRPr="0042317A">
        <w:rPr>
          <w:rStyle w:val="FootnoteReference"/>
          <w:vertAlign w:val="baseline"/>
          <w:lang w:val="ru-RU"/>
        </w:rPr>
        <w:tab/>
      </w:r>
      <w:r w:rsidRPr="0042317A">
        <w:rPr>
          <w:lang w:val="ru-RU"/>
        </w:rPr>
        <w:t xml:space="preserve">В соответствии с программой работы Комитета по внутреннему транспорту на </w:t>
      </w:r>
      <w:r w:rsidRPr="0042317A">
        <w:rPr>
          <w:lang w:val="ru-RU"/>
        </w:rPr>
        <w:br/>
        <w:t>2016–2017 годы (</w:t>
      </w:r>
      <w:r w:rsidRPr="0042317A">
        <w:rPr>
          <w:lang w:val="en-US"/>
        </w:rPr>
        <w:t>ECE</w:t>
      </w:r>
      <w:r w:rsidRPr="0042317A">
        <w:rPr>
          <w:lang w:val="ru-RU"/>
        </w:rPr>
        <w:t>/</w:t>
      </w:r>
      <w:r w:rsidRPr="0042317A">
        <w:rPr>
          <w:lang w:val="en-US"/>
        </w:rPr>
        <w:t>TRANS</w:t>
      </w:r>
      <w:r w:rsidRPr="0042317A">
        <w:rPr>
          <w:lang w:val="ru-RU"/>
        </w:rPr>
        <w:t>/2016/28/</w:t>
      </w:r>
      <w:r w:rsidRPr="0042317A">
        <w:rPr>
          <w:lang w:val="en-US"/>
        </w:rPr>
        <w:t>Add</w:t>
      </w:r>
      <w:r w:rsidRPr="0042317A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7A" w:rsidRPr="0042317A" w:rsidRDefault="00AC05A8">
    <w:pPr>
      <w:pStyle w:val="Header"/>
    </w:pPr>
    <w:fldSimple w:instr=" TITLE  \* MERGEFORMAT ">
      <w:r w:rsidR="00211A07">
        <w:t>ECE/TRANS/WP.15/AC.2/2017/40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7A" w:rsidRPr="0042317A" w:rsidRDefault="00AC05A8" w:rsidP="0042317A">
    <w:pPr>
      <w:pStyle w:val="Header"/>
      <w:jc w:val="right"/>
    </w:pPr>
    <w:fldSimple w:instr=" TITLE  \* MERGEFORMAT ">
      <w:r w:rsidR="00211A07">
        <w:t>ECE/TRANS/WP.15/AC.2/2017/40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3B" w:rsidRPr="002D083B" w:rsidRDefault="002D083B" w:rsidP="002D083B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083B" w:rsidRPr="0042317A" w:rsidRDefault="00211A07" w:rsidP="002D083B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ECE/TRANS/WP.15/AC.2/2017/40</w:t>
                          </w:r>
                          <w:r>
                            <w:fldChar w:fldCharType="end"/>
                          </w:r>
                        </w:p>
                        <w:p w:rsidR="002D083B" w:rsidRDefault="002D08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2D083B" w:rsidRPr="0042317A" w:rsidRDefault="00211A07" w:rsidP="002D083B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ECE/TRANS/WP.15/AC.2/2017/40</w:t>
                    </w:r>
                    <w:r>
                      <w:fldChar w:fldCharType="end"/>
                    </w:r>
                  </w:p>
                  <w:p w:rsidR="002D083B" w:rsidRDefault="002D083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3B" w:rsidRPr="002D083B" w:rsidRDefault="002D083B" w:rsidP="002D083B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083B" w:rsidRPr="0042317A" w:rsidRDefault="00211A07" w:rsidP="002D083B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ECE/TRANS/WP.15/AC.2/2017/40</w:t>
                          </w:r>
                          <w:r>
                            <w:fldChar w:fldCharType="end"/>
                          </w:r>
                        </w:p>
                        <w:p w:rsidR="002D083B" w:rsidRDefault="002D08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083B" w:rsidRPr="0042317A" w:rsidRDefault="00211A07" w:rsidP="002D083B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ECE/TRANS/WP.15/AC.2/2017/40</w:t>
                    </w:r>
                    <w:r>
                      <w:fldChar w:fldCharType="end"/>
                    </w:r>
                  </w:p>
                  <w:p w:rsidR="002D083B" w:rsidRDefault="002D083B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27"/>
    <w:rsid w:val="00033EE1"/>
    <w:rsid w:val="00042B72"/>
    <w:rsid w:val="000558BD"/>
    <w:rsid w:val="000B57E7"/>
    <w:rsid w:val="000B6373"/>
    <w:rsid w:val="000D1C7D"/>
    <w:rsid w:val="000E4E5B"/>
    <w:rsid w:val="000F09DF"/>
    <w:rsid w:val="000F61B2"/>
    <w:rsid w:val="001075E9"/>
    <w:rsid w:val="00121A95"/>
    <w:rsid w:val="0014152F"/>
    <w:rsid w:val="00146410"/>
    <w:rsid w:val="00180183"/>
    <w:rsid w:val="0018024D"/>
    <w:rsid w:val="0018649F"/>
    <w:rsid w:val="00196389"/>
    <w:rsid w:val="001B3EF6"/>
    <w:rsid w:val="001C7A89"/>
    <w:rsid w:val="00201BAE"/>
    <w:rsid w:val="00211A07"/>
    <w:rsid w:val="00255343"/>
    <w:rsid w:val="0027151D"/>
    <w:rsid w:val="002A2EFC"/>
    <w:rsid w:val="002B0106"/>
    <w:rsid w:val="002B74B1"/>
    <w:rsid w:val="002C0E18"/>
    <w:rsid w:val="002D083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D27"/>
    <w:rsid w:val="00407B78"/>
    <w:rsid w:val="0042317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36F07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57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5111"/>
    <w:rsid w:val="00A14DA8"/>
    <w:rsid w:val="00A312BC"/>
    <w:rsid w:val="00A84021"/>
    <w:rsid w:val="00A84D35"/>
    <w:rsid w:val="00A917B3"/>
    <w:rsid w:val="00AB4B51"/>
    <w:rsid w:val="00AC05A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52CE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A4DC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58CABD-9B29-42F7-8E61-245081E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ECE/TRANS/WP.15/AC.2/2017/40</vt:lpstr>
      <vt:lpstr>ECE/TRANS/WP.15/AC.2/2017/40</vt:lpstr>
      <vt:lpstr>A/</vt:lpstr>
    </vt:vector>
  </TitlesOfParts>
  <Company>DCM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ECE/TRANS/WP.15/AC.2/2017/40</dc:title>
  <dc:subject/>
  <dc:creator>Anna PETELINA</dc:creator>
  <cp:keywords/>
  <cp:lastModifiedBy>Marie-Claude Collet</cp:lastModifiedBy>
  <cp:revision>3</cp:revision>
  <cp:lastPrinted>2017-07-06T06:02:00Z</cp:lastPrinted>
  <dcterms:created xsi:type="dcterms:W3CDTF">2017-07-06T06:02:00Z</dcterms:created>
  <dcterms:modified xsi:type="dcterms:W3CDTF">2017-07-06T06:03:00Z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