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666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66603" w:rsidP="00866603">
            <w:pPr>
              <w:jc w:val="right"/>
            </w:pPr>
            <w:r w:rsidRPr="00866603">
              <w:rPr>
                <w:sz w:val="40"/>
              </w:rPr>
              <w:t>ECE</w:t>
            </w:r>
            <w:r>
              <w:t>/TRANS/WP.15/AC.2/2017/36</w:t>
            </w:r>
          </w:p>
        </w:tc>
      </w:tr>
      <w:tr w:rsidR="002D5AAC" w:rsidRPr="0073307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6660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66603" w:rsidRDefault="00866603" w:rsidP="008666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June 2017</w:t>
            </w:r>
          </w:p>
          <w:p w:rsidR="00866603" w:rsidRDefault="00866603" w:rsidP="008666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66603" w:rsidRPr="008D53B6" w:rsidRDefault="00866603" w:rsidP="008666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66603" w:rsidRPr="004820CC" w:rsidRDefault="00866603" w:rsidP="004820CC">
      <w:pPr>
        <w:spacing w:before="120"/>
        <w:rPr>
          <w:sz w:val="28"/>
          <w:szCs w:val="28"/>
        </w:rPr>
      </w:pPr>
      <w:r w:rsidRPr="004820CC">
        <w:rPr>
          <w:sz w:val="28"/>
          <w:szCs w:val="28"/>
        </w:rPr>
        <w:t>Комитет по внутреннему транспорту</w:t>
      </w:r>
    </w:p>
    <w:p w:rsidR="00866603" w:rsidRPr="004820CC" w:rsidRDefault="00866603" w:rsidP="004820CC">
      <w:pPr>
        <w:spacing w:before="120"/>
        <w:rPr>
          <w:b/>
          <w:sz w:val="24"/>
          <w:szCs w:val="24"/>
        </w:rPr>
      </w:pPr>
      <w:r w:rsidRPr="004820CC">
        <w:rPr>
          <w:b/>
          <w:sz w:val="24"/>
          <w:szCs w:val="24"/>
        </w:rPr>
        <w:t>Рабочая группа по перевозкам опасных грузов</w:t>
      </w:r>
    </w:p>
    <w:p w:rsidR="00866603" w:rsidRPr="004820CC" w:rsidRDefault="00866603" w:rsidP="004820CC">
      <w:pPr>
        <w:spacing w:before="120"/>
      </w:pPr>
      <w:r w:rsidRPr="004820CC">
        <w:rPr>
          <w:b/>
        </w:rPr>
        <w:t>Совместное совещание экспертов по Правилам,</w:t>
      </w:r>
      <w:r w:rsidRPr="004820CC">
        <w:rPr>
          <w:b/>
        </w:rPr>
        <w:br/>
        <w:t xml:space="preserve">прилагаемым к Европейскому соглашению </w:t>
      </w:r>
      <w:r w:rsidRPr="004820CC">
        <w:rPr>
          <w:b/>
        </w:rPr>
        <w:br/>
        <w:t xml:space="preserve">о международной перевозке опасных грузов </w:t>
      </w:r>
      <w:r w:rsidRPr="004820CC">
        <w:rPr>
          <w:b/>
        </w:rPr>
        <w:br/>
        <w:t>по внутренним водным путям (ВОПОГ)</w:t>
      </w:r>
      <w:r w:rsidR="004820CC" w:rsidRPr="004820CC">
        <w:rPr>
          <w:b/>
        </w:rPr>
        <w:br/>
      </w:r>
      <w:r w:rsidRPr="004820CC">
        <w:rPr>
          <w:b/>
        </w:rPr>
        <w:t>(Комитет по вопросам безопасности ВОПОГ)</w:t>
      </w:r>
    </w:p>
    <w:p w:rsidR="00866603" w:rsidRPr="004820CC" w:rsidRDefault="00866603" w:rsidP="004820CC">
      <w:pPr>
        <w:spacing w:before="120"/>
        <w:rPr>
          <w:b/>
        </w:rPr>
      </w:pPr>
      <w:r w:rsidRPr="004820CC">
        <w:rPr>
          <w:b/>
        </w:rPr>
        <w:t>Тридцать первая сессия</w:t>
      </w:r>
    </w:p>
    <w:p w:rsidR="00866603" w:rsidRPr="004820CC" w:rsidRDefault="00866603" w:rsidP="004820CC">
      <w:r w:rsidRPr="004820CC">
        <w:t>Женева, 28–31 августа 2017 года</w:t>
      </w:r>
    </w:p>
    <w:p w:rsidR="00866603" w:rsidRPr="004820CC" w:rsidRDefault="00866603" w:rsidP="004820CC">
      <w:r w:rsidRPr="004820CC">
        <w:t>Пункт 3 c) предварительной повестки дня</w:t>
      </w:r>
    </w:p>
    <w:p w:rsidR="00866603" w:rsidRPr="004820CC" w:rsidRDefault="00866603" w:rsidP="004820CC">
      <w:pPr>
        <w:rPr>
          <w:rFonts w:eastAsia="Times New Roman" w:cs="Times New Roman"/>
          <w:b/>
          <w:bCs/>
          <w:szCs w:val="20"/>
        </w:rPr>
      </w:pPr>
      <w:r w:rsidRPr="004820CC">
        <w:rPr>
          <w:b/>
        </w:rPr>
        <w:t xml:space="preserve">Применение Европейского соглашения </w:t>
      </w:r>
      <w:r w:rsidRPr="004820CC">
        <w:rPr>
          <w:b/>
        </w:rPr>
        <w:br/>
        <w:t xml:space="preserve">о международной перевозке опасных грузов </w:t>
      </w:r>
      <w:r w:rsidRPr="004820CC">
        <w:rPr>
          <w:b/>
        </w:rPr>
        <w:br/>
        <w:t>по внутренним водным путям (ВОПОГ):</w:t>
      </w:r>
      <w:r w:rsidRPr="004820CC">
        <w:rPr>
          <w:b/>
        </w:rPr>
        <w:br/>
        <w:t>толкование Правил, прилагаемых к ВОПОГ</w:t>
      </w:r>
    </w:p>
    <w:p w:rsidR="00866603" w:rsidRPr="00866603" w:rsidRDefault="00866603" w:rsidP="004820CC">
      <w:pPr>
        <w:pStyle w:val="HChGR"/>
      </w:pPr>
      <w:r w:rsidRPr="00866603">
        <w:tab/>
      </w:r>
      <w:r w:rsidRPr="00866603">
        <w:tab/>
        <w:t>Душевая и умывальник</w:t>
      </w:r>
    </w:p>
    <w:p w:rsidR="00866603" w:rsidRPr="004820CC" w:rsidRDefault="00866603" w:rsidP="004820CC">
      <w:pPr>
        <w:pStyle w:val="H1GR"/>
        <w:rPr>
          <w:b w:val="0"/>
          <w:sz w:val="20"/>
        </w:rPr>
      </w:pPr>
      <w:r w:rsidRPr="00866603">
        <w:tab/>
      </w:r>
      <w:r w:rsidRPr="00866603">
        <w:tab/>
        <w:t>Передано Рекомендованными классификационными обществами ВОПОГ</w:t>
      </w:r>
      <w:r w:rsidR="004820CC" w:rsidRPr="004820C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4820CC">
        <w:rPr>
          <w:b w:val="0"/>
          <w:sz w:val="20"/>
        </w:rPr>
        <w:t xml:space="preserve"> </w:t>
      </w:r>
      <w:r w:rsidRPr="0029570D">
        <w:rPr>
          <w:b w:val="0"/>
          <w:sz w:val="20"/>
        </w:rPr>
        <w:footnoteReference w:customMarkFollows="1" w:id="2"/>
        <w:t>**</w:t>
      </w:r>
    </w:p>
    <w:p w:rsidR="00866603" w:rsidRPr="00866603" w:rsidRDefault="00866603" w:rsidP="0029570D">
      <w:pPr>
        <w:pStyle w:val="H1GR"/>
      </w:pPr>
      <w:r w:rsidRPr="00866603">
        <w:tab/>
      </w:r>
      <w:r w:rsidRPr="00866603">
        <w:tab/>
        <w:t>Введение</w:t>
      </w:r>
    </w:p>
    <w:p w:rsidR="00866603" w:rsidRPr="00866603" w:rsidRDefault="00866603" w:rsidP="00866603">
      <w:pPr>
        <w:pStyle w:val="SingleTxtGR"/>
      </w:pPr>
      <w:r w:rsidRPr="00866603">
        <w:t>1.</w:t>
      </w:r>
      <w:r w:rsidRPr="00866603">
        <w:tab/>
        <w:t xml:space="preserve">На сессии Комитета по вопросам безопасности в августе 2016 года обсуждался документ </w:t>
      </w:r>
      <w:r w:rsidRPr="00866603">
        <w:rPr>
          <w:lang w:val="en-US"/>
        </w:rPr>
        <w:t>ECE</w:t>
      </w:r>
      <w:r w:rsidRPr="00866603">
        <w:t>/</w:t>
      </w:r>
      <w:r w:rsidRPr="00866603">
        <w:rPr>
          <w:lang w:val="en-US"/>
        </w:rPr>
        <w:t>TRANS</w:t>
      </w:r>
      <w:r w:rsidRPr="00866603">
        <w:t>/</w:t>
      </w:r>
      <w:r w:rsidRPr="00866603">
        <w:rPr>
          <w:lang w:val="en-US"/>
        </w:rPr>
        <w:t>WP</w:t>
      </w:r>
      <w:r w:rsidRPr="00866603">
        <w:t>.15/</w:t>
      </w:r>
      <w:r w:rsidRPr="00866603">
        <w:rPr>
          <w:lang w:val="en-US"/>
        </w:rPr>
        <w:t>AC</w:t>
      </w:r>
      <w:r w:rsidRPr="00866603">
        <w:t>.2/2016/43, представленный Рекомендованными классификационными обществами ВОПОГ. Ниже представлено новое предложение, подготовленное с учетом замечаний Комитета по вопросам безопасности.</w:t>
      </w:r>
    </w:p>
    <w:p w:rsidR="00866603" w:rsidRPr="00866603" w:rsidRDefault="00866603" w:rsidP="00866603">
      <w:pPr>
        <w:pStyle w:val="SingleTxtGR"/>
      </w:pPr>
      <w:r w:rsidRPr="00866603">
        <w:t>2.</w:t>
      </w:r>
      <w:r w:rsidRPr="00866603">
        <w:tab/>
        <w:t>Классификационным обществам было также предложено рассмотреть требования, изложенные в следующих документах:</w:t>
      </w:r>
    </w:p>
    <w:p w:rsidR="00866603" w:rsidRPr="00866603" w:rsidRDefault="00866603" w:rsidP="008C34B1">
      <w:pPr>
        <w:pStyle w:val="Bullet1GR"/>
      </w:pPr>
      <w:r w:rsidRPr="00866603">
        <w:t xml:space="preserve">Международная морская организация (ИМО) </w:t>
      </w:r>
      <w:r w:rsidR="00C96D10" w:rsidRPr="00C96D10">
        <w:t>–</w:t>
      </w:r>
      <w:r w:rsidRPr="00866603">
        <w:t xml:space="preserve"> Руководство АвК: Процедуры действий в чрезвычайных ситуациях для судов, перевозящих опасные грузы; и</w:t>
      </w:r>
    </w:p>
    <w:p w:rsidR="00866603" w:rsidRPr="00866603" w:rsidRDefault="00866603" w:rsidP="008C34B1">
      <w:pPr>
        <w:pStyle w:val="Bullet1GR"/>
      </w:pPr>
      <w:r w:rsidRPr="00866603">
        <w:lastRenderedPageBreak/>
        <w:t xml:space="preserve">ИМО/ВОЗ/МОТ </w:t>
      </w:r>
      <w:r w:rsidR="00C96D10" w:rsidRPr="00C96D10">
        <w:t>–</w:t>
      </w:r>
      <w:r w:rsidRPr="00866603">
        <w:t xml:space="preserve"> Руководство по оказанию первой медицинской помощи при несчастных случаях, связанных с перевозкой опасных грузов (РПМП).</w:t>
      </w:r>
    </w:p>
    <w:p w:rsidR="00866603" w:rsidRPr="00866603" w:rsidRDefault="00866603" w:rsidP="0029570D">
      <w:pPr>
        <w:pStyle w:val="H1GR"/>
      </w:pPr>
      <w:r w:rsidRPr="00866603">
        <w:tab/>
      </w:r>
      <w:r w:rsidRPr="00866603">
        <w:rPr>
          <w:lang w:val="en-GB"/>
        </w:rPr>
        <w:t>I</w:t>
      </w:r>
      <w:r w:rsidRPr="00866603">
        <w:t>.</w:t>
      </w:r>
      <w:r w:rsidRPr="00866603">
        <w:tab/>
        <w:t>Толкование подразделов 7.2.4.60 и 9.3.</w:t>
      </w:r>
      <w:r w:rsidRPr="00866603">
        <w:rPr>
          <w:lang w:val="en-GB"/>
        </w:rPr>
        <w:t>x</w:t>
      </w:r>
      <w:r w:rsidRPr="00866603">
        <w:t>.60</w:t>
      </w:r>
    </w:p>
    <w:p w:rsidR="00866603" w:rsidRPr="00866603" w:rsidRDefault="00866603" w:rsidP="00866603">
      <w:pPr>
        <w:pStyle w:val="SingleTxtGR"/>
      </w:pPr>
      <w:r w:rsidRPr="00866603">
        <w:t>3.</w:t>
      </w:r>
      <w:r w:rsidRPr="00866603">
        <w:tab/>
        <w:t>По мнению Рекомендованных классификационных обществ ВОПОГ, с применением подразделов 7.2.4.60 и 9.3.</w:t>
      </w:r>
      <w:r w:rsidRPr="00866603">
        <w:rPr>
          <w:lang w:val="en-GB"/>
        </w:rPr>
        <w:t>x</w:t>
      </w:r>
      <w:r w:rsidRPr="00866603">
        <w:t xml:space="preserve">.60 должно быть связано следующее толкование: </w:t>
      </w:r>
    </w:p>
    <w:p w:rsidR="00866603" w:rsidRPr="00866603" w:rsidRDefault="00866603" w:rsidP="008C34B1">
      <w:pPr>
        <w:pStyle w:val="Bullet1GR"/>
      </w:pPr>
      <w:r w:rsidRPr="00866603">
        <w:t>если используется вода, используемая вода должна быть питьевой;</w:t>
      </w:r>
    </w:p>
    <w:p w:rsidR="00866603" w:rsidRPr="00866603" w:rsidRDefault="00866603" w:rsidP="008C34B1">
      <w:pPr>
        <w:pStyle w:val="Bullet1GR"/>
        <w:rPr>
          <w:b/>
          <w:bCs/>
        </w:rPr>
      </w:pPr>
      <w:r w:rsidRPr="00866603">
        <w:t xml:space="preserve">соединение этого </w:t>
      </w:r>
      <w:r w:rsidRPr="00866603">
        <w:rPr>
          <w:bCs/>
          <w:iCs/>
        </w:rPr>
        <w:t xml:space="preserve">оборудования с пространством, расположенным за пределами грузового пространства, </w:t>
      </w:r>
      <w:r w:rsidRPr="00866603">
        <w:t>является приемлемым, если установлен невозвратный пружинный клапан, который должен предотвращать утечку газов через душевую и умывальник и их проникновение за пределы грузового пространства;</w:t>
      </w:r>
    </w:p>
    <w:p w:rsidR="00866603" w:rsidRPr="00866603" w:rsidRDefault="00866603" w:rsidP="008C34B1">
      <w:pPr>
        <w:pStyle w:val="Bullet1GR"/>
        <w:rPr>
          <w:b/>
          <w:bCs/>
        </w:rPr>
      </w:pPr>
      <w:r w:rsidRPr="00866603">
        <w:t>для предотвращения замерзания продукта внутри трубопроводов надлежит применять их электрообогрев;</w:t>
      </w:r>
    </w:p>
    <w:p w:rsidR="00866603" w:rsidRPr="00866603" w:rsidRDefault="00866603" w:rsidP="008C34B1">
      <w:pPr>
        <w:pStyle w:val="Bullet1GR"/>
        <w:rPr>
          <w:b/>
          <w:bCs/>
        </w:rPr>
      </w:pPr>
      <w:r w:rsidRPr="00866603">
        <w:t>в дополнение к воде, но не вместо нее в душевой можно было бы использовать другие средства, например дифотерин.</w:t>
      </w:r>
    </w:p>
    <w:p w:rsidR="00866603" w:rsidRPr="00866603" w:rsidRDefault="00866603" w:rsidP="00866603">
      <w:pPr>
        <w:pStyle w:val="SingleTxtGR"/>
      </w:pPr>
      <w:r w:rsidRPr="00866603">
        <w:t>4.</w:t>
      </w:r>
      <w:r w:rsidRPr="00866603">
        <w:tab/>
        <w:t>Попадание в глаза или на кожу брызг химических веществ является серьезной проблемой. Дифотерин – это соединение, разработанное во Франции в качестве нейтрализующего раствора на водной основе для обработки глаз/кожи при попадании в них/на нее брызг химических веществ. В лабораторных и естественных условиях он активно нейтрализует примерно 600 химикатов, включая кислоты, щелочи, окислители и восстановители, ирританты, слезоточивые вещества, растворители, алкилирующие средства и радионуклиды. Его</w:t>
      </w:r>
      <w:r w:rsidR="00C85EEE">
        <w:rPr>
          <w:lang w:val="en-US"/>
        </w:rPr>
        <w:t> </w:t>
      </w:r>
      <w:r w:rsidRPr="00866603">
        <w:t xml:space="preserve">энергия химической связи с такими веществами превышает соответствующие показатели тканевых рецепторов. Его гипертоничность препятствует проникновению химических веществ в ткань и может позволить удалить некоторое количество абсорбированных кожей/роговицей глаза токсичных веществ, еще не связанных тканевыми рецепторами. Химические реакции дифотерина происходят без выделения тепла. Дифотерин и его кислотно-щелочные остатки не вызывают раздражения глаз или кожи; в целом он нетоксичен. Дифотерин может предотвращать ожоги глаз/кожи в результате попадания брызг химических веществ и вызывать почти мгновенное облегчение боли. </w:t>
      </w:r>
      <w:hyperlink r:id="rId8" w:history="1">
        <w:r w:rsidRPr="008C34B1">
          <w:rPr>
            <w:u w:val="single"/>
          </w:rPr>
          <w:t>http://www.levitt-safety.com/shop/diphoterine/</w:t>
        </w:r>
      </w:hyperlink>
      <w:r w:rsidRPr="00866603">
        <w:t>.</w:t>
      </w:r>
    </w:p>
    <w:p w:rsidR="00866603" w:rsidRPr="00866603" w:rsidRDefault="00866603" w:rsidP="0029570D">
      <w:pPr>
        <w:pStyle w:val="H1GR"/>
      </w:pPr>
      <w:r w:rsidRPr="00866603">
        <w:tab/>
      </w:r>
      <w:r w:rsidRPr="00866603">
        <w:rPr>
          <w:lang w:val="en-US"/>
        </w:rPr>
        <w:t>II</w:t>
      </w:r>
      <w:r w:rsidRPr="00866603">
        <w:t>.</w:t>
      </w:r>
      <w:r w:rsidRPr="00866603">
        <w:tab/>
        <w:t>Предложение</w:t>
      </w:r>
    </w:p>
    <w:p w:rsidR="00866603" w:rsidRPr="00866603" w:rsidRDefault="00866603" w:rsidP="00866603">
      <w:pPr>
        <w:pStyle w:val="SingleTxtGR"/>
      </w:pPr>
      <w:r w:rsidRPr="00866603">
        <w:t>5.</w:t>
      </w:r>
      <w:r w:rsidRPr="00866603">
        <w:tab/>
        <w:t>Изменить подраздел 9.3.</w:t>
      </w:r>
      <w:r w:rsidRPr="00866603">
        <w:rPr>
          <w:lang w:val="en-GB"/>
        </w:rPr>
        <w:t>x</w:t>
      </w:r>
      <w:r w:rsidRPr="00866603">
        <w:t xml:space="preserve">.60 следующим образом (новый текст подчеркнут): </w:t>
      </w:r>
    </w:p>
    <w:p w:rsidR="00866603" w:rsidRPr="00866603" w:rsidRDefault="00866603" w:rsidP="008C34B1">
      <w:pPr>
        <w:pStyle w:val="SingleTxtGR"/>
        <w:ind w:left="1701"/>
        <w:rPr>
          <w:bCs/>
          <w:iCs/>
        </w:rPr>
      </w:pPr>
      <w:r w:rsidRPr="00866603">
        <w:rPr>
          <w:bCs/>
        </w:rPr>
        <w:t>«</w:t>
      </w:r>
      <w:r w:rsidRPr="00866603">
        <w:rPr>
          <w:bCs/>
          <w:iCs/>
        </w:rPr>
        <w:t>Специальное оборудование</w:t>
      </w:r>
    </w:p>
    <w:p w:rsidR="00866603" w:rsidRPr="00866603" w:rsidRDefault="00866603" w:rsidP="008C34B1">
      <w:pPr>
        <w:pStyle w:val="SingleTxtGR"/>
        <w:ind w:left="1701"/>
      </w:pPr>
      <w:r w:rsidRPr="00866603">
        <w:t>На борту судна должны быть предусмотрены душевая и умывальник, расположенные в месте, к которому имеется непосредственный доступ из грузового пространства.</w:t>
      </w:r>
    </w:p>
    <w:p w:rsidR="00866603" w:rsidRPr="00866603" w:rsidRDefault="00866603" w:rsidP="008C34B1">
      <w:pPr>
        <w:pStyle w:val="SingleTxtGR"/>
        <w:ind w:left="1701"/>
        <w:rPr>
          <w:u w:val="single"/>
        </w:rPr>
      </w:pPr>
      <w:r w:rsidRPr="00866603">
        <w:rPr>
          <w:u w:val="single"/>
        </w:rPr>
        <w:t>Используемая вода должна быть питьевой.</w:t>
      </w:r>
    </w:p>
    <w:p w:rsidR="00866603" w:rsidRPr="00866603" w:rsidRDefault="00866603" w:rsidP="008C34B1">
      <w:pPr>
        <w:pStyle w:val="SingleTxtGR"/>
        <w:ind w:left="1701"/>
      </w:pPr>
      <w:r w:rsidRPr="00866603">
        <w:rPr>
          <w:u w:val="single"/>
        </w:rPr>
        <w:t xml:space="preserve">Соединение этого </w:t>
      </w:r>
      <w:r w:rsidRPr="00866603">
        <w:rPr>
          <w:bCs/>
          <w:iCs/>
          <w:u w:val="single"/>
        </w:rPr>
        <w:t xml:space="preserve">специального оборудования с пространством, расположенным за пределами грузового пространства, </w:t>
      </w:r>
      <w:r w:rsidRPr="00866603">
        <w:rPr>
          <w:u w:val="single"/>
        </w:rPr>
        <w:t>является приемлемым.</w:t>
      </w:r>
      <w:r w:rsidRPr="00866603">
        <w:t xml:space="preserve"> </w:t>
      </w:r>
    </w:p>
    <w:p w:rsidR="00866603" w:rsidRPr="00866603" w:rsidRDefault="00866603" w:rsidP="008C34B1">
      <w:pPr>
        <w:pStyle w:val="SingleTxtGR"/>
        <w:ind w:left="1701"/>
        <w:rPr>
          <w:u w:val="single"/>
        </w:rPr>
      </w:pPr>
      <w:r w:rsidRPr="00866603">
        <w:rPr>
          <w:u w:val="single"/>
        </w:rPr>
        <w:t>Должен быть установлен невозвратный пружинный клапан, который должен предотвращать утечку газов через систему душевой и умывальника и их проникновение за пределы грузового пространства.</w:t>
      </w:r>
      <w:r w:rsidRPr="00FC76F0">
        <w:t>».</w:t>
      </w:r>
    </w:p>
    <w:p w:rsidR="00866603" w:rsidRPr="00866603" w:rsidRDefault="00866603" w:rsidP="00C85EEE">
      <w:pPr>
        <w:pStyle w:val="SingleTxtGR"/>
        <w:pageBreakBefore/>
      </w:pPr>
      <w:r w:rsidRPr="00866603">
        <w:lastRenderedPageBreak/>
        <w:t>6.</w:t>
      </w:r>
      <w:r w:rsidRPr="00866603">
        <w:tab/>
        <w:t>Добавить новый пункт 9.3.3.61 следующего содержания:</w:t>
      </w:r>
    </w:p>
    <w:p w:rsidR="00866603" w:rsidRPr="00866603" w:rsidRDefault="00866603" w:rsidP="00E71770">
      <w:pPr>
        <w:pStyle w:val="SingleTxtGR"/>
        <w:ind w:left="1701"/>
        <w:rPr>
          <w:u w:val="single"/>
        </w:rPr>
      </w:pPr>
      <w:r w:rsidRPr="00FC76F0">
        <w:t>«</w:t>
      </w:r>
      <w:r w:rsidRPr="00866603">
        <w:rPr>
          <w:u w:val="single"/>
        </w:rPr>
        <w:t>9.3.3.61</w:t>
      </w:r>
      <w:r w:rsidRPr="00866603">
        <w:rPr>
          <w:u w:val="single"/>
        </w:rPr>
        <w:tab/>
        <w:t>Подраздел 9.3.3.60 не применяется к судам – сборщикам маслосодержащих отходов и к судам снабжения.</w:t>
      </w:r>
      <w:r w:rsidRPr="00FC76F0">
        <w:t>».</w:t>
      </w:r>
    </w:p>
    <w:p w:rsidR="00866603" w:rsidRPr="00866603" w:rsidRDefault="00866603" w:rsidP="0029570D">
      <w:pPr>
        <w:pStyle w:val="SingleTxtGR"/>
      </w:pPr>
      <w:r w:rsidRPr="00866603">
        <w:t>7.</w:t>
      </w:r>
      <w:r w:rsidRPr="00866603">
        <w:tab/>
        <w:t xml:space="preserve">Изменить подраздел </w:t>
      </w:r>
      <w:r w:rsidRPr="00866603">
        <w:rPr>
          <w:bCs/>
        </w:rPr>
        <w:t xml:space="preserve">7.2.4.60 </w:t>
      </w:r>
      <w:r w:rsidRPr="00866603">
        <w:t xml:space="preserve">следующим образом: </w:t>
      </w:r>
    </w:p>
    <w:p w:rsidR="00866603" w:rsidRPr="00866603" w:rsidRDefault="00866603" w:rsidP="00E71770">
      <w:pPr>
        <w:pStyle w:val="SingleTxtGR"/>
        <w:rPr>
          <w:bCs/>
          <w:iCs/>
        </w:rPr>
      </w:pPr>
      <w:r w:rsidRPr="008C34B1">
        <w:rPr>
          <w:bCs/>
        </w:rPr>
        <w:t>«</w:t>
      </w:r>
      <w:r w:rsidRPr="00866603">
        <w:rPr>
          <w:b/>
          <w:bCs/>
        </w:rPr>
        <w:t>7.2.4.60</w:t>
      </w:r>
      <w:r w:rsidRPr="00866603">
        <w:rPr>
          <w:b/>
          <w:bCs/>
        </w:rPr>
        <w:tab/>
      </w:r>
      <w:r w:rsidRPr="00866603">
        <w:rPr>
          <w:b/>
          <w:bCs/>
          <w:iCs/>
        </w:rPr>
        <w:t>Специальное оборудование</w:t>
      </w:r>
    </w:p>
    <w:p w:rsidR="00866603" w:rsidRPr="00866603" w:rsidRDefault="00866603" w:rsidP="00866603">
      <w:pPr>
        <w:pStyle w:val="SingleTxtGR"/>
      </w:pPr>
      <w:r w:rsidRPr="00866603">
        <w:t>Душевая и умывальник, предписанные в правилах постройки, должны быть готовы к использованию в любых погодных условиях во время операций по погрузке, разгрузке и перегрузке груза с помощью насосов.».</w:t>
      </w:r>
    </w:p>
    <w:p w:rsidR="00866603" w:rsidRPr="00866603" w:rsidRDefault="00866603" w:rsidP="00866603">
      <w:pPr>
        <w:pStyle w:val="SingleTxtGR"/>
        <w:rPr>
          <w:bCs/>
          <w:lang w:val="fr-FR"/>
        </w:rPr>
      </w:pPr>
      <w:r w:rsidRPr="00866603">
        <w:rPr>
          <w:b/>
          <w:bCs/>
          <w:u w:val="single"/>
        </w:rPr>
        <w:t>Примечание</w:t>
      </w:r>
      <w:r w:rsidRPr="008C34B1">
        <w:rPr>
          <w:bCs/>
        </w:rPr>
        <w:t>:</w:t>
      </w:r>
      <w:r w:rsidRPr="00866603">
        <w:rPr>
          <w:bCs/>
        </w:rPr>
        <w:t xml:space="preserve"> Поскольку французский текст подраздела 7.2.4.60 не полностью идентичен вариантам на английском и немецком языках, мы внесли исправление. Текст</w:t>
      </w:r>
      <w:r w:rsidRPr="00866603">
        <w:rPr>
          <w:bCs/>
          <w:lang w:val="fr-FR"/>
        </w:rPr>
        <w:t xml:space="preserve"> </w:t>
      </w:r>
      <w:r w:rsidRPr="00866603">
        <w:rPr>
          <w:bCs/>
        </w:rPr>
        <w:t>на</w:t>
      </w:r>
      <w:r w:rsidRPr="00866603">
        <w:rPr>
          <w:bCs/>
          <w:lang w:val="fr-FR"/>
        </w:rPr>
        <w:t xml:space="preserve"> </w:t>
      </w:r>
      <w:r w:rsidRPr="00866603">
        <w:rPr>
          <w:bCs/>
        </w:rPr>
        <w:t>французском</w:t>
      </w:r>
      <w:r w:rsidRPr="00866603">
        <w:rPr>
          <w:bCs/>
          <w:lang w:val="fr-FR"/>
        </w:rPr>
        <w:t xml:space="preserve"> </w:t>
      </w:r>
      <w:r w:rsidRPr="00866603">
        <w:rPr>
          <w:bCs/>
        </w:rPr>
        <w:t>языке</w:t>
      </w:r>
      <w:r w:rsidRPr="00866603">
        <w:rPr>
          <w:bCs/>
          <w:lang w:val="fr-FR"/>
        </w:rPr>
        <w:t xml:space="preserve"> </w:t>
      </w:r>
      <w:r w:rsidRPr="00866603">
        <w:rPr>
          <w:bCs/>
        </w:rPr>
        <w:t>должен</w:t>
      </w:r>
      <w:r w:rsidRPr="00866603">
        <w:rPr>
          <w:bCs/>
          <w:lang w:val="fr-FR"/>
        </w:rPr>
        <w:t xml:space="preserve"> </w:t>
      </w:r>
      <w:r w:rsidRPr="00866603">
        <w:rPr>
          <w:bCs/>
        </w:rPr>
        <w:t>гласить</w:t>
      </w:r>
      <w:r w:rsidRPr="00866603">
        <w:rPr>
          <w:bCs/>
          <w:lang w:val="fr-FR"/>
        </w:rPr>
        <w:t>:</w:t>
      </w:r>
    </w:p>
    <w:p w:rsidR="00866603" w:rsidRPr="00866603" w:rsidRDefault="00866603" w:rsidP="00866603">
      <w:pPr>
        <w:pStyle w:val="SingleTxtGR"/>
        <w:rPr>
          <w:b/>
          <w:bCs/>
          <w:iCs/>
          <w:lang w:val="fr-CH"/>
        </w:rPr>
      </w:pPr>
      <w:r w:rsidRPr="008C34B1">
        <w:rPr>
          <w:bCs/>
          <w:lang w:val="fr-CH"/>
        </w:rPr>
        <w:t>«</w:t>
      </w:r>
      <w:r w:rsidRPr="00866603">
        <w:rPr>
          <w:b/>
          <w:bCs/>
          <w:lang w:val="fr-CH"/>
        </w:rPr>
        <w:t>7.2.4.60</w:t>
      </w:r>
      <w:r w:rsidRPr="00866603">
        <w:rPr>
          <w:b/>
          <w:bCs/>
          <w:lang w:val="fr-CH"/>
        </w:rPr>
        <w:tab/>
      </w:r>
      <w:r w:rsidRPr="00866603">
        <w:rPr>
          <w:b/>
          <w:bCs/>
          <w:iCs/>
          <w:lang w:val="fr-CH"/>
        </w:rPr>
        <w:t>Équipement spécial</w:t>
      </w:r>
    </w:p>
    <w:p w:rsidR="00866603" w:rsidRPr="00866603" w:rsidRDefault="00866603" w:rsidP="00866603">
      <w:pPr>
        <w:pStyle w:val="SingleTxtGR"/>
        <w:rPr>
          <w:lang w:val="fr-CH"/>
        </w:rPr>
      </w:pPr>
      <w:r w:rsidRPr="008C34B1">
        <w:rPr>
          <w:strike/>
          <w:lang w:val="fr-CH"/>
        </w:rPr>
        <w:t>La douche et le dispositif de lavage à grande eau du visage et des yeux</w:t>
      </w:r>
      <w:r w:rsidRPr="00866603">
        <w:rPr>
          <w:lang w:val="fr-CH"/>
        </w:rPr>
        <w:t xml:space="preserve"> </w:t>
      </w:r>
      <w:r w:rsidRPr="00866603">
        <w:rPr>
          <w:b/>
          <w:u w:val="single"/>
          <w:lang w:val="fr-CH"/>
        </w:rPr>
        <w:t>La douche et l’ installation pour le rinçage des yeux et du visage</w:t>
      </w:r>
      <w:r w:rsidRPr="00866603">
        <w:rPr>
          <w:lang w:val="fr-CH"/>
        </w:rPr>
        <w:t xml:space="preserve"> prescrits dans les règles de construction doivent être tenus prêts à l'utilisation quelles que soient les conditions météorologiques pendant les opérations de chargement et de déchargement et de transfert de la cargaison par pompage.».</w:t>
      </w:r>
    </w:p>
    <w:p w:rsidR="00866603" w:rsidRPr="00866603" w:rsidRDefault="00866603" w:rsidP="0029570D">
      <w:pPr>
        <w:pStyle w:val="H1GR"/>
      </w:pPr>
      <w:r w:rsidRPr="00866603">
        <w:rPr>
          <w:lang w:val="fr-FR"/>
        </w:rPr>
        <w:tab/>
      </w:r>
      <w:r w:rsidRPr="00866603">
        <w:rPr>
          <w:lang w:val="en-US"/>
        </w:rPr>
        <w:t>III</w:t>
      </w:r>
      <w:r w:rsidRPr="00866603">
        <w:t>.</w:t>
      </w:r>
      <w:r w:rsidRPr="00866603">
        <w:tab/>
        <w:t>Руководство АвК и РПМП</w:t>
      </w:r>
    </w:p>
    <w:p w:rsidR="00866603" w:rsidRPr="00866603" w:rsidRDefault="00866603" w:rsidP="00866603">
      <w:pPr>
        <w:pStyle w:val="SingleTxtGR"/>
      </w:pPr>
      <w:r w:rsidRPr="00866603">
        <w:t>8.</w:t>
      </w:r>
      <w:r w:rsidRPr="00866603">
        <w:tab/>
        <w:t xml:space="preserve">Комитет по вопросам безопасности также просил Рекомендованные классификационные общества изучить Руководство АвК ИМО и РПМП и определить, можно ли включить в ВОПОГ некоторые положения этих руководств. </w:t>
      </w:r>
    </w:p>
    <w:p w:rsidR="00866603" w:rsidRPr="00866603" w:rsidRDefault="00866603" w:rsidP="00866603">
      <w:pPr>
        <w:pStyle w:val="SingleTxtGR"/>
      </w:pPr>
      <w:r w:rsidRPr="00866603">
        <w:t>9.</w:t>
      </w:r>
      <w:r w:rsidRPr="00866603">
        <w:tab/>
        <w:t>Неофициальная группа Рекомендованных классификационных обществ считает, что она не в состоянии анализировать такие руководства. Указанные два руководства можно кратко охарактеризовать следующим образом:</w:t>
      </w:r>
    </w:p>
    <w:p w:rsidR="00866603" w:rsidRPr="00866603" w:rsidRDefault="008C34B1" w:rsidP="00C85EEE">
      <w:pPr>
        <w:pStyle w:val="H56GR"/>
      </w:pPr>
      <w:r>
        <w:rPr>
          <w:lang w:val="en-GB"/>
        </w:rPr>
        <w:tab/>
      </w:r>
      <w:r w:rsidR="0073307A">
        <w:rPr>
          <w:lang w:val="en-GB"/>
        </w:rPr>
        <w:tab/>
      </w:r>
      <w:r w:rsidR="00866603" w:rsidRPr="00866603">
        <w:rPr>
          <w:lang w:val="en-GB"/>
        </w:rPr>
        <w:t>a</w:t>
      </w:r>
      <w:r w:rsidR="00866603" w:rsidRPr="00866603">
        <w:t>)</w:t>
      </w:r>
      <w:r w:rsidR="00866603" w:rsidRPr="00866603">
        <w:tab/>
        <w:t>Руководство АвК: Процедуры действий в чрезвычайных ситуациях для судов, перевозящих опасные грузы</w:t>
      </w:r>
    </w:p>
    <w:p w:rsidR="00866603" w:rsidRPr="00866603" w:rsidRDefault="00866603" w:rsidP="00866603">
      <w:pPr>
        <w:pStyle w:val="SingleTxtGR"/>
      </w:pPr>
      <w:r w:rsidRPr="00866603">
        <w:t xml:space="preserve">В ноябре 1997 года Ассамблея ИМО приняла резолюцию </w:t>
      </w:r>
      <w:r w:rsidRPr="00866603">
        <w:rPr>
          <w:lang w:val="en-GB"/>
        </w:rPr>
        <w:t>A</w:t>
      </w:r>
      <w:r w:rsidRPr="00866603">
        <w:t xml:space="preserve">.852 (20) по Руководству в отношении структуры интегрированной системы планов действий в чрезвычайных ситуациях на судах. Данное Руководство должно интегрироваться в Модуль </w:t>
      </w:r>
      <w:r w:rsidRPr="00866603">
        <w:rPr>
          <w:lang w:val="en-GB"/>
        </w:rPr>
        <w:t>IV</w:t>
      </w:r>
      <w:r w:rsidRPr="00866603">
        <w:t xml:space="preserve"> по Действиям в чрезвычайной ситуации, содержащийся в пункте 3.2.4.6 вышеуказанной резолюции, инциденты с грузом.</w:t>
      </w:r>
    </w:p>
    <w:p w:rsidR="00866603" w:rsidRPr="00866603" w:rsidRDefault="00866603" w:rsidP="00866603">
      <w:pPr>
        <w:pStyle w:val="SingleTxtGR"/>
      </w:pPr>
      <w:r w:rsidRPr="00866603">
        <w:t>Данное Руководство АвК содержит руководство по Процедурам действий в чрезвычайных ситуациях для судов, перевозящих опасные грузы, включая аварийные карточки (АвК), которым необходимо следовать в случае инцидентов, связанных с опасными веществами, материалами или изделиями или вредными веществами (загрязнителями моря), на которые распространяются положения Международного кодекса морской перевозки опасных грузов (МКМПОГ).</w:t>
      </w:r>
    </w:p>
    <w:p w:rsidR="00866603" w:rsidRPr="00866603" w:rsidRDefault="00866603" w:rsidP="00866603">
      <w:pPr>
        <w:pStyle w:val="SingleTxtGR"/>
      </w:pPr>
      <w:r w:rsidRPr="00866603">
        <w:t>Целью данного Руководства</w:t>
      </w:r>
      <w:r w:rsidRPr="00866603">
        <w:rPr>
          <w:lang w:val="en-GB"/>
        </w:rPr>
        <w:t>e</w:t>
      </w:r>
      <w:r w:rsidRPr="00866603">
        <w:t xml:space="preserve"> является обеспечение руководства по действиям при пожарах и разливах/россыпях (утечках) на борту судов, связанных с опасными грузами, поименованными в Международном кодексе морской перевозки опасных грузов (МКМПОГ).</w:t>
      </w:r>
    </w:p>
    <w:p w:rsidR="00866603" w:rsidRPr="00866603" w:rsidRDefault="00866603" w:rsidP="00866603">
      <w:pPr>
        <w:pStyle w:val="SingleTxtGR"/>
      </w:pPr>
      <w:r w:rsidRPr="00866603">
        <w:t>Согласно Международному кодексу по управлению безопасностью (МКУБ), на всех судах, а также в компаниях, ответственных за их эксплуатацию, требуется поддержание Системы управления безопасностью (СУБ). В рамках СУБ требуется наличие процедур действий по реагированию на возможные чрезвычайные ситуации на судах. Данное Руководство призвано помочь судовладельцам, операторам судов и другим компаниям, связанным с разработкой таких процедур действий в чрезвычайных ситуациях, которые должны интегрироваться в судовой план действий в чрезвычайных ситуациях.</w:t>
      </w:r>
    </w:p>
    <w:p w:rsidR="00866603" w:rsidRPr="00866603" w:rsidRDefault="00866603" w:rsidP="00866603">
      <w:pPr>
        <w:pStyle w:val="SingleTxtGR"/>
      </w:pPr>
      <w:r w:rsidRPr="00866603">
        <w:lastRenderedPageBreak/>
        <w:t>В случае инцидента, связанного с пожаром или разливом/россыпью, первоначальные действия должны выполняться согласно судовому плану действий в чрезвычайных ситуациях. Если инцидент связан с опасными грузами, действия, предусмотренные планом действий в чрезвычайных ситуациях, должны основываться на данном Руководстве с учетом, среди прочего, типа судна, количества и вида тары опасных грузов и расположения грузов на палубе или под палубой.</w:t>
      </w:r>
    </w:p>
    <w:p w:rsidR="00866603" w:rsidRPr="00866603" w:rsidRDefault="00866603" w:rsidP="00866603">
      <w:pPr>
        <w:pStyle w:val="SingleTxtGR"/>
        <w:rPr>
          <w:bCs/>
        </w:rPr>
      </w:pPr>
      <w:r w:rsidRPr="00866603">
        <w:t>По мере необходимости Руководство АвК может корректироваться Редакционно-технической группой ИМО с целью учета поправок, вносимых в МКМПОГ.</w:t>
      </w:r>
    </w:p>
    <w:p w:rsidR="00866603" w:rsidRPr="00866603" w:rsidRDefault="008C34B1" w:rsidP="00C85EEE">
      <w:pPr>
        <w:pStyle w:val="H56GR"/>
      </w:pPr>
      <w:r w:rsidRPr="0073307A">
        <w:tab/>
      </w:r>
      <w:r w:rsidR="0073307A">
        <w:rPr>
          <w:lang w:val="en-US"/>
        </w:rPr>
        <w:tab/>
      </w:r>
      <w:r w:rsidR="00866603" w:rsidRPr="00866603">
        <w:rPr>
          <w:lang w:val="en-GB"/>
        </w:rPr>
        <w:t>b</w:t>
      </w:r>
      <w:r w:rsidR="00866603" w:rsidRPr="00866603">
        <w:t>)</w:t>
      </w:r>
      <w:r w:rsidR="00866603" w:rsidRPr="00866603">
        <w:tab/>
        <w:t>Руководство по оказанию первой медицинской помощи при несчастных случаях, связанных с перевозкой опасных грузов (РПМП)</w:t>
      </w:r>
    </w:p>
    <w:p w:rsidR="00866603" w:rsidRPr="00866603" w:rsidRDefault="00866603" w:rsidP="00866603">
      <w:pPr>
        <w:pStyle w:val="SingleTxtGR"/>
      </w:pPr>
      <w:r w:rsidRPr="00866603">
        <w:t>Информация о первой медицинской помощи содержится в Руководстве ИМО/ВОЗ/МОТ по оказанию первой медицинской помощи при несчастных случаях, связанных с перевозкой опасных грузов (РПМП), которое является дополнением по химическим веществам к Международному медицинскому руководству для судов (IMGS), опубликованному Всемирной организацией здравоохранения (ВОЗ), Женева. Пересмотренный текст Руководства был принят Комитетом по безопасности на море в мае 1998 года для использования в сочетании с МКМПОГ и по мере необходимости будет и дальше корректироваться.</w:t>
      </w:r>
    </w:p>
    <w:p w:rsidR="00866603" w:rsidRPr="00866603" w:rsidRDefault="00866603" w:rsidP="0086660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6603" w:rsidRPr="00866603" w:rsidRDefault="00866603" w:rsidP="002E5067"/>
    <w:sectPr w:rsidR="00866603" w:rsidRPr="00866603" w:rsidSect="0086660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F0" w:rsidRPr="00A312BC" w:rsidRDefault="006C27F0" w:rsidP="00A312BC"/>
  </w:endnote>
  <w:endnote w:type="continuationSeparator" w:id="0">
    <w:p w:rsidR="006C27F0" w:rsidRPr="00A312BC" w:rsidRDefault="006C27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03" w:rsidRPr="00866603" w:rsidRDefault="00866603">
    <w:pPr>
      <w:pStyle w:val="Footer"/>
    </w:pPr>
    <w:r w:rsidRPr="00866603">
      <w:rPr>
        <w:b/>
        <w:sz w:val="18"/>
      </w:rPr>
      <w:fldChar w:fldCharType="begin"/>
    </w:r>
    <w:r w:rsidRPr="00866603">
      <w:rPr>
        <w:b/>
        <w:sz w:val="18"/>
      </w:rPr>
      <w:instrText xml:space="preserve"> PAGE  \* MERGEFORMAT </w:instrText>
    </w:r>
    <w:r w:rsidRPr="00866603">
      <w:rPr>
        <w:b/>
        <w:sz w:val="18"/>
      </w:rPr>
      <w:fldChar w:fldCharType="separate"/>
    </w:r>
    <w:r w:rsidR="00351D99">
      <w:rPr>
        <w:b/>
        <w:noProof/>
        <w:sz w:val="18"/>
      </w:rPr>
      <w:t>2</w:t>
    </w:r>
    <w:r w:rsidRPr="00866603">
      <w:rPr>
        <w:b/>
        <w:sz w:val="18"/>
      </w:rPr>
      <w:fldChar w:fldCharType="end"/>
    </w:r>
    <w:r>
      <w:rPr>
        <w:b/>
        <w:sz w:val="18"/>
      </w:rPr>
      <w:tab/>
    </w:r>
    <w:r>
      <w:t>GE.17-09956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03" w:rsidRPr="00866603" w:rsidRDefault="00866603" w:rsidP="00866603">
    <w:pPr>
      <w:pStyle w:val="Footer"/>
      <w:tabs>
        <w:tab w:val="clear" w:pos="9639"/>
        <w:tab w:val="right" w:pos="9638"/>
      </w:tabs>
      <w:rPr>
        <w:b/>
        <w:sz w:val="18"/>
      </w:rPr>
    </w:pPr>
    <w:r>
      <w:t>GE.17-09956</w:t>
    </w:r>
    <w:r>
      <w:tab/>
    </w:r>
    <w:r w:rsidRPr="00866603">
      <w:rPr>
        <w:b/>
        <w:sz w:val="18"/>
      </w:rPr>
      <w:fldChar w:fldCharType="begin"/>
    </w:r>
    <w:r w:rsidRPr="00866603">
      <w:rPr>
        <w:b/>
        <w:sz w:val="18"/>
      </w:rPr>
      <w:instrText xml:space="preserve"> PAGE  \* MERGEFORMAT </w:instrText>
    </w:r>
    <w:r w:rsidRPr="00866603">
      <w:rPr>
        <w:b/>
        <w:sz w:val="18"/>
      </w:rPr>
      <w:fldChar w:fldCharType="separate"/>
    </w:r>
    <w:r w:rsidR="00351D99">
      <w:rPr>
        <w:b/>
        <w:noProof/>
        <w:sz w:val="18"/>
      </w:rPr>
      <w:t>3</w:t>
    </w:r>
    <w:r w:rsidRPr="008666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66603" w:rsidRDefault="00866603" w:rsidP="00866603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E668767" wp14:editId="7E653D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17-09956  (R)</w:t>
    </w:r>
    <w:r w:rsidR="004820CC">
      <w:rPr>
        <w:lang w:val="en-US"/>
      </w:rPr>
      <w:t xml:space="preserve">  270617  270617</w:t>
    </w:r>
    <w:r>
      <w:br/>
    </w:r>
    <w:r w:rsidRPr="00866603">
      <w:rPr>
        <w:rFonts w:ascii="C39T30Lfz" w:hAnsi="C39T30Lfz"/>
        <w:spacing w:val="0"/>
        <w:w w:val="100"/>
        <w:sz w:val="56"/>
      </w:rPr>
      <w:t></w:t>
    </w:r>
    <w:r w:rsidRPr="00866603">
      <w:rPr>
        <w:rFonts w:ascii="C39T30Lfz" w:hAnsi="C39T30Lfz"/>
        <w:spacing w:val="0"/>
        <w:w w:val="100"/>
        <w:sz w:val="56"/>
      </w:rPr>
      <w:t></w:t>
    </w:r>
    <w:r w:rsidRPr="00866603">
      <w:rPr>
        <w:rFonts w:ascii="C39T30Lfz" w:hAnsi="C39T30Lfz"/>
        <w:spacing w:val="0"/>
        <w:w w:val="100"/>
        <w:sz w:val="56"/>
      </w:rPr>
      <w:t></w:t>
    </w:r>
    <w:r w:rsidRPr="00866603">
      <w:rPr>
        <w:rFonts w:ascii="C39T30Lfz" w:hAnsi="C39T30Lfz"/>
        <w:spacing w:val="0"/>
        <w:w w:val="100"/>
        <w:sz w:val="56"/>
      </w:rPr>
      <w:t></w:t>
    </w:r>
    <w:r w:rsidRPr="00866603">
      <w:rPr>
        <w:rFonts w:ascii="C39T30Lfz" w:hAnsi="C39T30Lfz"/>
        <w:spacing w:val="0"/>
        <w:w w:val="100"/>
        <w:sz w:val="56"/>
      </w:rPr>
      <w:t></w:t>
    </w:r>
    <w:r w:rsidRPr="00866603">
      <w:rPr>
        <w:rFonts w:ascii="C39T30Lfz" w:hAnsi="C39T30Lfz"/>
        <w:spacing w:val="0"/>
        <w:w w:val="100"/>
        <w:sz w:val="56"/>
      </w:rPr>
      <w:t></w:t>
    </w:r>
    <w:r w:rsidRPr="00866603">
      <w:rPr>
        <w:rFonts w:ascii="C39T30Lfz" w:hAnsi="C39T30Lfz"/>
        <w:spacing w:val="0"/>
        <w:w w:val="100"/>
        <w:sz w:val="56"/>
      </w:rPr>
      <w:t></w:t>
    </w:r>
    <w:r w:rsidRPr="00866603">
      <w:rPr>
        <w:rFonts w:ascii="C39T30Lfz" w:hAnsi="C39T30Lfz"/>
        <w:spacing w:val="0"/>
        <w:w w:val="100"/>
        <w:sz w:val="56"/>
      </w:rPr>
      <w:t></w:t>
    </w:r>
    <w:r w:rsidRPr="0086660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3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3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F0" w:rsidRPr="001075E9" w:rsidRDefault="006C27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C27F0" w:rsidRDefault="006C27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820CC" w:rsidRPr="004820CC" w:rsidRDefault="004820CC">
      <w:pPr>
        <w:pStyle w:val="FootnoteText"/>
        <w:rPr>
          <w:lang w:val="ru-RU"/>
        </w:rPr>
      </w:pPr>
      <w:r>
        <w:tab/>
      </w:r>
      <w:r w:rsidRPr="004820CC">
        <w:rPr>
          <w:rStyle w:val="FootnoteReference"/>
          <w:sz w:val="20"/>
          <w:vertAlign w:val="baseline"/>
          <w:lang w:val="ru-RU"/>
        </w:rPr>
        <w:t>*</w:t>
      </w:r>
      <w:r w:rsidRPr="004820CC">
        <w:rPr>
          <w:rStyle w:val="FootnoteReference"/>
          <w:vertAlign w:val="baseline"/>
          <w:lang w:val="ru-RU"/>
        </w:rPr>
        <w:tab/>
      </w:r>
      <w:r w:rsidRPr="004820CC">
        <w:rPr>
          <w:lang w:val="ru-RU"/>
        </w:rPr>
        <w:t>Распространено на немецком языке Центральной комиссией судоходства по Рейну под условным обозначением CCNR-ZKR/ADN/WP.15/AC.2/2017/36.</w:t>
      </w:r>
    </w:p>
  </w:footnote>
  <w:footnote w:id="2">
    <w:p w:rsidR="00866603" w:rsidRPr="00390BE4" w:rsidRDefault="00866603" w:rsidP="00866603">
      <w:pPr>
        <w:pStyle w:val="FootnoteText"/>
        <w:rPr>
          <w:sz w:val="20"/>
          <w:lang w:val="ru-RU"/>
        </w:rPr>
      </w:pPr>
      <w:r w:rsidRPr="009D7508">
        <w:rPr>
          <w:lang w:val="ru-RU"/>
        </w:rPr>
        <w:tab/>
      </w:r>
      <w:r w:rsidRPr="0073307A">
        <w:rPr>
          <w:rStyle w:val="FootnoteReference"/>
          <w:sz w:val="20"/>
          <w:vertAlign w:val="baseline"/>
          <w:lang w:val="ru-RU"/>
        </w:rPr>
        <w:t>**</w:t>
      </w:r>
      <w:r w:rsidRPr="0073307A">
        <w:rPr>
          <w:lang w:val="ru-RU"/>
        </w:rPr>
        <w:tab/>
      </w:r>
      <w:r w:rsidRPr="00390BE4"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390BE4">
        <w:rPr>
          <w:lang w:val="ru-RU"/>
        </w:rPr>
        <w:t>на 2016–2017 годы (</w:t>
      </w:r>
      <w:r w:rsidRPr="004820CC">
        <w:rPr>
          <w:lang w:val="ru-RU"/>
        </w:rPr>
        <w:t>ECE</w:t>
      </w:r>
      <w:r w:rsidRPr="00390BE4">
        <w:rPr>
          <w:lang w:val="ru-RU"/>
        </w:rPr>
        <w:t>/</w:t>
      </w:r>
      <w:r w:rsidRPr="004820CC">
        <w:rPr>
          <w:lang w:val="ru-RU"/>
        </w:rPr>
        <w:t>TRANS</w:t>
      </w:r>
      <w:r w:rsidRPr="00390BE4">
        <w:rPr>
          <w:lang w:val="ru-RU"/>
        </w:rPr>
        <w:t>/2016/28/</w:t>
      </w:r>
      <w:r w:rsidRPr="004820CC">
        <w:rPr>
          <w:lang w:val="ru-RU"/>
        </w:rPr>
        <w:t>Add</w:t>
      </w:r>
      <w:r w:rsidRPr="00390BE4"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03" w:rsidRPr="00866603" w:rsidRDefault="00EC6180">
    <w:pPr>
      <w:pStyle w:val="Header"/>
    </w:pPr>
    <w:fldSimple w:instr=" TITLE  \* MERGEFORMAT ">
      <w:r w:rsidR="00351D99">
        <w:t>ECE/TRANS/WP.15/AC.2/2017/36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03" w:rsidRPr="00866603" w:rsidRDefault="00EC6180" w:rsidP="00866603">
    <w:pPr>
      <w:pStyle w:val="Header"/>
      <w:jc w:val="right"/>
    </w:pPr>
    <w:fldSimple w:instr=" TITLE  \* MERGEFORMAT ">
      <w:r w:rsidR="00351D99">
        <w:t>ECE/TRANS/WP.15/AC.2/2017/36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2455681"/>
    <w:multiLevelType w:val="hybridMultilevel"/>
    <w:tmpl w:val="9E860C2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F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570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1D99"/>
    <w:rsid w:val="00381C24"/>
    <w:rsid w:val="00387CD4"/>
    <w:rsid w:val="003958D0"/>
    <w:rsid w:val="003A0D43"/>
    <w:rsid w:val="003A48CE"/>
    <w:rsid w:val="003B00E5"/>
    <w:rsid w:val="00407B78"/>
    <w:rsid w:val="00424203"/>
    <w:rsid w:val="00451368"/>
    <w:rsid w:val="00452493"/>
    <w:rsid w:val="00453318"/>
    <w:rsid w:val="00454AF2"/>
    <w:rsid w:val="00454E07"/>
    <w:rsid w:val="00472C5C"/>
    <w:rsid w:val="004820CC"/>
    <w:rsid w:val="004D42DA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C27F0"/>
    <w:rsid w:val="006D461A"/>
    <w:rsid w:val="006F35EE"/>
    <w:rsid w:val="007021FF"/>
    <w:rsid w:val="00712895"/>
    <w:rsid w:val="0073307A"/>
    <w:rsid w:val="00734ACB"/>
    <w:rsid w:val="00757357"/>
    <w:rsid w:val="00792497"/>
    <w:rsid w:val="00806737"/>
    <w:rsid w:val="00825F8D"/>
    <w:rsid w:val="00834B71"/>
    <w:rsid w:val="0086445C"/>
    <w:rsid w:val="00866603"/>
    <w:rsid w:val="00894693"/>
    <w:rsid w:val="008A08D7"/>
    <w:rsid w:val="008A37C8"/>
    <w:rsid w:val="008B6909"/>
    <w:rsid w:val="008C34B1"/>
    <w:rsid w:val="008D53B6"/>
    <w:rsid w:val="008F7609"/>
    <w:rsid w:val="00906890"/>
    <w:rsid w:val="00911BE4"/>
    <w:rsid w:val="00951972"/>
    <w:rsid w:val="009608F3"/>
    <w:rsid w:val="009A24AC"/>
    <w:rsid w:val="009B56FE"/>
    <w:rsid w:val="009C6FE6"/>
    <w:rsid w:val="00A14DA8"/>
    <w:rsid w:val="00A312BC"/>
    <w:rsid w:val="00A84021"/>
    <w:rsid w:val="00A84D35"/>
    <w:rsid w:val="00A917B3"/>
    <w:rsid w:val="00AA17EE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8348C"/>
    <w:rsid w:val="00C85EEE"/>
    <w:rsid w:val="00C92939"/>
    <w:rsid w:val="00C96D10"/>
    <w:rsid w:val="00CA1679"/>
    <w:rsid w:val="00CB151C"/>
    <w:rsid w:val="00CE5A1A"/>
    <w:rsid w:val="00CF55F6"/>
    <w:rsid w:val="00D33D63"/>
    <w:rsid w:val="00D5253A"/>
    <w:rsid w:val="00D90028"/>
    <w:rsid w:val="00D90138"/>
    <w:rsid w:val="00DA6E80"/>
    <w:rsid w:val="00DD78D1"/>
    <w:rsid w:val="00DE32CD"/>
    <w:rsid w:val="00DF5767"/>
    <w:rsid w:val="00DF71B9"/>
    <w:rsid w:val="00E12C5F"/>
    <w:rsid w:val="00E71770"/>
    <w:rsid w:val="00E73F76"/>
    <w:rsid w:val="00EA2C9F"/>
    <w:rsid w:val="00EA420E"/>
    <w:rsid w:val="00EB6A65"/>
    <w:rsid w:val="00EC6180"/>
    <w:rsid w:val="00ED0BDA"/>
    <w:rsid w:val="00EE142A"/>
    <w:rsid w:val="00EF1360"/>
    <w:rsid w:val="00EF3220"/>
    <w:rsid w:val="00F2523A"/>
    <w:rsid w:val="00F43903"/>
    <w:rsid w:val="00F94155"/>
    <w:rsid w:val="00F960D7"/>
    <w:rsid w:val="00F9783F"/>
    <w:rsid w:val="00FB2082"/>
    <w:rsid w:val="00FC76F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0C823CE-2173-491A-87AC-5B693ACF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itt-safety.com/shop/diphoterine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ECE/TRANS/WP.15/AC.2/2017/36</vt:lpstr>
      <vt:lpstr>ECE/TRANS/WP.15/AC.2/2017/36</vt:lpstr>
      <vt:lpstr>A/</vt:lpstr>
    </vt:vector>
  </TitlesOfParts>
  <Company>DCM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ECE/TRANS/WP.15/AC.2/2017/36</dc:title>
  <dc:creator>Izotova Elena</dc:creator>
  <cp:lastModifiedBy>Marie-Claude Collet</cp:lastModifiedBy>
  <cp:revision>3</cp:revision>
  <cp:lastPrinted>2017-07-10T06:04:00Z</cp:lastPrinted>
  <dcterms:created xsi:type="dcterms:W3CDTF">2017-07-10T06:03:00Z</dcterms:created>
  <dcterms:modified xsi:type="dcterms:W3CDTF">2017-07-10T06:04:00Z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