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A7096" w:rsidRPr="00650142" w:rsidTr="00866EF0">
        <w:trPr>
          <w:trHeight w:hRule="exact" w:val="851"/>
        </w:trPr>
        <w:tc>
          <w:tcPr>
            <w:tcW w:w="1277" w:type="dxa"/>
            <w:tcBorders>
              <w:bottom w:val="single" w:sz="4" w:space="0" w:color="auto"/>
            </w:tcBorders>
          </w:tcPr>
          <w:p w:rsidR="00BA7096" w:rsidRPr="00650142" w:rsidRDefault="00BA7096" w:rsidP="00866EF0">
            <w:pPr>
              <w:rPr>
                <w:snapToGrid/>
                <w:lang w:val="fr-FR" w:eastAsia="en-US"/>
              </w:rPr>
            </w:pPr>
            <w:bookmarkStart w:id="0" w:name="OLE_LINK1"/>
            <w:bookmarkStart w:id="1" w:name="OLE_LINK2"/>
          </w:p>
        </w:tc>
        <w:tc>
          <w:tcPr>
            <w:tcW w:w="2268" w:type="dxa"/>
            <w:tcBorders>
              <w:bottom w:val="single" w:sz="4" w:space="0" w:color="auto"/>
            </w:tcBorders>
            <w:vAlign w:val="bottom"/>
          </w:tcPr>
          <w:p w:rsidR="00BA7096" w:rsidRPr="00650142" w:rsidRDefault="00BA7096" w:rsidP="00866EF0">
            <w:pPr>
              <w:spacing w:after="80" w:line="300" w:lineRule="exact"/>
              <w:rPr>
                <w:snapToGrid/>
                <w:sz w:val="28"/>
                <w:lang w:val="fr-FR" w:eastAsia="en-US"/>
              </w:rPr>
            </w:pPr>
            <w:r w:rsidRPr="00650142">
              <w:rPr>
                <w:snapToGrid/>
                <w:sz w:val="28"/>
                <w:lang w:val="fr-FR" w:eastAsia="en-US"/>
              </w:rPr>
              <w:t>Nations Unies</w:t>
            </w:r>
          </w:p>
        </w:tc>
        <w:tc>
          <w:tcPr>
            <w:tcW w:w="6094" w:type="dxa"/>
            <w:gridSpan w:val="2"/>
            <w:tcBorders>
              <w:bottom w:val="single" w:sz="4" w:space="0" w:color="auto"/>
            </w:tcBorders>
            <w:vAlign w:val="bottom"/>
          </w:tcPr>
          <w:p w:rsidR="00BA7096" w:rsidRPr="00650142" w:rsidRDefault="00BA7096" w:rsidP="00BA7096">
            <w:pPr>
              <w:jc w:val="right"/>
              <w:rPr>
                <w:snapToGrid/>
                <w:lang w:eastAsia="en-US"/>
              </w:rPr>
            </w:pPr>
            <w:r w:rsidRPr="00650142">
              <w:rPr>
                <w:snapToGrid/>
                <w:sz w:val="40"/>
                <w:lang w:eastAsia="en-US"/>
              </w:rPr>
              <w:t>ECE</w:t>
            </w:r>
            <w:r w:rsidRPr="00650142">
              <w:rPr>
                <w:snapToGrid/>
                <w:lang w:eastAsia="en-US"/>
              </w:rPr>
              <w:t>/TRANS/WP.15/AC.2/2017/1</w:t>
            </w:r>
            <w:r>
              <w:rPr>
                <w:snapToGrid/>
                <w:lang w:eastAsia="en-US"/>
              </w:rPr>
              <w:t>9</w:t>
            </w:r>
          </w:p>
        </w:tc>
      </w:tr>
      <w:tr w:rsidR="00BA7096" w:rsidRPr="006946C8" w:rsidTr="00866EF0">
        <w:trPr>
          <w:trHeight w:hRule="exact" w:val="2835"/>
        </w:trPr>
        <w:tc>
          <w:tcPr>
            <w:tcW w:w="1276" w:type="dxa"/>
            <w:tcBorders>
              <w:top w:val="single" w:sz="4" w:space="0" w:color="auto"/>
              <w:bottom w:val="single" w:sz="12" w:space="0" w:color="auto"/>
            </w:tcBorders>
          </w:tcPr>
          <w:p w:rsidR="00BA7096" w:rsidRPr="00650142" w:rsidRDefault="00BA7096" w:rsidP="00866EF0">
            <w:pPr>
              <w:spacing w:before="120"/>
              <w:jc w:val="center"/>
              <w:rPr>
                <w:snapToGrid/>
                <w:lang w:val="fr-FR" w:eastAsia="en-US"/>
              </w:rPr>
            </w:pPr>
            <w:r w:rsidRPr="00650142">
              <w:rPr>
                <w:noProof/>
                <w:snapToGrid/>
                <w:lang w:eastAsia="en-GB"/>
              </w:rPr>
              <w:drawing>
                <wp:inline distT="0" distB="0" distL="0" distR="0" wp14:anchorId="173D9B90" wp14:editId="3185A3C1">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A7096" w:rsidRPr="00650142" w:rsidRDefault="00BA7096" w:rsidP="00866EF0">
            <w:pPr>
              <w:spacing w:before="120" w:line="420" w:lineRule="exact"/>
              <w:rPr>
                <w:b/>
                <w:snapToGrid/>
                <w:sz w:val="40"/>
                <w:szCs w:val="40"/>
                <w:lang w:val="fr-FR" w:eastAsia="en-US"/>
              </w:rPr>
            </w:pPr>
            <w:r w:rsidRPr="00650142">
              <w:rPr>
                <w:b/>
                <w:snapToGrid/>
                <w:sz w:val="40"/>
                <w:szCs w:val="40"/>
                <w:lang w:val="fr-FR" w:eastAsia="en-US"/>
              </w:rPr>
              <w:t>Conseil économique et social</w:t>
            </w:r>
          </w:p>
        </w:tc>
        <w:tc>
          <w:tcPr>
            <w:tcW w:w="2835" w:type="dxa"/>
            <w:tcBorders>
              <w:top w:val="single" w:sz="4" w:space="0" w:color="auto"/>
              <w:bottom w:val="single" w:sz="12" w:space="0" w:color="auto"/>
            </w:tcBorders>
          </w:tcPr>
          <w:p w:rsidR="00BA7096" w:rsidRPr="00650142" w:rsidRDefault="00BA7096" w:rsidP="00866EF0">
            <w:pPr>
              <w:spacing w:before="240" w:line="240" w:lineRule="exact"/>
              <w:rPr>
                <w:snapToGrid/>
                <w:lang w:val="fr-FR" w:eastAsia="en-US"/>
              </w:rPr>
            </w:pPr>
            <w:r w:rsidRPr="00650142">
              <w:rPr>
                <w:snapToGrid/>
                <w:lang w:val="fr-FR" w:eastAsia="en-US"/>
              </w:rPr>
              <w:t>Distr. générale</w:t>
            </w:r>
          </w:p>
          <w:p w:rsidR="00BA7096" w:rsidRPr="00650142" w:rsidRDefault="009F4573" w:rsidP="00866EF0">
            <w:pPr>
              <w:spacing w:line="240" w:lineRule="exact"/>
              <w:rPr>
                <w:snapToGrid/>
                <w:lang w:val="fr-FR" w:eastAsia="en-US"/>
              </w:rPr>
            </w:pPr>
            <w:r>
              <w:rPr>
                <w:snapToGrid/>
                <w:lang w:val="fr-FR" w:eastAsia="en-US"/>
              </w:rPr>
              <w:t>12</w:t>
            </w:r>
            <w:r w:rsidR="00BA7096" w:rsidRPr="00650142">
              <w:rPr>
                <w:snapToGrid/>
                <w:lang w:val="fr-FR" w:eastAsia="en-US"/>
              </w:rPr>
              <w:t xml:space="preserve"> </w:t>
            </w:r>
            <w:r w:rsidR="003C0124">
              <w:rPr>
                <w:snapToGrid/>
                <w:lang w:val="fr-FR" w:eastAsia="en-US"/>
              </w:rPr>
              <w:t>Juin</w:t>
            </w:r>
            <w:r w:rsidR="00BA7096" w:rsidRPr="00650142">
              <w:rPr>
                <w:snapToGrid/>
                <w:lang w:val="fr-FR" w:eastAsia="en-US"/>
              </w:rPr>
              <w:t xml:space="preserve"> 201</w:t>
            </w:r>
            <w:r w:rsidR="00BA7096">
              <w:rPr>
                <w:snapToGrid/>
                <w:lang w:val="fr-FR" w:eastAsia="en-US"/>
              </w:rPr>
              <w:t>7</w:t>
            </w:r>
          </w:p>
          <w:p w:rsidR="00BA7096" w:rsidRPr="00650142" w:rsidRDefault="00BA7096" w:rsidP="00866EF0">
            <w:pPr>
              <w:spacing w:line="240" w:lineRule="exact"/>
              <w:rPr>
                <w:snapToGrid/>
                <w:lang w:val="fr-FR" w:eastAsia="en-US"/>
              </w:rPr>
            </w:pPr>
          </w:p>
          <w:p w:rsidR="00BA7096" w:rsidRPr="00650142" w:rsidRDefault="00BA7096" w:rsidP="00866EF0">
            <w:pPr>
              <w:spacing w:line="240" w:lineRule="exact"/>
              <w:rPr>
                <w:snapToGrid/>
                <w:lang w:val="fr-FR" w:eastAsia="en-US"/>
              </w:rPr>
            </w:pPr>
            <w:r w:rsidRPr="00650142">
              <w:rPr>
                <w:snapToGrid/>
                <w:lang w:val="fr-FR" w:eastAsia="en-US"/>
              </w:rPr>
              <w:t xml:space="preserve">Original: français </w:t>
            </w:r>
          </w:p>
        </w:tc>
      </w:tr>
    </w:tbl>
    <w:p w:rsidR="00BA7096" w:rsidRPr="00650142" w:rsidRDefault="00BA7096" w:rsidP="00BA7096">
      <w:pPr>
        <w:spacing w:before="120"/>
        <w:rPr>
          <w:b/>
          <w:snapToGrid/>
          <w:sz w:val="28"/>
          <w:szCs w:val="28"/>
          <w:lang w:val="fr-FR" w:eastAsia="en-US"/>
        </w:rPr>
      </w:pPr>
      <w:r w:rsidRPr="00650142">
        <w:rPr>
          <w:b/>
          <w:snapToGrid/>
          <w:sz w:val="28"/>
          <w:szCs w:val="28"/>
          <w:lang w:val="fr-FR" w:eastAsia="en-US"/>
        </w:rPr>
        <w:t>Commission économique pour l’Europe</w:t>
      </w:r>
    </w:p>
    <w:p w:rsidR="00BA7096" w:rsidRPr="00650142" w:rsidRDefault="00BA7096" w:rsidP="00BA7096">
      <w:pPr>
        <w:spacing w:before="120"/>
        <w:rPr>
          <w:snapToGrid/>
          <w:sz w:val="28"/>
          <w:szCs w:val="28"/>
          <w:lang w:val="fr-FR" w:eastAsia="en-US"/>
        </w:rPr>
      </w:pPr>
      <w:r w:rsidRPr="00650142">
        <w:rPr>
          <w:snapToGrid/>
          <w:sz w:val="28"/>
          <w:szCs w:val="28"/>
          <w:lang w:val="fr-FR" w:eastAsia="en-US"/>
        </w:rPr>
        <w:t>Comité des transports intérieurs</w:t>
      </w:r>
    </w:p>
    <w:p w:rsidR="00BA7096" w:rsidRPr="00650142" w:rsidRDefault="00BA7096" w:rsidP="00BA7096">
      <w:pPr>
        <w:spacing w:before="120"/>
        <w:rPr>
          <w:b/>
          <w:snapToGrid/>
          <w:sz w:val="24"/>
          <w:szCs w:val="24"/>
          <w:lang w:val="fr-FR" w:eastAsia="en-US"/>
        </w:rPr>
      </w:pPr>
      <w:r w:rsidRPr="00650142">
        <w:rPr>
          <w:b/>
          <w:snapToGrid/>
          <w:sz w:val="24"/>
          <w:szCs w:val="24"/>
          <w:lang w:val="fr-FR" w:eastAsia="en-US"/>
        </w:rPr>
        <w:t>Groupe de travail des transports de marchandises dangereuses</w:t>
      </w:r>
    </w:p>
    <w:p w:rsidR="00BA7096" w:rsidRPr="00650142" w:rsidRDefault="00BA7096" w:rsidP="00BA7096">
      <w:pPr>
        <w:spacing w:before="120"/>
        <w:rPr>
          <w:b/>
          <w:snapToGrid/>
          <w:lang w:val="fr-FR" w:eastAsia="en-US"/>
        </w:rPr>
      </w:pPr>
      <w:r w:rsidRPr="00650142">
        <w:rPr>
          <w:b/>
          <w:snapToGrid/>
          <w:lang w:val="fr-FR" w:eastAsia="en-US"/>
        </w:rPr>
        <w:t>Réunion commune d’experts sur le Règlement annexé</w:t>
      </w:r>
      <w:r w:rsidRPr="00650142">
        <w:rPr>
          <w:b/>
          <w:snapToGrid/>
          <w:lang w:val="fr-FR" w:eastAsia="en-US"/>
        </w:rPr>
        <w:br/>
        <w:t>à l’Accord européen relatif au transport international</w:t>
      </w:r>
      <w:r w:rsidRPr="00650142">
        <w:rPr>
          <w:b/>
          <w:snapToGrid/>
          <w:lang w:val="fr-FR" w:eastAsia="en-US"/>
        </w:rPr>
        <w:br/>
        <w:t xml:space="preserve">des marchandises </w:t>
      </w:r>
      <w:r w:rsidRPr="00650142">
        <w:rPr>
          <w:b/>
          <w:bCs/>
          <w:iCs/>
          <w:snapToGrid/>
          <w:lang w:val="fr-FR" w:eastAsia="en-US"/>
        </w:rPr>
        <w:t>dangereuses par voies de navigation</w:t>
      </w:r>
      <w:r w:rsidRPr="00650142">
        <w:rPr>
          <w:b/>
          <w:bCs/>
          <w:iCs/>
          <w:snapToGrid/>
          <w:lang w:val="fr-FR" w:eastAsia="en-US"/>
        </w:rPr>
        <w:br/>
        <w:t xml:space="preserve">intérieures (ADN) </w:t>
      </w:r>
      <w:r w:rsidRPr="00650142">
        <w:rPr>
          <w:b/>
          <w:bCs/>
          <w:snapToGrid/>
          <w:lang w:val="fr-FR" w:eastAsia="en-US"/>
        </w:rPr>
        <w:t>(Comité de sécurité de l’ADN)</w:t>
      </w:r>
    </w:p>
    <w:p w:rsidR="00BA7096" w:rsidRPr="00650142" w:rsidRDefault="00BA7096" w:rsidP="00BA7096">
      <w:pPr>
        <w:spacing w:before="120"/>
        <w:rPr>
          <w:b/>
          <w:snapToGrid/>
          <w:lang w:val="fr-CH" w:eastAsia="en-US"/>
        </w:rPr>
      </w:pPr>
      <w:r w:rsidRPr="00650142">
        <w:rPr>
          <w:b/>
          <w:snapToGrid/>
          <w:lang w:val="fr-CH" w:eastAsia="en-US"/>
        </w:rPr>
        <w:t>Trent</w:t>
      </w:r>
      <w:r>
        <w:rPr>
          <w:b/>
          <w:snapToGrid/>
          <w:lang w:val="fr-CH" w:eastAsia="en-US"/>
        </w:rPr>
        <w:t>e-et-unième</w:t>
      </w:r>
      <w:r w:rsidRPr="00650142">
        <w:rPr>
          <w:b/>
          <w:snapToGrid/>
          <w:lang w:val="fr-CH" w:eastAsia="en-US"/>
        </w:rPr>
        <w:t xml:space="preserve"> session</w:t>
      </w:r>
    </w:p>
    <w:p w:rsidR="00BA7096" w:rsidRPr="00650142" w:rsidRDefault="00BA7096" w:rsidP="00BA7096">
      <w:pPr>
        <w:rPr>
          <w:snapToGrid/>
          <w:lang w:val="fr-CH" w:eastAsia="en-US"/>
        </w:rPr>
      </w:pPr>
      <w:r w:rsidRPr="00650142">
        <w:rPr>
          <w:snapToGrid/>
          <w:lang w:val="fr-CH" w:eastAsia="en-US"/>
        </w:rPr>
        <w:t>Genève, 2</w:t>
      </w:r>
      <w:r>
        <w:rPr>
          <w:snapToGrid/>
          <w:lang w:val="fr-CH" w:eastAsia="en-US"/>
        </w:rPr>
        <w:t>8</w:t>
      </w:r>
      <w:r w:rsidRPr="00650142">
        <w:rPr>
          <w:snapToGrid/>
          <w:lang w:val="fr-CH" w:eastAsia="en-US"/>
        </w:rPr>
        <w:t>-</w:t>
      </w:r>
      <w:r>
        <w:rPr>
          <w:snapToGrid/>
          <w:lang w:val="fr-CH" w:eastAsia="en-US"/>
        </w:rPr>
        <w:t>31</w:t>
      </w:r>
      <w:r w:rsidRPr="00650142">
        <w:rPr>
          <w:snapToGrid/>
          <w:lang w:val="fr-CH" w:eastAsia="en-US"/>
        </w:rPr>
        <w:t xml:space="preserve"> </w:t>
      </w:r>
      <w:r>
        <w:rPr>
          <w:snapToGrid/>
          <w:lang w:val="fr-CH" w:eastAsia="en-US"/>
        </w:rPr>
        <w:t>août</w:t>
      </w:r>
      <w:r w:rsidRPr="00650142">
        <w:rPr>
          <w:snapToGrid/>
          <w:lang w:val="fr-CH" w:eastAsia="en-US"/>
        </w:rPr>
        <w:t xml:space="preserve"> 2017</w:t>
      </w:r>
    </w:p>
    <w:p w:rsidR="00BA7096" w:rsidRPr="00650142" w:rsidRDefault="00BA7096" w:rsidP="00BA7096">
      <w:pPr>
        <w:rPr>
          <w:snapToGrid/>
          <w:lang w:val="fr-CH" w:eastAsia="en-US"/>
        </w:rPr>
      </w:pPr>
      <w:r w:rsidRPr="00650142">
        <w:rPr>
          <w:snapToGrid/>
          <w:lang w:val="fr-CH" w:eastAsia="en-US"/>
        </w:rPr>
        <w:t xml:space="preserve">Point 4 </w:t>
      </w:r>
      <w:r>
        <w:rPr>
          <w:snapToGrid/>
          <w:lang w:val="fr-CH" w:eastAsia="en-US"/>
        </w:rPr>
        <w:t>b</w:t>
      </w:r>
      <w:r w:rsidRPr="00650142">
        <w:rPr>
          <w:snapToGrid/>
          <w:lang w:val="fr-CH" w:eastAsia="en-US"/>
        </w:rPr>
        <w:t>) de l’ordre du jour provisoire</w:t>
      </w:r>
    </w:p>
    <w:p w:rsidR="00BA7096" w:rsidRPr="00650142" w:rsidRDefault="00BA7096" w:rsidP="00BA7096">
      <w:pPr>
        <w:rPr>
          <w:snapToGrid/>
          <w:lang w:val="fr-CH" w:eastAsia="en-US"/>
        </w:rPr>
      </w:pPr>
      <w:r w:rsidRPr="00650142">
        <w:rPr>
          <w:b/>
          <w:snapToGrid/>
          <w:lang w:val="fr-CH" w:eastAsia="en-US"/>
        </w:rPr>
        <w:t xml:space="preserve">Propositions d’amendements au Règlement annexé à l’ADN: </w:t>
      </w:r>
      <w:r>
        <w:rPr>
          <w:b/>
          <w:snapToGrid/>
          <w:lang w:val="fr-CH" w:eastAsia="en-US"/>
        </w:rPr>
        <w:br/>
      </w:r>
      <w:r w:rsidRPr="00650142">
        <w:rPr>
          <w:b/>
          <w:snapToGrid/>
          <w:lang w:val="fr-CH" w:eastAsia="en-US"/>
        </w:rPr>
        <w:t>autres propositions</w:t>
      </w:r>
    </w:p>
    <w:bookmarkEnd w:id="0"/>
    <w:bookmarkEnd w:id="1"/>
    <w:p w:rsidR="00B65402" w:rsidRPr="00C113D1" w:rsidRDefault="00BA7096" w:rsidP="00BA7096">
      <w:pPr>
        <w:pStyle w:val="HChG"/>
        <w:rPr>
          <w:snapToGrid/>
          <w:lang w:val="fr-FR"/>
        </w:rPr>
      </w:pPr>
      <w:r>
        <w:rPr>
          <w:snapToGrid/>
          <w:lang w:val="fr-FR"/>
        </w:rPr>
        <w:tab/>
      </w:r>
      <w:r>
        <w:rPr>
          <w:snapToGrid/>
          <w:lang w:val="fr-FR"/>
        </w:rPr>
        <w:tab/>
      </w:r>
      <w:r w:rsidR="00B65402" w:rsidRPr="00C113D1">
        <w:rPr>
          <w:snapToGrid/>
          <w:lang w:val="fr-FR"/>
        </w:rPr>
        <w:t>Dispositions concernant le retour des vapeurs aux 1.4.3.3 s), 1.4.3.7.1 j)</w:t>
      </w:r>
      <w:r w:rsidR="00E857FA">
        <w:rPr>
          <w:snapToGrid/>
          <w:lang w:val="fr-FR"/>
        </w:rPr>
        <w:t xml:space="preserve"> et</w:t>
      </w:r>
      <w:r w:rsidR="00B65402" w:rsidRPr="00C113D1">
        <w:rPr>
          <w:snapToGrid/>
          <w:lang w:val="fr-FR"/>
        </w:rPr>
        <w:t xml:space="preserve"> 8.6.3</w:t>
      </w:r>
    </w:p>
    <w:p w:rsidR="00B65402" w:rsidRPr="00C113D1" w:rsidRDefault="00B65402" w:rsidP="00BA7096">
      <w:pPr>
        <w:pStyle w:val="H1G"/>
        <w:rPr>
          <w:lang w:val="fr-FR"/>
        </w:rPr>
      </w:pPr>
      <w:r w:rsidRPr="00C113D1">
        <w:rPr>
          <w:lang w:val="fr-FR"/>
        </w:rPr>
        <w:tab/>
      </w:r>
      <w:r w:rsidRPr="00C113D1">
        <w:rPr>
          <w:lang w:val="fr-FR"/>
        </w:rPr>
        <w:tab/>
      </w:r>
      <w:r w:rsidRPr="006A0A19">
        <w:rPr>
          <w:lang w:val="fr-FR"/>
        </w:rPr>
        <w:t>Communication du Gouvernement de l’Autriche</w:t>
      </w:r>
      <w:r w:rsidR="00077976" w:rsidRPr="009F4573">
        <w:rPr>
          <w:rStyle w:val="FootnoteReference"/>
          <w:b w:val="0"/>
          <w:sz w:val="20"/>
          <w:vertAlign w:val="baseline"/>
          <w:lang w:val="fr-CH"/>
        </w:rPr>
        <w:footnoteReference w:customMarkFollows="1" w:id="2"/>
        <w:t>*</w:t>
      </w:r>
      <w:r w:rsidR="00077976" w:rsidRPr="00582C0C">
        <w:rPr>
          <w:b w:val="0"/>
          <w:sz w:val="20"/>
          <w:lang w:val="fr-FR"/>
        </w:rPr>
        <w:t xml:space="preserve">, </w:t>
      </w:r>
      <w:r w:rsidR="00077976" w:rsidRPr="00582C0C">
        <w:rPr>
          <w:rStyle w:val="FootnoteReference"/>
          <w:b w:val="0"/>
          <w:sz w:val="20"/>
          <w:vertAlign w:val="baseline"/>
          <w:lang w:val="fr-CH"/>
        </w:rPr>
        <w:footnoteReference w:customMarkFollows="1" w:id="3"/>
        <w:t>**</w:t>
      </w:r>
    </w:p>
    <w:p w:rsidR="00B65402" w:rsidRPr="00C113D1" w:rsidRDefault="00BA7096" w:rsidP="00BA7096">
      <w:pPr>
        <w:pStyle w:val="H23G"/>
        <w:rPr>
          <w:snapToGrid/>
          <w:lang w:val="fr-FR"/>
        </w:rPr>
      </w:pPr>
      <w:r>
        <w:rPr>
          <w:snapToGrid/>
          <w:lang w:val="fr-FR"/>
        </w:rPr>
        <w:tab/>
      </w:r>
      <w:r>
        <w:rPr>
          <w:snapToGrid/>
          <w:lang w:val="fr-FR"/>
        </w:rPr>
        <w:tab/>
      </w:r>
      <w:r w:rsidR="00B65402" w:rsidRPr="00C113D1">
        <w:rPr>
          <w:snapToGrid/>
          <w:lang w:val="fr-FR"/>
        </w:rPr>
        <w:t>Ad 1.4.3.3</w:t>
      </w:r>
    </w:p>
    <w:p w:rsidR="00B65402" w:rsidRPr="00C113D1" w:rsidRDefault="00B65402" w:rsidP="00BA7096">
      <w:pPr>
        <w:pStyle w:val="SingleTxtG"/>
        <w:rPr>
          <w:snapToGrid/>
          <w:lang w:val="fr-FR"/>
        </w:rPr>
      </w:pPr>
      <w:r w:rsidRPr="00C113D1">
        <w:rPr>
          <w:snapToGrid/>
          <w:lang w:val="fr-FR"/>
        </w:rPr>
        <w:t>Dans la version anglaise, le 1.2.1 comporte les définitions suivantes :</w:t>
      </w:r>
    </w:p>
    <w:p w:rsidR="00B65402" w:rsidRPr="00077C76" w:rsidRDefault="00B65402" w:rsidP="00BA7096">
      <w:pPr>
        <w:pStyle w:val="SingleTxtG"/>
        <w:rPr>
          <w:snapToGrid/>
          <w:lang w:val="en-US"/>
        </w:rPr>
      </w:pPr>
      <w:r w:rsidRPr="00077C76">
        <w:rPr>
          <w:i/>
          <w:snapToGrid/>
          <w:lang w:val="en-US"/>
        </w:rPr>
        <w:t>“Vapour return piping (on shore)</w:t>
      </w:r>
      <w:r w:rsidRPr="00077C76">
        <w:rPr>
          <w:snapToGrid/>
          <w:lang w:val="en-US"/>
        </w:rPr>
        <w:t xml:space="preserve"> means a pipe of the shore facility which is connected during loading or unloading to the vessel’s venting piping. This pipe is designed so as to protect the vessel against detonations or the passage of flames from the shore side;”</w:t>
      </w:r>
    </w:p>
    <w:p w:rsidR="00B65402" w:rsidRPr="00077C76" w:rsidRDefault="00B65402" w:rsidP="00BA7096">
      <w:pPr>
        <w:pStyle w:val="SingleTxtG"/>
        <w:rPr>
          <w:snapToGrid/>
          <w:lang w:val="en-US"/>
        </w:rPr>
      </w:pPr>
      <w:r w:rsidRPr="00077C76">
        <w:rPr>
          <w:snapToGrid/>
          <w:lang w:val="en-US"/>
        </w:rPr>
        <w:t>“</w:t>
      </w:r>
      <w:r w:rsidRPr="00077C76">
        <w:rPr>
          <w:i/>
          <w:snapToGrid/>
          <w:lang w:val="en-US"/>
        </w:rPr>
        <w:t>Venting piping (on board)</w:t>
      </w:r>
      <w:r w:rsidRPr="00077C76">
        <w:rPr>
          <w:snapToGrid/>
          <w:lang w:val="en-US"/>
        </w:rPr>
        <w:t xml:space="preserve"> means a pipe of the vessel’s installation connecting one or more cargo tanks to the vapour return piping during loading or unloading. This pipe is fitted with safety valves protecting the cargo tank(s) against unacceptable internal overpressure or vacuums;”</w:t>
      </w:r>
    </w:p>
    <w:p w:rsidR="00B65402" w:rsidRPr="00C113D1" w:rsidRDefault="00B65402" w:rsidP="00BA7096">
      <w:pPr>
        <w:pStyle w:val="SingleTxtG"/>
        <w:rPr>
          <w:snapToGrid/>
          <w:lang w:val="fr-FR"/>
        </w:rPr>
      </w:pPr>
      <w:r w:rsidRPr="00C113D1">
        <w:rPr>
          <w:snapToGrid/>
          <w:lang w:val="fr-FR"/>
        </w:rPr>
        <w:t>Dans la version anglaise, le 1.4.3.3 (s) prévoit l'obligation suivante pour le remplisseur :</w:t>
      </w:r>
    </w:p>
    <w:p w:rsidR="00B65402" w:rsidRPr="00077C76" w:rsidRDefault="00B65402" w:rsidP="00BA7096">
      <w:pPr>
        <w:pStyle w:val="SingleTxtG"/>
        <w:rPr>
          <w:snapToGrid/>
          <w:lang w:val="en-US"/>
        </w:rPr>
      </w:pPr>
      <w:r w:rsidRPr="00077C76">
        <w:rPr>
          <w:snapToGrid/>
          <w:lang w:val="en-US"/>
        </w:rPr>
        <w:lastRenderedPageBreak/>
        <w:t>“He shall ascertain that the loading flows conform to the loading and unloading instructions referred to in 9.3.2.25.9 or 9.3.3.25.9 and that the pressure at the crossing-point of the gas discharge pipe or the compensation pipe is not greater than the opening pressure of the high velocity vent valve;”</w:t>
      </w:r>
    </w:p>
    <w:p w:rsidR="00B65402" w:rsidRPr="00C113D1" w:rsidRDefault="00BA7096" w:rsidP="00BA7096">
      <w:pPr>
        <w:pStyle w:val="SingleTxtG"/>
        <w:rPr>
          <w:snapToGrid/>
          <w:lang w:val="fr-FR"/>
        </w:rPr>
      </w:pPr>
      <w:r>
        <w:rPr>
          <w:snapToGrid/>
          <w:lang w:val="fr-FR"/>
        </w:rPr>
        <w:t>Les termes «gas discharge pipe</w:t>
      </w:r>
      <w:r w:rsidR="009F4573">
        <w:rPr>
          <w:snapToGrid/>
          <w:lang w:val="fr-FR"/>
        </w:rPr>
        <w:t>» et «compensation pipe</w:t>
      </w:r>
      <w:r w:rsidR="00B65402" w:rsidRPr="00C113D1">
        <w:rPr>
          <w:snapToGrid/>
          <w:lang w:val="fr-FR"/>
        </w:rPr>
        <w:t>» utilisés dans la version anglaise ne sont pas définis.</w:t>
      </w:r>
      <w:r w:rsidR="009F4573">
        <w:rPr>
          <w:snapToGrid/>
          <w:lang w:val="fr-FR"/>
        </w:rPr>
        <w:t xml:space="preserve"> Dans les</w:t>
      </w:r>
      <w:r w:rsidR="00B65402" w:rsidRPr="00C113D1">
        <w:rPr>
          <w:snapToGrid/>
          <w:lang w:val="fr-FR"/>
        </w:rPr>
        <w:t xml:space="preserve"> version</w:t>
      </w:r>
      <w:r w:rsidR="009F4573">
        <w:rPr>
          <w:snapToGrid/>
          <w:lang w:val="fr-FR"/>
        </w:rPr>
        <w:t>s</w:t>
      </w:r>
      <w:r w:rsidR="00B65402" w:rsidRPr="00C113D1">
        <w:rPr>
          <w:snapToGrid/>
          <w:lang w:val="fr-FR"/>
        </w:rPr>
        <w:t xml:space="preserve"> allemande</w:t>
      </w:r>
      <w:r w:rsidR="009F4573">
        <w:rPr>
          <w:snapToGrid/>
          <w:lang w:val="fr-FR"/>
        </w:rPr>
        <w:t xml:space="preserve"> et française</w:t>
      </w:r>
      <w:r w:rsidR="00B65402" w:rsidRPr="00C113D1">
        <w:rPr>
          <w:snapToGrid/>
          <w:lang w:val="fr-FR"/>
        </w:rPr>
        <w:t xml:space="preserve"> sont utilisés les termes définis au 1.2.1.</w:t>
      </w:r>
    </w:p>
    <w:p w:rsidR="00B65402" w:rsidRPr="00C113D1" w:rsidRDefault="00B65402" w:rsidP="00BA7096">
      <w:pPr>
        <w:pStyle w:val="SingleTxtG"/>
        <w:rPr>
          <w:b/>
          <w:snapToGrid/>
          <w:lang w:val="fr-FR"/>
        </w:rPr>
      </w:pPr>
      <w:r w:rsidRPr="00C113D1">
        <w:rPr>
          <w:b/>
          <w:snapToGrid/>
          <w:lang w:val="fr-FR"/>
        </w:rPr>
        <w:t>Proposition d'amendement 1 :</w:t>
      </w:r>
    </w:p>
    <w:p w:rsidR="00B65402" w:rsidRPr="00C113D1" w:rsidRDefault="00B65402" w:rsidP="00BA7096">
      <w:pPr>
        <w:pStyle w:val="SingleTxtG"/>
        <w:rPr>
          <w:snapToGrid/>
          <w:lang w:val="fr-FR"/>
        </w:rPr>
      </w:pPr>
      <w:r w:rsidRPr="00C113D1">
        <w:rPr>
          <w:snapToGrid/>
          <w:lang w:val="fr-FR"/>
        </w:rPr>
        <w:t>Dans la version anglaise du</w:t>
      </w:r>
      <w:r w:rsidR="00BA7096">
        <w:rPr>
          <w:snapToGrid/>
          <w:lang w:val="fr-FR"/>
        </w:rPr>
        <w:t xml:space="preserve"> 1.4.3.3 (s), remplacement de «</w:t>
      </w:r>
      <w:r w:rsidRPr="00C113D1">
        <w:rPr>
          <w:snapToGrid/>
          <w:lang w:val="fr-FR"/>
        </w:rPr>
        <w:t>gas discharge pipe o</w:t>
      </w:r>
      <w:r w:rsidR="00BA7096">
        <w:rPr>
          <w:snapToGrid/>
          <w:lang w:val="fr-FR"/>
        </w:rPr>
        <w:t>r the compensation pipe» par «</w:t>
      </w:r>
      <w:r w:rsidRPr="00C113D1">
        <w:rPr>
          <w:snapToGrid/>
          <w:lang w:val="fr-FR"/>
        </w:rPr>
        <w:t>vapour return piping or venting pipin</w:t>
      </w:r>
      <w:r w:rsidR="00BA7096">
        <w:rPr>
          <w:snapToGrid/>
          <w:lang w:val="fr-FR"/>
        </w:rPr>
        <w:t>g</w:t>
      </w:r>
      <w:r w:rsidRPr="00C113D1">
        <w:rPr>
          <w:snapToGrid/>
          <w:lang w:val="fr-FR"/>
        </w:rPr>
        <w:t>».</w:t>
      </w:r>
    </w:p>
    <w:p w:rsidR="00B65402" w:rsidRPr="00C113D1" w:rsidRDefault="00BA7096" w:rsidP="00BA7096">
      <w:pPr>
        <w:pStyle w:val="H23G"/>
        <w:rPr>
          <w:snapToGrid/>
          <w:lang w:val="fr-FR"/>
        </w:rPr>
      </w:pPr>
      <w:r>
        <w:rPr>
          <w:snapToGrid/>
          <w:lang w:val="fr-FR"/>
        </w:rPr>
        <w:tab/>
      </w:r>
      <w:r>
        <w:rPr>
          <w:snapToGrid/>
          <w:lang w:val="fr-FR"/>
        </w:rPr>
        <w:tab/>
      </w:r>
      <w:r w:rsidR="00B65402" w:rsidRPr="00C113D1">
        <w:rPr>
          <w:snapToGrid/>
          <w:lang w:val="fr-FR"/>
        </w:rPr>
        <w:t>Ad 1.4.3.7.1</w:t>
      </w:r>
    </w:p>
    <w:p w:rsidR="00B65402" w:rsidRPr="00C113D1" w:rsidRDefault="00B65402" w:rsidP="00BA7096">
      <w:pPr>
        <w:pStyle w:val="SingleTxtG"/>
        <w:rPr>
          <w:snapToGrid/>
          <w:lang w:val="fr-FR"/>
        </w:rPr>
      </w:pPr>
      <w:r w:rsidRPr="00C113D1">
        <w:rPr>
          <w:snapToGrid/>
          <w:lang w:val="fr-FR"/>
        </w:rPr>
        <w:t>La version anglaise du 1.4.3.7.1 (j) prévoit l'obligation suivante pour le déchargeur :</w:t>
      </w:r>
    </w:p>
    <w:p w:rsidR="00B65402" w:rsidRPr="00077C76" w:rsidRDefault="00B65402" w:rsidP="00BA7096">
      <w:pPr>
        <w:pStyle w:val="SingleTxtG"/>
        <w:rPr>
          <w:snapToGrid/>
          <w:lang w:val="en-US"/>
        </w:rPr>
      </w:pPr>
      <w:r w:rsidRPr="00077C76">
        <w:rPr>
          <w:snapToGrid/>
          <w:lang w:val="en-US"/>
        </w:rPr>
        <w:t>“Ascertain that the unloading flows conform to the instructions on loading and unloading flows referred to in 9.3.2.25.9 or 9.3.3.25.9 and that the pressure at the connecting-point of the gas discharge pipe or the gas return pipe does not exceed the opening pressure of the high velocity vent valve;”</w:t>
      </w:r>
    </w:p>
    <w:p w:rsidR="00B65402" w:rsidRPr="00C113D1" w:rsidRDefault="00BA7096" w:rsidP="00BA7096">
      <w:pPr>
        <w:pStyle w:val="SingleTxtG"/>
        <w:rPr>
          <w:snapToGrid/>
          <w:lang w:val="fr-FR"/>
        </w:rPr>
      </w:pPr>
      <w:r>
        <w:rPr>
          <w:snapToGrid/>
          <w:lang w:val="fr-FR"/>
        </w:rPr>
        <w:t>Les termes «gas discharge pipe</w:t>
      </w:r>
      <w:r w:rsidR="00582C0C">
        <w:rPr>
          <w:snapToGrid/>
          <w:lang w:val="fr-FR"/>
        </w:rPr>
        <w:t>» et «gas return pipe</w:t>
      </w:r>
      <w:r w:rsidR="00B65402" w:rsidRPr="00C113D1">
        <w:rPr>
          <w:snapToGrid/>
          <w:lang w:val="fr-FR"/>
        </w:rPr>
        <w:t>» utilisés dans la version angla</w:t>
      </w:r>
      <w:r w:rsidR="009F4573">
        <w:rPr>
          <w:snapToGrid/>
          <w:lang w:val="fr-FR"/>
        </w:rPr>
        <w:t>ise ne sont pas définis. Dans les</w:t>
      </w:r>
      <w:r w:rsidR="00B65402" w:rsidRPr="00C113D1">
        <w:rPr>
          <w:snapToGrid/>
          <w:lang w:val="fr-FR"/>
        </w:rPr>
        <w:t xml:space="preserve"> version</w:t>
      </w:r>
      <w:r w:rsidR="009F4573">
        <w:rPr>
          <w:snapToGrid/>
          <w:lang w:val="fr-FR"/>
        </w:rPr>
        <w:t>s</w:t>
      </w:r>
      <w:r w:rsidR="00B65402" w:rsidRPr="00C113D1">
        <w:rPr>
          <w:snapToGrid/>
          <w:lang w:val="fr-FR"/>
        </w:rPr>
        <w:t xml:space="preserve"> allemande</w:t>
      </w:r>
      <w:r w:rsidR="009F4573">
        <w:rPr>
          <w:snapToGrid/>
          <w:lang w:val="fr-FR"/>
        </w:rPr>
        <w:t xml:space="preserve"> et française</w:t>
      </w:r>
      <w:r w:rsidR="00B65402" w:rsidRPr="00C113D1">
        <w:rPr>
          <w:snapToGrid/>
          <w:lang w:val="fr-FR"/>
        </w:rPr>
        <w:t xml:space="preserve"> sont utilisés les termes définis au 1.2.1.</w:t>
      </w:r>
    </w:p>
    <w:p w:rsidR="00B65402" w:rsidRPr="00C113D1" w:rsidRDefault="00B65402" w:rsidP="00BA7096">
      <w:pPr>
        <w:pStyle w:val="SingleTxtG"/>
        <w:rPr>
          <w:b/>
          <w:snapToGrid/>
          <w:lang w:val="fr-FR"/>
        </w:rPr>
      </w:pPr>
      <w:r w:rsidRPr="00C113D1">
        <w:rPr>
          <w:b/>
          <w:snapToGrid/>
          <w:lang w:val="fr-FR"/>
        </w:rPr>
        <w:t>Proposition d'amendement 2 :</w:t>
      </w:r>
    </w:p>
    <w:p w:rsidR="00B65402" w:rsidRPr="00C113D1" w:rsidRDefault="00B65402" w:rsidP="00BA7096">
      <w:pPr>
        <w:pStyle w:val="SingleTxtG"/>
        <w:rPr>
          <w:snapToGrid/>
          <w:lang w:val="fr-FR"/>
        </w:rPr>
      </w:pPr>
      <w:r w:rsidRPr="00C113D1">
        <w:rPr>
          <w:snapToGrid/>
          <w:lang w:val="fr-FR"/>
        </w:rPr>
        <w:t>Dans la version anglaise du 1</w:t>
      </w:r>
      <w:r w:rsidR="00BA7096">
        <w:rPr>
          <w:snapToGrid/>
          <w:lang w:val="fr-FR"/>
        </w:rPr>
        <w:t>.4.3.7.1 (j), remplacement de «</w:t>
      </w:r>
      <w:r w:rsidRPr="00C113D1">
        <w:rPr>
          <w:snapToGrid/>
          <w:lang w:val="fr-FR"/>
        </w:rPr>
        <w:t>gas di</w:t>
      </w:r>
      <w:r w:rsidR="00BA7096">
        <w:rPr>
          <w:snapToGrid/>
          <w:lang w:val="fr-FR"/>
        </w:rPr>
        <w:t>scharge pipe or gas return pipe» par «</w:t>
      </w:r>
      <w:r w:rsidRPr="00C113D1">
        <w:rPr>
          <w:snapToGrid/>
          <w:lang w:val="fr-FR"/>
        </w:rPr>
        <w:t>vapour return piping or venting pipi</w:t>
      </w:r>
      <w:r w:rsidR="00BA7096">
        <w:rPr>
          <w:snapToGrid/>
          <w:lang w:val="fr-FR"/>
        </w:rPr>
        <w:t>ng</w:t>
      </w:r>
      <w:r w:rsidRPr="00C113D1">
        <w:rPr>
          <w:snapToGrid/>
          <w:lang w:val="fr-FR"/>
        </w:rPr>
        <w:t>».</w:t>
      </w:r>
    </w:p>
    <w:p w:rsidR="00B65402" w:rsidRPr="00C113D1" w:rsidRDefault="00B65402" w:rsidP="00BA7096">
      <w:pPr>
        <w:pStyle w:val="SingleTxtG"/>
        <w:rPr>
          <w:snapToGrid/>
          <w:lang w:val="fr-FR"/>
        </w:rPr>
      </w:pPr>
      <w:r w:rsidRPr="00C113D1">
        <w:rPr>
          <w:snapToGrid/>
          <w:lang w:val="fr-FR"/>
        </w:rPr>
        <w:t>Conformément au 1.4.3.7.1 i) et j), le déchargeur doit s'assurer que dans la conduite de retour de gaz, lorsqu’elle est prescrite au 7.2.4.25.5, il y ait un coupe-flammes protégeant le bateau contre les détonations et les passages de flammes provenant du côté terre et doit s'assurer que les débits de chargement sont conformes aux instructions de chargement visées au 9.3.2.25.9 ou 9.3.3.25.9 et que la pression au point de passage de la conduite de retour ou d’évacuation des gaz n’est pas supérieure à la pression d’ouverture de la soupape de dégagement à grande vitesse.</w:t>
      </w:r>
    </w:p>
    <w:p w:rsidR="00B65402" w:rsidRPr="00C113D1" w:rsidRDefault="00BA7096" w:rsidP="00BA7096">
      <w:pPr>
        <w:pStyle w:val="H23G"/>
        <w:rPr>
          <w:snapToGrid/>
          <w:lang w:val="fr-FR"/>
        </w:rPr>
      </w:pPr>
      <w:r>
        <w:rPr>
          <w:snapToGrid/>
          <w:lang w:val="fr-FR"/>
        </w:rPr>
        <w:tab/>
      </w:r>
      <w:r>
        <w:rPr>
          <w:snapToGrid/>
          <w:lang w:val="fr-FR"/>
        </w:rPr>
        <w:tab/>
      </w:r>
      <w:r w:rsidR="00B65402" w:rsidRPr="00C113D1">
        <w:rPr>
          <w:snapToGrid/>
          <w:lang w:val="fr-FR"/>
        </w:rPr>
        <w:t>Ad 8.6.3</w:t>
      </w:r>
    </w:p>
    <w:p w:rsidR="00B65402" w:rsidRPr="00C113D1" w:rsidRDefault="00B65402" w:rsidP="00BA7096">
      <w:pPr>
        <w:pStyle w:val="SingleTxtG"/>
        <w:rPr>
          <w:snapToGrid/>
          <w:lang w:val="fr-FR"/>
        </w:rPr>
      </w:pPr>
      <w:r w:rsidRPr="00C113D1">
        <w:rPr>
          <w:snapToGrid/>
          <w:lang w:val="fr-FR"/>
        </w:rPr>
        <w:t>La question 12.1 dans la liste de contrôle du 8.6.3 est rédigée comme suit :</w:t>
      </w:r>
    </w:p>
    <w:p w:rsidR="00B65402" w:rsidRPr="00C113D1" w:rsidRDefault="00BA7096" w:rsidP="00BA7096">
      <w:pPr>
        <w:pStyle w:val="SingleTxtG"/>
        <w:rPr>
          <w:snapToGrid/>
          <w:lang w:val="fr-FR"/>
        </w:rPr>
      </w:pPr>
      <w:r>
        <w:rPr>
          <w:snapToGrid/>
          <w:lang w:val="fr-FR"/>
        </w:rPr>
        <w:t>«</w:t>
      </w:r>
      <w:r w:rsidR="00B65402" w:rsidRPr="00C113D1">
        <w:rPr>
          <w:snapToGrid/>
          <w:lang w:val="fr-FR"/>
        </w:rPr>
        <w:t>Pour le chargement du bateau, la conduite d’évacuation de gaz est-elle reliée à la conduite de retour de gaz (si nécessaire ou s’il existe) ?</w:t>
      </w:r>
      <w:r w:rsidR="006A0A19">
        <w:rPr>
          <w:snapToGrid/>
          <w:lang w:val="fr-FR"/>
        </w:rPr>
        <w:t>».</w:t>
      </w:r>
    </w:p>
    <w:p w:rsidR="00B65402" w:rsidRPr="00C113D1" w:rsidRDefault="00B65402" w:rsidP="00BA7096">
      <w:pPr>
        <w:pStyle w:val="SingleTxtG"/>
        <w:rPr>
          <w:snapToGrid/>
          <w:lang w:val="fr-FR"/>
        </w:rPr>
      </w:pPr>
      <w:r w:rsidRPr="00C113D1">
        <w:rPr>
          <w:snapToGrid/>
          <w:lang w:val="fr-FR"/>
        </w:rPr>
        <w:t>Il n'existe aucune question concernant la connexion des conduites lors du déchargement. Cela est en contradiction avec les obligations du déchargeur.</w:t>
      </w:r>
    </w:p>
    <w:p w:rsidR="00B65402" w:rsidRPr="00C113D1" w:rsidRDefault="00B65402" w:rsidP="00BA7096">
      <w:pPr>
        <w:pStyle w:val="SingleTxtG"/>
        <w:rPr>
          <w:b/>
          <w:snapToGrid/>
          <w:lang w:val="fr-FR"/>
        </w:rPr>
      </w:pPr>
      <w:r w:rsidRPr="00C113D1">
        <w:rPr>
          <w:b/>
          <w:snapToGrid/>
          <w:lang w:val="fr-FR"/>
        </w:rPr>
        <w:t>Proposition d'amendement 3 :</w:t>
      </w:r>
    </w:p>
    <w:p w:rsidR="00B65402" w:rsidRPr="00C113D1" w:rsidRDefault="00B65402" w:rsidP="00BA7096">
      <w:pPr>
        <w:pStyle w:val="SingleTxtG"/>
        <w:rPr>
          <w:snapToGrid/>
          <w:lang w:val="fr-FR"/>
        </w:rPr>
      </w:pPr>
      <w:r w:rsidRPr="00C113D1">
        <w:rPr>
          <w:snapToGrid/>
          <w:lang w:val="fr-FR"/>
        </w:rPr>
        <w:t>Suppression d</w:t>
      </w:r>
      <w:r w:rsidR="00BA7096">
        <w:rPr>
          <w:snapToGrid/>
          <w:lang w:val="fr-FR"/>
        </w:rPr>
        <w:t>e «Pour le chargement du bateau</w:t>
      </w:r>
      <w:r w:rsidRPr="00C113D1">
        <w:rPr>
          <w:snapToGrid/>
          <w:lang w:val="fr-FR"/>
        </w:rPr>
        <w:t>» dans la question 12.1 de la liste de contrôle du 8.6.3.</w:t>
      </w:r>
    </w:p>
    <w:p w:rsidR="00B65402" w:rsidRPr="00C113D1" w:rsidRDefault="00B65402" w:rsidP="00BA7096">
      <w:pPr>
        <w:pStyle w:val="SingleTxtG"/>
        <w:rPr>
          <w:snapToGrid/>
          <w:lang w:val="fr-FR"/>
        </w:rPr>
      </w:pPr>
      <w:r w:rsidRPr="00C113D1">
        <w:rPr>
          <w:snapToGrid/>
          <w:lang w:val="fr-FR"/>
        </w:rPr>
        <w:t>Suppression de la note de bas de page concernant la question 12.2 de la liste de contrôle.</w:t>
      </w:r>
    </w:p>
    <w:p w:rsidR="00B65402" w:rsidRPr="00BA7096" w:rsidRDefault="00B65402" w:rsidP="00BA7096">
      <w:pPr>
        <w:pStyle w:val="SingleTxtG"/>
        <w:rPr>
          <w:b/>
          <w:snapToGrid/>
          <w:lang w:val="fr-FR"/>
        </w:rPr>
      </w:pPr>
      <w:r w:rsidRPr="00C113D1">
        <w:rPr>
          <w:b/>
          <w:snapToGrid/>
          <w:lang w:val="fr-FR"/>
        </w:rPr>
        <w:t>1.2.</w:t>
      </w:r>
      <w:r w:rsidRPr="00BA7096">
        <w:rPr>
          <w:b/>
          <w:snapToGrid/>
          <w:lang w:val="fr-FR"/>
        </w:rPr>
        <w:t xml:space="preserve">1 </w:t>
      </w:r>
      <w:r w:rsidR="00BA7096" w:rsidRPr="00BA7096">
        <w:rPr>
          <w:b/>
          <w:snapToGrid/>
          <w:lang w:val="fr-FR"/>
        </w:rPr>
        <w:t>«</w:t>
      </w:r>
      <w:r w:rsidRPr="00BA7096">
        <w:rPr>
          <w:b/>
          <w:snapToGrid/>
          <w:lang w:val="fr-FR"/>
        </w:rPr>
        <w:t>Déchargeur</w:t>
      </w:r>
      <w:r w:rsidR="00BA7096" w:rsidRPr="00BA7096">
        <w:rPr>
          <w:b/>
          <w:snapToGrid/>
          <w:lang w:val="fr-FR"/>
        </w:rPr>
        <w:t>»</w:t>
      </w:r>
    </w:p>
    <w:p w:rsidR="00B65402" w:rsidRPr="00C113D1" w:rsidRDefault="00B65402" w:rsidP="00BA7096">
      <w:pPr>
        <w:pStyle w:val="SingleTxtG"/>
        <w:rPr>
          <w:snapToGrid/>
          <w:lang w:val="fr-FR"/>
        </w:rPr>
      </w:pPr>
      <w:r w:rsidRPr="00C113D1">
        <w:rPr>
          <w:snapToGrid/>
          <w:lang w:val="fr-FR"/>
        </w:rPr>
        <w:t>En outre, le Comité de sécurité pourrait vérifier si</w:t>
      </w:r>
      <w:r w:rsidR="00BA7096">
        <w:rPr>
          <w:snapToGrid/>
          <w:lang w:val="fr-FR"/>
        </w:rPr>
        <w:t xml:space="preserve"> la définition du «déchargeur</w:t>
      </w:r>
      <w:r w:rsidRPr="00C113D1">
        <w:rPr>
          <w:snapToGrid/>
          <w:lang w:val="fr-FR"/>
        </w:rPr>
        <w:t>» au 1.2.1 est su</w:t>
      </w:r>
      <w:r w:rsidR="009F4573">
        <w:rPr>
          <w:snapToGrid/>
          <w:lang w:val="fr-FR"/>
        </w:rPr>
        <w:t>ffisamment claire</w:t>
      </w:r>
      <w:r w:rsidRPr="00C113D1">
        <w:rPr>
          <w:snapToGrid/>
          <w:lang w:val="fr-FR"/>
        </w:rPr>
        <w:t>:</w:t>
      </w:r>
    </w:p>
    <w:p w:rsidR="00B65402" w:rsidRPr="00C113D1" w:rsidRDefault="00BA7096" w:rsidP="00BA7096">
      <w:pPr>
        <w:pStyle w:val="SingleTxtG"/>
        <w:rPr>
          <w:snapToGrid/>
          <w:lang w:val="fr-FR"/>
        </w:rPr>
      </w:pPr>
      <w:r>
        <w:rPr>
          <w:snapToGrid/>
          <w:lang w:val="fr-FR"/>
        </w:rPr>
        <w:lastRenderedPageBreak/>
        <w:t>«</w:t>
      </w:r>
      <w:r w:rsidR="00B65402" w:rsidRPr="00C113D1">
        <w:rPr>
          <w:snapToGrid/>
          <w:lang w:val="fr-FR"/>
        </w:rPr>
        <w:t>Déchargeur:</w:t>
      </w:r>
    </w:p>
    <w:p w:rsidR="00B65402" w:rsidRPr="00C113D1" w:rsidRDefault="00B65402" w:rsidP="00BA7096">
      <w:pPr>
        <w:pStyle w:val="SingleTxtG"/>
        <w:rPr>
          <w:snapToGrid/>
          <w:lang w:val="fr-FR"/>
        </w:rPr>
      </w:pPr>
      <w:r w:rsidRPr="00C113D1">
        <w:rPr>
          <w:snapToGrid/>
          <w:lang w:val="fr-FR"/>
        </w:rPr>
        <w:t>l’entreprise qui:</w:t>
      </w:r>
    </w:p>
    <w:p w:rsidR="00B65402" w:rsidRPr="00C113D1" w:rsidRDefault="009F4573" w:rsidP="00BA7096">
      <w:pPr>
        <w:pStyle w:val="SingleTxtG"/>
        <w:ind w:firstLine="567"/>
        <w:rPr>
          <w:snapToGrid/>
          <w:lang w:val="fr-FR"/>
        </w:rPr>
      </w:pPr>
      <w:r>
        <w:rPr>
          <w:snapToGrid/>
          <w:lang w:val="fr-FR"/>
        </w:rPr>
        <w:t>a)</w:t>
      </w:r>
      <w:r w:rsidR="00B65402" w:rsidRPr="00C113D1">
        <w:rPr>
          <w:snapToGrid/>
          <w:lang w:val="fr-FR"/>
        </w:rPr>
        <w:tab/>
        <w:t>enlève un conteneur, un conteneur pour vrac, un CGEM, un conteneur-citerne ou une citerne mobile d’un moyen de transport; ou</w:t>
      </w:r>
    </w:p>
    <w:p w:rsidR="00B65402" w:rsidRPr="00C113D1" w:rsidRDefault="00B65402" w:rsidP="00BA7096">
      <w:pPr>
        <w:pStyle w:val="SingleTxtG"/>
        <w:ind w:firstLine="567"/>
        <w:rPr>
          <w:snapToGrid/>
          <w:lang w:val="fr-FR"/>
        </w:rPr>
      </w:pPr>
      <w:r w:rsidRPr="00C113D1">
        <w:rPr>
          <w:snapToGrid/>
          <w:lang w:val="fr-FR"/>
        </w:rPr>
        <w:t>b)</w:t>
      </w:r>
      <w:r w:rsidRPr="00C113D1">
        <w:rPr>
          <w:snapToGrid/>
          <w:lang w:val="fr-FR"/>
        </w:rPr>
        <w:tab/>
        <w:t>décharge des marchandises dangereuses emballées, des petits conteneurs ou des citernes mobiles d’un moyen de transport ou d’un conteneur; ou</w:t>
      </w:r>
    </w:p>
    <w:p w:rsidR="00B65402" w:rsidRPr="00C113D1" w:rsidRDefault="009F4573" w:rsidP="00BA7096">
      <w:pPr>
        <w:pStyle w:val="SingleTxtG"/>
        <w:ind w:firstLine="567"/>
        <w:rPr>
          <w:snapToGrid/>
          <w:lang w:val="fr-FR"/>
        </w:rPr>
      </w:pPr>
      <w:r>
        <w:rPr>
          <w:snapToGrid/>
          <w:lang w:val="fr-FR"/>
        </w:rPr>
        <w:t>c)</w:t>
      </w:r>
      <w:r w:rsidR="00B65402" w:rsidRPr="00C113D1">
        <w:rPr>
          <w:snapToGrid/>
          <w:lang w:val="fr-FR"/>
        </w:rPr>
        <w:tab/>
        <w:t>décharge des marchandises dangereuses d’une citerne à cargaison, un véhicule-citerne, une citerne amovible, une citerne démontable, une citerne mobile ou un conteneur citerne; ou d’un wagon-batterie, un véhicule-batterie, une MEMU ou un CGEM; ou d’un moyen de transport pour le transport en vrac; ou d’un grand conteneur ou d’un petit conteneur pour le transport en vrac ou d’un conteneur pour vrac; ou</w:t>
      </w:r>
    </w:p>
    <w:p w:rsidR="00B65402" w:rsidRPr="00C113D1" w:rsidRDefault="006946C8" w:rsidP="00BA7096">
      <w:pPr>
        <w:pStyle w:val="SingleTxtG"/>
        <w:ind w:firstLine="567"/>
        <w:rPr>
          <w:snapToGrid/>
          <w:lang w:val="fr-FR"/>
        </w:rPr>
      </w:pPr>
      <w:r>
        <w:rPr>
          <w:snapToGrid/>
          <w:lang w:val="fr-FR"/>
        </w:rPr>
        <w:t>d)</w:t>
      </w:r>
      <w:bookmarkStart w:id="2" w:name="_GoBack"/>
      <w:bookmarkEnd w:id="2"/>
      <w:r w:rsidR="00B65402" w:rsidRPr="00C113D1">
        <w:rPr>
          <w:snapToGrid/>
          <w:lang w:val="fr-FR"/>
        </w:rPr>
        <w:tab/>
        <w:t>enlève un vé</w:t>
      </w:r>
      <w:r w:rsidR="00BA7096">
        <w:rPr>
          <w:snapToGrid/>
          <w:lang w:val="fr-FR"/>
        </w:rPr>
        <w:t>hicule ou un wagon d'un bateau;</w:t>
      </w:r>
      <w:r w:rsidR="00B65402" w:rsidRPr="00C113D1">
        <w:rPr>
          <w:snapToGrid/>
          <w:lang w:val="fr-FR"/>
        </w:rPr>
        <w:t>».</w:t>
      </w:r>
    </w:p>
    <w:p w:rsidR="00B65402" w:rsidRPr="00C113D1" w:rsidRDefault="00B65402" w:rsidP="00BA7096">
      <w:pPr>
        <w:pStyle w:val="SingleTxtG"/>
        <w:rPr>
          <w:snapToGrid/>
          <w:lang w:val="fr-FR"/>
        </w:rPr>
      </w:pPr>
      <w:r w:rsidRPr="00C113D1">
        <w:rPr>
          <w:snapToGrid/>
          <w:lang w:val="fr-FR"/>
        </w:rPr>
        <w:t>Qui est le déchargeur lorsque les pompes du bateau sont utilisées pour décharger la cargaison présente dans la citerne à cargaison du bateau ? S'agit-il du transporteur, qui décharge concrètement les marchandises dangereuses, ou s'agit-il de la partie à terre, qui ne fait que réc</w:t>
      </w:r>
      <w:r w:rsidR="009F4573">
        <w:rPr>
          <w:snapToGrid/>
          <w:lang w:val="fr-FR"/>
        </w:rPr>
        <w:t>eptionner lesdites marchandises</w:t>
      </w:r>
      <w:r w:rsidRPr="00C113D1">
        <w:rPr>
          <w:snapToGrid/>
          <w:lang w:val="fr-FR"/>
        </w:rPr>
        <w:t>?</w:t>
      </w:r>
    </w:p>
    <w:p w:rsidR="00B65402" w:rsidRPr="00C113D1" w:rsidRDefault="00B65402" w:rsidP="00BA7096">
      <w:pPr>
        <w:pStyle w:val="SingleTxtG"/>
        <w:rPr>
          <w:snapToGrid/>
          <w:lang w:val="fr-FR"/>
        </w:rPr>
      </w:pPr>
      <w:r w:rsidRPr="00C113D1">
        <w:rPr>
          <w:snapToGrid/>
          <w:lang w:val="fr-FR"/>
        </w:rPr>
        <w:t xml:space="preserve">Si la partie à terre est considérée comme étant le déchargeur, conformément à </w:t>
      </w:r>
      <w:r w:rsidR="00BA7096">
        <w:rPr>
          <w:snapToGrid/>
          <w:lang w:val="fr-FR"/>
        </w:rPr>
        <w:t>la définition de «déchargement</w:t>
      </w:r>
      <w:r w:rsidRPr="00C113D1">
        <w:rPr>
          <w:snapToGrid/>
          <w:lang w:val="fr-FR"/>
        </w:rPr>
        <w:t>» (Déchargement: toutes les actions effectuées par le déchargeur conformément à la définition de déchargeur), toutes les actions effectuées par le transporteur pendant le déchargement ne relèvent p</w:t>
      </w:r>
      <w:r w:rsidR="00077C76">
        <w:rPr>
          <w:snapToGrid/>
          <w:lang w:val="fr-FR"/>
        </w:rPr>
        <w:t>as de la notion de déchargement.</w:t>
      </w:r>
    </w:p>
    <w:p w:rsidR="00B65402" w:rsidRPr="00C113D1" w:rsidRDefault="00B65402" w:rsidP="00BA7096">
      <w:pPr>
        <w:pStyle w:val="SingleTxtG"/>
        <w:rPr>
          <w:snapToGrid/>
          <w:lang w:val="fr-FR"/>
        </w:rPr>
      </w:pPr>
      <w:r w:rsidRPr="00C113D1">
        <w:rPr>
          <w:snapToGrid/>
          <w:lang w:val="fr-FR"/>
        </w:rPr>
        <w:t>Il en r</w:t>
      </w:r>
      <w:r w:rsidR="00BA7096">
        <w:rPr>
          <w:snapToGrid/>
          <w:lang w:val="fr-FR"/>
        </w:rPr>
        <w:t>ésulterait par exemple que le «</w:t>
      </w:r>
      <w:r w:rsidRPr="00C113D1">
        <w:rPr>
          <w:snapToGrid/>
          <w:lang w:val="fr-FR"/>
        </w:rPr>
        <w:t>responsa</w:t>
      </w:r>
      <w:r w:rsidR="00BA7096">
        <w:rPr>
          <w:snapToGrid/>
          <w:lang w:val="fr-FR"/>
        </w:rPr>
        <w:t>ble du déchargement d'une barge</w:t>
      </w:r>
      <w:r w:rsidRPr="00C113D1">
        <w:rPr>
          <w:snapToGrid/>
          <w:lang w:val="fr-FR"/>
        </w:rPr>
        <w:t>» au 1.6.8 ne pourrait être qu'un préposé du déchargeur.</w:t>
      </w:r>
    </w:p>
    <w:p w:rsidR="00B65402" w:rsidRDefault="00B65402" w:rsidP="00BA7096">
      <w:pPr>
        <w:pStyle w:val="SingleTxtG"/>
        <w:rPr>
          <w:snapToGrid/>
          <w:lang w:val="fr-FR"/>
        </w:rPr>
      </w:pPr>
      <w:r w:rsidRPr="00C113D1">
        <w:rPr>
          <w:snapToGrid/>
          <w:lang w:val="fr-FR"/>
        </w:rPr>
        <w:t>Le Comité de sécurité pourrait examiner la nécessité de modifier le texte ou déterminer si, par exemple, une interprétation par le Comité de sécurité pourrait s’avérer suffisante.</w:t>
      </w:r>
    </w:p>
    <w:p w:rsidR="00BA7096" w:rsidRPr="00BA7096" w:rsidRDefault="00BA7096" w:rsidP="00BA7096">
      <w:pPr>
        <w:pStyle w:val="SingleTxtG"/>
        <w:spacing w:before="240" w:after="0"/>
        <w:jc w:val="center"/>
        <w:rPr>
          <w:snapToGrid/>
          <w:u w:val="single"/>
          <w:lang w:val="fr-FR"/>
        </w:rPr>
      </w:pPr>
      <w:r>
        <w:rPr>
          <w:snapToGrid/>
          <w:u w:val="single"/>
          <w:lang w:val="fr-FR"/>
        </w:rPr>
        <w:tab/>
      </w:r>
      <w:r>
        <w:rPr>
          <w:snapToGrid/>
          <w:u w:val="single"/>
          <w:lang w:val="fr-FR"/>
        </w:rPr>
        <w:tab/>
      </w:r>
      <w:r>
        <w:rPr>
          <w:snapToGrid/>
          <w:u w:val="single"/>
          <w:lang w:val="fr-FR"/>
        </w:rPr>
        <w:tab/>
      </w:r>
    </w:p>
    <w:sectPr w:rsidR="00BA7096" w:rsidRPr="00BA7096" w:rsidSect="00BA7096">
      <w:headerReference w:type="even" r:id="rId9"/>
      <w:headerReference w:type="default" r:id="rId10"/>
      <w:footerReference w:type="even" r:id="rId11"/>
      <w:footerReference w:type="default" r:id="rId12"/>
      <w:pgSz w:w="11907" w:h="16839"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600" w:rsidRDefault="002A4600">
      <w:pPr>
        <w:rPr>
          <w:szCs w:val="24"/>
        </w:rPr>
      </w:pPr>
    </w:p>
  </w:endnote>
  <w:endnote w:type="continuationSeparator" w:id="0">
    <w:p w:rsidR="002A4600" w:rsidRDefault="002A4600">
      <w:pPr>
        <w:rPr>
          <w:szCs w:val="24"/>
        </w:rPr>
      </w:pPr>
    </w:p>
  </w:endnote>
  <w:endnote w:type="continuationNotice" w:id="1">
    <w:p w:rsidR="002A4600" w:rsidRDefault="002A4600">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12" w:rsidRPr="00BA7096" w:rsidRDefault="00BA7096" w:rsidP="00BA7096">
    <w:pPr>
      <w:pStyle w:val="Footer"/>
    </w:pPr>
    <w:r w:rsidRPr="00BA7096">
      <w:rPr>
        <w:b/>
        <w:snapToGrid/>
        <w:sz w:val="18"/>
        <w:lang w:val="fr-CH" w:eastAsia="en-US"/>
      </w:rPr>
      <w:fldChar w:fldCharType="begin"/>
    </w:r>
    <w:r w:rsidRPr="00BA7096">
      <w:rPr>
        <w:b/>
        <w:snapToGrid/>
        <w:sz w:val="18"/>
        <w:lang w:val="fr-CH" w:eastAsia="en-US"/>
      </w:rPr>
      <w:instrText xml:space="preserve"> PAGE  \* MERGEFORMAT </w:instrText>
    </w:r>
    <w:r w:rsidRPr="00BA7096">
      <w:rPr>
        <w:b/>
        <w:snapToGrid/>
        <w:sz w:val="18"/>
        <w:lang w:val="fr-CH" w:eastAsia="en-US"/>
      </w:rPr>
      <w:fldChar w:fldCharType="separate"/>
    </w:r>
    <w:r w:rsidR="006946C8">
      <w:rPr>
        <w:b/>
        <w:noProof/>
        <w:snapToGrid/>
        <w:sz w:val="18"/>
        <w:lang w:val="fr-CH" w:eastAsia="en-US"/>
      </w:rPr>
      <w:t>2</w:t>
    </w:r>
    <w:r w:rsidRPr="00BA7096">
      <w:rPr>
        <w:b/>
        <w:snapToGrid/>
        <w:sz w:val="18"/>
        <w:lang w:val="fr-CH"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12" w:rsidRPr="00BA7096" w:rsidRDefault="00BA7096" w:rsidP="00BA7096">
    <w:pPr>
      <w:pStyle w:val="Footer"/>
      <w:jc w:val="right"/>
    </w:pPr>
    <w:r w:rsidRPr="00BA7096">
      <w:rPr>
        <w:b/>
        <w:snapToGrid/>
        <w:sz w:val="18"/>
        <w:lang w:val="fr-CH" w:eastAsia="en-US"/>
      </w:rPr>
      <w:fldChar w:fldCharType="begin"/>
    </w:r>
    <w:r w:rsidRPr="00BA7096">
      <w:rPr>
        <w:b/>
        <w:snapToGrid/>
        <w:sz w:val="18"/>
        <w:lang w:val="fr-CH" w:eastAsia="en-US"/>
      </w:rPr>
      <w:instrText xml:space="preserve"> PAGE  \* MERGEFORMAT </w:instrText>
    </w:r>
    <w:r w:rsidRPr="00BA7096">
      <w:rPr>
        <w:b/>
        <w:snapToGrid/>
        <w:sz w:val="18"/>
        <w:lang w:val="fr-CH" w:eastAsia="en-US"/>
      </w:rPr>
      <w:fldChar w:fldCharType="separate"/>
    </w:r>
    <w:r w:rsidR="006946C8">
      <w:rPr>
        <w:b/>
        <w:noProof/>
        <w:snapToGrid/>
        <w:sz w:val="18"/>
        <w:lang w:val="fr-CH" w:eastAsia="en-US"/>
      </w:rPr>
      <w:t>3</w:t>
    </w:r>
    <w:r w:rsidRPr="00BA7096">
      <w:rPr>
        <w:b/>
        <w:snapToGrid/>
        <w:sz w:val="18"/>
        <w:lang w:val="fr-CH"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600" w:rsidRDefault="002A4600">
      <w:pPr>
        <w:tabs>
          <w:tab w:val="right" w:pos="2155"/>
        </w:tabs>
        <w:spacing w:after="80"/>
        <w:ind w:left="680"/>
        <w:rPr>
          <w:szCs w:val="24"/>
          <w:u w:val="single"/>
        </w:rPr>
      </w:pPr>
      <w:r>
        <w:rPr>
          <w:szCs w:val="24"/>
          <w:u w:val="single"/>
        </w:rPr>
        <w:tab/>
      </w:r>
    </w:p>
  </w:footnote>
  <w:footnote w:type="continuationSeparator" w:id="0">
    <w:p w:rsidR="002A4600" w:rsidRDefault="002A4600">
      <w:pPr>
        <w:tabs>
          <w:tab w:val="left" w:pos="2155"/>
        </w:tabs>
        <w:spacing w:after="80"/>
        <w:ind w:left="680"/>
        <w:rPr>
          <w:szCs w:val="24"/>
          <w:u w:val="single"/>
        </w:rPr>
      </w:pPr>
      <w:r>
        <w:rPr>
          <w:szCs w:val="24"/>
          <w:u w:val="single"/>
        </w:rPr>
        <w:tab/>
      </w:r>
    </w:p>
  </w:footnote>
  <w:footnote w:type="continuationNotice" w:id="1">
    <w:p w:rsidR="002A4600" w:rsidRDefault="002A4600">
      <w:pPr>
        <w:rPr>
          <w:szCs w:val="24"/>
        </w:rPr>
      </w:pPr>
    </w:p>
  </w:footnote>
  <w:footnote w:id="2">
    <w:p w:rsidR="00077976" w:rsidRPr="00582C0C" w:rsidRDefault="00077976" w:rsidP="00077976">
      <w:pPr>
        <w:pStyle w:val="FootnoteText"/>
        <w:rPr>
          <w:lang w:val="fr-CH"/>
        </w:rPr>
      </w:pPr>
      <w:r w:rsidRPr="00582C0C">
        <w:rPr>
          <w:rStyle w:val="FootnoteReference"/>
          <w:sz w:val="20"/>
          <w:vertAlign w:val="baseline"/>
          <w:lang w:val="fr-CH"/>
        </w:rPr>
        <w:tab/>
        <w:t>*</w:t>
      </w:r>
      <w:r w:rsidRPr="00582C0C">
        <w:rPr>
          <w:rStyle w:val="FootnoteReference"/>
          <w:sz w:val="20"/>
          <w:lang w:val="fr-CH"/>
        </w:rPr>
        <w:tab/>
      </w:r>
      <w:r w:rsidRPr="00582C0C">
        <w:rPr>
          <w:lang w:val="fr-CH"/>
        </w:rPr>
        <w:t>Diffusé en langue allemande par la Commission centrale pour la navigation du Rhin sous la cote CCNR/ZKR/ADN/WP.15/AC.2/2017/19.</w:t>
      </w:r>
    </w:p>
  </w:footnote>
  <w:footnote w:id="3">
    <w:p w:rsidR="00077976" w:rsidRPr="00582C0C" w:rsidRDefault="00077976" w:rsidP="00077976">
      <w:pPr>
        <w:pStyle w:val="FootnoteText"/>
        <w:rPr>
          <w:lang w:val="fr-CH"/>
        </w:rPr>
      </w:pPr>
      <w:r w:rsidRPr="00582C0C">
        <w:rPr>
          <w:rStyle w:val="FootnoteReference"/>
          <w:sz w:val="20"/>
          <w:vertAlign w:val="baseline"/>
          <w:lang w:val="fr-CH"/>
        </w:rPr>
        <w:tab/>
        <w:t>**</w:t>
      </w:r>
      <w:r w:rsidRPr="00582C0C">
        <w:rPr>
          <w:rStyle w:val="FootnoteReference"/>
          <w:lang w:val="fr-CH"/>
        </w:rPr>
        <w:tab/>
      </w:r>
      <w:r w:rsidRPr="00582C0C">
        <w:rPr>
          <w:lang w:val="fr-CH"/>
        </w:rPr>
        <w:t>Conformément au programme de travail du Comité des transports intérieurs pour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12" w:rsidRPr="00BA7096" w:rsidRDefault="00BA7096" w:rsidP="00BA7096">
    <w:pPr>
      <w:pBdr>
        <w:bottom w:val="single" w:sz="4" w:space="4" w:color="auto"/>
      </w:pBdr>
      <w:spacing w:line="240" w:lineRule="auto"/>
      <w:rPr>
        <w:b/>
        <w:snapToGrid/>
        <w:sz w:val="18"/>
        <w:lang w:eastAsia="en-US"/>
      </w:rPr>
    </w:pPr>
    <w:r w:rsidRPr="00BA7096">
      <w:rPr>
        <w:b/>
        <w:snapToGrid/>
        <w:sz w:val="18"/>
        <w:lang w:eastAsia="en-US"/>
      </w:rPr>
      <w:t>ECE/TRANS/WP.15/AC.2/2017/</w:t>
    </w:r>
    <w:r>
      <w:rPr>
        <w:b/>
        <w:snapToGrid/>
        <w:sz w:val="18"/>
        <w:lang w:eastAsia="en-US"/>
      </w:rPr>
      <w:t>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12" w:rsidRPr="00BA7096" w:rsidRDefault="00BA7096" w:rsidP="00BA7096">
    <w:pPr>
      <w:pBdr>
        <w:bottom w:val="single" w:sz="4" w:space="4" w:color="auto"/>
      </w:pBdr>
      <w:spacing w:line="240" w:lineRule="auto"/>
      <w:jc w:val="right"/>
      <w:rPr>
        <w:b/>
        <w:snapToGrid/>
        <w:sz w:val="18"/>
        <w:lang w:eastAsia="en-US"/>
      </w:rPr>
    </w:pPr>
    <w:r w:rsidRPr="00BA7096">
      <w:rPr>
        <w:b/>
        <w:snapToGrid/>
        <w:sz w:val="18"/>
        <w:lang w:eastAsia="en-US"/>
      </w:rPr>
      <w:t>ECE/TRANS/WP.15/AC.2/2017</w:t>
    </w:r>
    <w:r>
      <w:rPr>
        <w:b/>
        <w:snapToGrid/>
        <w:sz w:val="18"/>
        <w:lang w:eastAsia="en-US"/>
      </w:rPr>
      <w:t>/19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15:restartNumberingAfterBreak="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15:restartNumberingAfterBreak="0">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15:restartNumberingAfterBreak="0">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15:restartNumberingAfterBreak="0">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15:restartNumberingAfterBreak="0">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1"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39EA16C0"/>
    <w:multiLevelType w:val="hybridMultilevel"/>
    <w:tmpl w:val="BDFAA804"/>
    <w:lvl w:ilvl="0" w:tplc="B00897C4">
      <w:start w:val="1"/>
      <w:numFmt w:val="decimal"/>
      <w:lvlText w:val="%1."/>
      <w:lvlJc w:val="left"/>
      <w:pPr>
        <w:ind w:left="1974" w:hanging="840"/>
      </w:pPr>
      <w:rPr>
        <w:rFonts w:hint="default"/>
        <w:sz w:val="22"/>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5" w15:restartNumberingAfterBreak="0">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7" w15:restartNumberingAfterBreak="0">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19" w15:restartNumberingAfterBreak="0">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21" w15:restartNumberingAfterBreak="0">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2"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15:restartNumberingAfterBreak="0">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4" w15:restartNumberingAfterBreak="0">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5" w15:restartNumberingAfterBreak="0">
    <w:nsid w:val="54E22E6B"/>
    <w:multiLevelType w:val="hybridMultilevel"/>
    <w:tmpl w:val="61FA08C8"/>
    <w:lvl w:ilvl="0" w:tplc="2D3EEBB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6" w15:restartNumberingAfterBreak="0">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27" w15:restartNumberingAfterBreak="0">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3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4" w15:restartNumberingAfterBreak="0">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5" w15:restartNumberingAfterBreak="0">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6" w15:restartNumberingAfterBreak="0">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39" w15:restartNumberingAfterBreak="0">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32"/>
  </w:num>
  <w:num w:numId="4">
    <w:abstractNumId w:val="6"/>
  </w:num>
  <w:num w:numId="5">
    <w:abstractNumId w:val="37"/>
  </w:num>
  <w:num w:numId="6">
    <w:abstractNumId w:val="4"/>
  </w:num>
  <w:num w:numId="7">
    <w:abstractNumId w:val="7"/>
  </w:num>
  <w:num w:numId="8">
    <w:abstractNumId w:val="23"/>
  </w:num>
  <w:num w:numId="9">
    <w:abstractNumId w:val="14"/>
  </w:num>
  <w:num w:numId="10">
    <w:abstractNumId w:val="8"/>
  </w:num>
  <w:num w:numId="11">
    <w:abstractNumId w:val="26"/>
  </w:num>
  <w:num w:numId="12">
    <w:abstractNumId w:val="5"/>
  </w:num>
  <w:num w:numId="13">
    <w:abstractNumId w:val="35"/>
  </w:num>
  <w:num w:numId="14">
    <w:abstractNumId w:val="9"/>
  </w:num>
  <w:num w:numId="15">
    <w:abstractNumId w:val="39"/>
  </w:num>
  <w:num w:numId="16">
    <w:abstractNumId w:val="33"/>
  </w:num>
  <w:num w:numId="17">
    <w:abstractNumId w:val="22"/>
  </w:num>
  <w:num w:numId="18">
    <w:abstractNumId w:val="16"/>
  </w:num>
  <w:num w:numId="19">
    <w:abstractNumId w:val="24"/>
  </w:num>
  <w:num w:numId="20">
    <w:abstractNumId w:val="10"/>
  </w:num>
  <w:num w:numId="21">
    <w:abstractNumId w:val="30"/>
  </w:num>
  <w:num w:numId="22">
    <w:abstractNumId w:val="38"/>
  </w:num>
  <w:num w:numId="23">
    <w:abstractNumId w:val="31"/>
  </w:num>
  <w:num w:numId="24">
    <w:abstractNumId w:val="19"/>
  </w:num>
  <w:num w:numId="25">
    <w:abstractNumId w:val="29"/>
  </w:num>
  <w:num w:numId="26">
    <w:abstractNumId w:val="18"/>
  </w:num>
  <w:num w:numId="27">
    <w:abstractNumId w:val="17"/>
  </w:num>
  <w:num w:numId="28">
    <w:abstractNumId w:val="34"/>
  </w:num>
  <w:num w:numId="29">
    <w:abstractNumId w:val="20"/>
  </w:num>
  <w:num w:numId="30">
    <w:abstractNumId w:val="28"/>
  </w:num>
  <w:num w:numId="31">
    <w:abstractNumId w:val="21"/>
  </w:num>
  <w:num w:numId="32">
    <w:abstractNumId w:val="27"/>
  </w:num>
  <w:num w:numId="33">
    <w:abstractNumId w:val="3"/>
  </w:num>
  <w:num w:numId="34">
    <w:abstractNumId w:val="12"/>
  </w:num>
  <w:num w:numId="35">
    <w:abstractNumId w:val="36"/>
  </w:num>
  <w:num w:numId="36">
    <w:abstractNumId w:val="15"/>
  </w:num>
  <w:num w:numId="37">
    <w:abstractNumId w:val="2"/>
  </w:num>
  <w:num w:numId="38">
    <w:abstractNumId w:val="11"/>
  </w:num>
  <w:num w:numId="39">
    <w:abstractNumId w:val="13"/>
  </w:num>
  <w:num w:numId="40">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0680"/>
    <w:rsid w:val="000012AB"/>
    <w:rsid w:val="00001364"/>
    <w:rsid w:val="00001C32"/>
    <w:rsid w:val="000053C5"/>
    <w:rsid w:val="00010CCD"/>
    <w:rsid w:val="00020B06"/>
    <w:rsid w:val="0002116F"/>
    <w:rsid w:val="00024FB3"/>
    <w:rsid w:val="00030C06"/>
    <w:rsid w:val="00031537"/>
    <w:rsid w:val="000355BD"/>
    <w:rsid w:val="00035613"/>
    <w:rsid w:val="00037CC1"/>
    <w:rsid w:val="0004012A"/>
    <w:rsid w:val="0004044C"/>
    <w:rsid w:val="00042A50"/>
    <w:rsid w:val="00045320"/>
    <w:rsid w:val="000463F9"/>
    <w:rsid w:val="000471D8"/>
    <w:rsid w:val="00050941"/>
    <w:rsid w:val="00050F6B"/>
    <w:rsid w:val="00053D5C"/>
    <w:rsid w:val="00054498"/>
    <w:rsid w:val="00056F3E"/>
    <w:rsid w:val="00057251"/>
    <w:rsid w:val="00060A33"/>
    <w:rsid w:val="00061D21"/>
    <w:rsid w:val="000632A3"/>
    <w:rsid w:val="00063AD6"/>
    <w:rsid w:val="0006503F"/>
    <w:rsid w:val="0006523E"/>
    <w:rsid w:val="00070389"/>
    <w:rsid w:val="00071CC5"/>
    <w:rsid w:val="00072C8C"/>
    <w:rsid w:val="00075692"/>
    <w:rsid w:val="00075B37"/>
    <w:rsid w:val="00075D0F"/>
    <w:rsid w:val="0007766C"/>
    <w:rsid w:val="00077976"/>
    <w:rsid w:val="00077C76"/>
    <w:rsid w:val="00081084"/>
    <w:rsid w:val="0008130D"/>
    <w:rsid w:val="0008130F"/>
    <w:rsid w:val="0008420F"/>
    <w:rsid w:val="0008613C"/>
    <w:rsid w:val="000907FA"/>
    <w:rsid w:val="000931C0"/>
    <w:rsid w:val="00095E3D"/>
    <w:rsid w:val="00097767"/>
    <w:rsid w:val="000A0570"/>
    <w:rsid w:val="000A446A"/>
    <w:rsid w:val="000A52E3"/>
    <w:rsid w:val="000B175B"/>
    <w:rsid w:val="000B1C22"/>
    <w:rsid w:val="000B32A6"/>
    <w:rsid w:val="000B3A0F"/>
    <w:rsid w:val="000B5909"/>
    <w:rsid w:val="000B6729"/>
    <w:rsid w:val="000B6B5B"/>
    <w:rsid w:val="000B7ECB"/>
    <w:rsid w:val="000C023D"/>
    <w:rsid w:val="000C038D"/>
    <w:rsid w:val="000C41C9"/>
    <w:rsid w:val="000C4400"/>
    <w:rsid w:val="000C67EE"/>
    <w:rsid w:val="000C7258"/>
    <w:rsid w:val="000D14D1"/>
    <w:rsid w:val="000D1E8D"/>
    <w:rsid w:val="000D4601"/>
    <w:rsid w:val="000D57E8"/>
    <w:rsid w:val="000E0415"/>
    <w:rsid w:val="000E520B"/>
    <w:rsid w:val="000E566D"/>
    <w:rsid w:val="000E7062"/>
    <w:rsid w:val="000E7BD0"/>
    <w:rsid w:val="000F1374"/>
    <w:rsid w:val="000F2981"/>
    <w:rsid w:val="00101C30"/>
    <w:rsid w:val="001025CF"/>
    <w:rsid w:val="001066C5"/>
    <w:rsid w:val="00111C23"/>
    <w:rsid w:val="00113E8D"/>
    <w:rsid w:val="00113FC7"/>
    <w:rsid w:val="00120D79"/>
    <w:rsid w:val="00121B98"/>
    <w:rsid w:val="001220B8"/>
    <w:rsid w:val="00123A7B"/>
    <w:rsid w:val="00126927"/>
    <w:rsid w:val="00131A08"/>
    <w:rsid w:val="0013213F"/>
    <w:rsid w:val="0013574C"/>
    <w:rsid w:val="00135BA5"/>
    <w:rsid w:val="00136129"/>
    <w:rsid w:val="00137A57"/>
    <w:rsid w:val="001420FE"/>
    <w:rsid w:val="001422F4"/>
    <w:rsid w:val="001426C0"/>
    <w:rsid w:val="00146FF1"/>
    <w:rsid w:val="001471A5"/>
    <w:rsid w:val="00151BFD"/>
    <w:rsid w:val="00155C78"/>
    <w:rsid w:val="00161846"/>
    <w:rsid w:val="0016237E"/>
    <w:rsid w:val="001628F5"/>
    <w:rsid w:val="00172CF3"/>
    <w:rsid w:val="001730D3"/>
    <w:rsid w:val="0017426A"/>
    <w:rsid w:val="00174EA5"/>
    <w:rsid w:val="001817E0"/>
    <w:rsid w:val="00181A2A"/>
    <w:rsid w:val="001870ED"/>
    <w:rsid w:val="00191685"/>
    <w:rsid w:val="00193460"/>
    <w:rsid w:val="001938F0"/>
    <w:rsid w:val="00194E53"/>
    <w:rsid w:val="001A1048"/>
    <w:rsid w:val="001A148C"/>
    <w:rsid w:val="001A2704"/>
    <w:rsid w:val="001A4ED5"/>
    <w:rsid w:val="001B3169"/>
    <w:rsid w:val="001B3934"/>
    <w:rsid w:val="001B4857"/>
    <w:rsid w:val="001B4B04"/>
    <w:rsid w:val="001B5B74"/>
    <w:rsid w:val="001C3971"/>
    <w:rsid w:val="001C5D76"/>
    <w:rsid w:val="001C6663"/>
    <w:rsid w:val="001C7895"/>
    <w:rsid w:val="001C7D91"/>
    <w:rsid w:val="001D184F"/>
    <w:rsid w:val="001D26DF"/>
    <w:rsid w:val="001D6796"/>
    <w:rsid w:val="001E73AA"/>
    <w:rsid w:val="001F09CD"/>
    <w:rsid w:val="001F1354"/>
    <w:rsid w:val="001F14EB"/>
    <w:rsid w:val="001F5DEF"/>
    <w:rsid w:val="00203DD1"/>
    <w:rsid w:val="00205464"/>
    <w:rsid w:val="00205B1D"/>
    <w:rsid w:val="00207CB9"/>
    <w:rsid w:val="00211454"/>
    <w:rsid w:val="00211E0B"/>
    <w:rsid w:val="002161C2"/>
    <w:rsid w:val="002165DC"/>
    <w:rsid w:val="00224AA7"/>
    <w:rsid w:val="00225418"/>
    <w:rsid w:val="00231733"/>
    <w:rsid w:val="00236A07"/>
    <w:rsid w:val="00236DE8"/>
    <w:rsid w:val="002405A7"/>
    <w:rsid w:val="00242C50"/>
    <w:rsid w:val="00242D7E"/>
    <w:rsid w:val="002478DF"/>
    <w:rsid w:val="00250C0B"/>
    <w:rsid w:val="00250D22"/>
    <w:rsid w:val="00252025"/>
    <w:rsid w:val="00252334"/>
    <w:rsid w:val="00252B1A"/>
    <w:rsid w:val="00256528"/>
    <w:rsid w:val="00256C6B"/>
    <w:rsid w:val="00261834"/>
    <w:rsid w:val="00261D35"/>
    <w:rsid w:val="00263764"/>
    <w:rsid w:val="002728A1"/>
    <w:rsid w:val="002736EA"/>
    <w:rsid w:val="002745AF"/>
    <w:rsid w:val="00275092"/>
    <w:rsid w:val="00277B86"/>
    <w:rsid w:val="00287ADB"/>
    <w:rsid w:val="0029135B"/>
    <w:rsid w:val="00293E45"/>
    <w:rsid w:val="0029559D"/>
    <w:rsid w:val="002A0F84"/>
    <w:rsid w:val="002A3AB5"/>
    <w:rsid w:val="002A4600"/>
    <w:rsid w:val="002B431F"/>
    <w:rsid w:val="002B50AC"/>
    <w:rsid w:val="002B7E5F"/>
    <w:rsid w:val="002C017B"/>
    <w:rsid w:val="002C03A7"/>
    <w:rsid w:val="002C2D92"/>
    <w:rsid w:val="002C3A68"/>
    <w:rsid w:val="002C49BA"/>
    <w:rsid w:val="002C59A6"/>
    <w:rsid w:val="002C5B89"/>
    <w:rsid w:val="002C5C89"/>
    <w:rsid w:val="002C6ACD"/>
    <w:rsid w:val="002C7C88"/>
    <w:rsid w:val="002D0E0E"/>
    <w:rsid w:val="002D19AD"/>
    <w:rsid w:val="002D4125"/>
    <w:rsid w:val="002D652F"/>
    <w:rsid w:val="002E0DF2"/>
    <w:rsid w:val="002E0EE4"/>
    <w:rsid w:val="002E1352"/>
    <w:rsid w:val="002F594A"/>
    <w:rsid w:val="00300698"/>
    <w:rsid w:val="00304304"/>
    <w:rsid w:val="003107FA"/>
    <w:rsid w:val="0031437A"/>
    <w:rsid w:val="00314C4D"/>
    <w:rsid w:val="00315F72"/>
    <w:rsid w:val="003229D8"/>
    <w:rsid w:val="00323726"/>
    <w:rsid w:val="00324FA1"/>
    <w:rsid w:val="00326EAB"/>
    <w:rsid w:val="0033023C"/>
    <w:rsid w:val="003317E7"/>
    <w:rsid w:val="00332291"/>
    <w:rsid w:val="00333876"/>
    <w:rsid w:val="0033408B"/>
    <w:rsid w:val="00335A85"/>
    <w:rsid w:val="0033745A"/>
    <w:rsid w:val="00350559"/>
    <w:rsid w:val="00350DE1"/>
    <w:rsid w:val="00354544"/>
    <w:rsid w:val="003545F4"/>
    <w:rsid w:val="00361A12"/>
    <w:rsid w:val="003630AA"/>
    <w:rsid w:val="003632F3"/>
    <w:rsid w:val="003641EF"/>
    <w:rsid w:val="003709C2"/>
    <w:rsid w:val="00370F68"/>
    <w:rsid w:val="00371FB2"/>
    <w:rsid w:val="00372808"/>
    <w:rsid w:val="00375D3A"/>
    <w:rsid w:val="00380A4E"/>
    <w:rsid w:val="003820C5"/>
    <w:rsid w:val="0038591B"/>
    <w:rsid w:val="00385F86"/>
    <w:rsid w:val="0039277A"/>
    <w:rsid w:val="00395B0F"/>
    <w:rsid w:val="00395B51"/>
    <w:rsid w:val="00396E37"/>
    <w:rsid w:val="003972E0"/>
    <w:rsid w:val="003A1EBD"/>
    <w:rsid w:val="003A3950"/>
    <w:rsid w:val="003B071E"/>
    <w:rsid w:val="003B0BDF"/>
    <w:rsid w:val="003B1FD7"/>
    <w:rsid w:val="003B3F7F"/>
    <w:rsid w:val="003B4590"/>
    <w:rsid w:val="003B507C"/>
    <w:rsid w:val="003B5C22"/>
    <w:rsid w:val="003B7822"/>
    <w:rsid w:val="003C0124"/>
    <w:rsid w:val="003C1867"/>
    <w:rsid w:val="003C2CC4"/>
    <w:rsid w:val="003C2E87"/>
    <w:rsid w:val="003C3936"/>
    <w:rsid w:val="003C5DF2"/>
    <w:rsid w:val="003C70C8"/>
    <w:rsid w:val="003D0F99"/>
    <w:rsid w:val="003D2B8F"/>
    <w:rsid w:val="003D34BE"/>
    <w:rsid w:val="003D3B4A"/>
    <w:rsid w:val="003D4B23"/>
    <w:rsid w:val="003D620D"/>
    <w:rsid w:val="003E11C5"/>
    <w:rsid w:val="003E2153"/>
    <w:rsid w:val="003E34F3"/>
    <w:rsid w:val="003E6688"/>
    <w:rsid w:val="003E7A98"/>
    <w:rsid w:val="003F1ED3"/>
    <w:rsid w:val="003F3B18"/>
    <w:rsid w:val="003F4A0B"/>
    <w:rsid w:val="003F729B"/>
    <w:rsid w:val="003F72C8"/>
    <w:rsid w:val="00400769"/>
    <w:rsid w:val="00403952"/>
    <w:rsid w:val="004049D8"/>
    <w:rsid w:val="00407014"/>
    <w:rsid w:val="00412979"/>
    <w:rsid w:val="004152DA"/>
    <w:rsid w:val="00415889"/>
    <w:rsid w:val="00417E2F"/>
    <w:rsid w:val="00421563"/>
    <w:rsid w:val="00423439"/>
    <w:rsid w:val="00424A17"/>
    <w:rsid w:val="0042609F"/>
    <w:rsid w:val="004307E7"/>
    <w:rsid w:val="004316DA"/>
    <w:rsid w:val="004325CB"/>
    <w:rsid w:val="00433C98"/>
    <w:rsid w:val="00434E37"/>
    <w:rsid w:val="00442733"/>
    <w:rsid w:val="00446793"/>
    <w:rsid w:val="00446DE4"/>
    <w:rsid w:val="0044788E"/>
    <w:rsid w:val="0045017B"/>
    <w:rsid w:val="00452BB4"/>
    <w:rsid w:val="004535E7"/>
    <w:rsid w:val="0045394D"/>
    <w:rsid w:val="004545E9"/>
    <w:rsid w:val="0045575E"/>
    <w:rsid w:val="004578CF"/>
    <w:rsid w:val="004644C6"/>
    <w:rsid w:val="00466C98"/>
    <w:rsid w:val="004743AE"/>
    <w:rsid w:val="0047563F"/>
    <w:rsid w:val="004805AE"/>
    <w:rsid w:val="00480BB9"/>
    <w:rsid w:val="00481194"/>
    <w:rsid w:val="00481AC6"/>
    <w:rsid w:val="00481C01"/>
    <w:rsid w:val="004835E7"/>
    <w:rsid w:val="00492241"/>
    <w:rsid w:val="00492774"/>
    <w:rsid w:val="004933E1"/>
    <w:rsid w:val="00495EE5"/>
    <w:rsid w:val="00496493"/>
    <w:rsid w:val="00497343"/>
    <w:rsid w:val="004A1A53"/>
    <w:rsid w:val="004A1EF5"/>
    <w:rsid w:val="004A1F22"/>
    <w:rsid w:val="004A1F48"/>
    <w:rsid w:val="004A2EDD"/>
    <w:rsid w:val="004A3894"/>
    <w:rsid w:val="004A3E33"/>
    <w:rsid w:val="004A41CA"/>
    <w:rsid w:val="004A4DB1"/>
    <w:rsid w:val="004A5778"/>
    <w:rsid w:val="004B1567"/>
    <w:rsid w:val="004B29D2"/>
    <w:rsid w:val="004B5816"/>
    <w:rsid w:val="004C0580"/>
    <w:rsid w:val="004C5912"/>
    <w:rsid w:val="004C7BD2"/>
    <w:rsid w:val="004D2AF1"/>
    <w:rsid w:val="004D785F"/>
    <w:rsid w:val="004D7A03"/>
    <w:rsid w:val="004E2C8B"/>
    <w:rsid w:val="004E6760"/>
    <w:rsid w:val="004E74FC"/>
    <w:rsid w:val="004F13C8"/>
    <w:rsid w:val="004F17B7"/>
    <w:rsid w:val="004F1BE5"/>
    <w:rsid w:val="004F2C14"/>
    <w:rsid w:val="004F312F"/>
    <w:rsid w:val="004F4FBF"/>
    <w:rsid w:val="004F6071"/>
    <w:rsid w:val="004F750B"/>
    <w:rsid w:val="00501AA2"/>
    <w:rsid w:val="00503228"/>
    <w:rsid w:val="00505384"/>
    <w:rsid w:val="00513283"/>
    <w:rsid w:val="005134CA"/>
    <w:rsid w:val="0051520D"/>
    <w:rsid w:val="0051600A"/>
    <w:rsid w:val="005166F9"/>
    <w:rsid w:val="00516773"/>
    <w:rsid w:val="0052122E"/>
    <w:rsid w:val="00521ECF"/>
    <w:rsid w:val="00526A9F"/>
    <w:rsid w:val="00526E25"/>
    <w:rsid w:val="00527CFD"/>
    <w:rsid w:val="0053266F"/>
    <w:rsid w:val="005337C8"/>
    <w:rsid w:val="00536424"/>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72177"/>
    <w:rsid w:val="00573165"/>
    <w:rsid w:val="00580C8B"/>
    <w:rsid w:val="00580ED5"/>
    <w:rsid w:val="00582C0C"/>
    <w:rsid w:val="00587F3C"/>
    <w:rsid w:val="00590B15"/>
    <w:rsid w:val="0059380F"/>
    <w:rsid w:val="005A0417"/>
    <w:rsid w:val="005A0851"/>
    <w:rsid w:val="005A1D62"/>
    <w:rsid w:val="005A21DC"/>
    <w:rsid w:val="005A56C5"/>
    <w:rsid w:val="005A63C6"/>
    <w:rsid w:val="005B0C72"/>
    <w:rsid w:val="005B353D"/>
    <w:rsid w:val="005B3DB3"/>
    <w:rsid w:val="005B4CE0"/>
    <w:rsid w:val="005C173D"/>
    <w:rsid w:val="005C3653"/>
    <w:rsid w:val="005C6DF8"/>
    <w:rsid w:val="005D3642"/>
    <w:rsid w:val="005D3FE8"/>
    <w:rsid w:val="005D7718"/>
    <w:rsid w:val="005E286B"/>
    <w:rsid w:val="005E7C6F"/>
    <w:rsid w:val="005F2595"/>
    <w:rsid w:val="005F2BD2"/>
    <w:rsid w:val="005F30BB"/>
    <w:rsid w:val="005F3E0D"/>
    <w:rsid w:val="005F4208"/>
    <w:rsid w:val="005F441C"/>
    <w:rsid w:val="005F667A"/>
    <w:rsid w:val="005F6B61"/>
    <w:rsid w:val="005F6E62"/>
    <w:rsid w:val="00601D72"/>
    <w:rsid w:val="0060248B"/>
    <w:rsid w:val="00603334"/>
    <w:rsid w:val="00603EBA"/>
    <w:rsid w:val="00606CF1"/>
    <w:rsid w:val="00610834"/>
    <w:rsid w:val="00611FC4"/>
    <w:rsid w:val="00617178"/>
    <w:rsid w:val="006176FB"/>
    <w:rsid w:val="0062304B"/>
    <w:rsid w:val="006249FB"/>
    <w:rsid w:val="00626B1C"/>
    <w:rsid w:val="00627ED0"/>
    <w:rsid w:val="00630B7D"/>
    <w:rsid w:val="00631FF4"/>
    <w:rsid w:val="006353A0"/>
    <w:rsid w:val="006364CC"/>
    <w:rsid w:val="00637CA2"/>
    <w:rsid w:val="00640B26"/>
    <w:rsid w:val="00642C2E"/>
    <w:rsid w:val="00644FED"/>
    <w:rsid w:val="0064585E"/>
    <w:rsid w:val="006517B6"/>
    <w:rsid w:val="00651FC8"/>
    <w:rsid w:val="00665595"/>
    <w:rsid w:val="006659D9"/>
    <w:rsid w:val="00665BFA"/>
    <w:rsid w:val="006679D1"/>
    <w:rsid w:val="00673795"/>
    <w:rsid w:val="00676EEB"/>
    <w:rsid w:val="00682DD7"/>
    <w:rsid w:val="0068316E"/>
    <w:rsid w:val="00683296"/>
    <w:rsid w:val="006833A6"/>
    <w:rsid w:val="0068441D"/>
    <w:rsid w:val="00690D91"/>
    <w:rsid w:val="0069157F"/>
    <w:rsid w:val="00692279"/>
    <w:rsid w:val="006946C8"/>
    <w:rsid w:val="00695384"/>
    <w:rsid w:val="00697CD4"/>
    <w:rsid w:val="006A0A19"/>
    <w:rsid w:val="006A1E28"/>
    <w:rsid w:val="006A3F0D"/>
    <w:rsid w:val="006A4DDD"/>
    <w:rsid w:val="006A5C73"/>
    <w:rsid w:val="006A6D47"/>
    <w:rsid w:val="006A7392"/>
    <w:rsid w:val="006A7CCA"/>
    <w:rsid w:val="006B0C4E"/>
    <w:rsid w:val="006B19FE"/>
    <w:rsid w:val="006B3B2C"/>
    <w:rsid w:val="006B3DFE"/>
    <w:rsid w:val="006B57C3"/>
    <w:rsid w:val="006B706C"/>
    <w:rsid w:val="006C2742"/>
    <w:rsid w:val="006C380B"/>
    <w:rsid w:val="006C5214"/>
    <w:rsid w:val="006C5C34"/>
    <w:rsid w:val="006C60A6"/>
    <w:rsid w:val="006C7FB0"/>
    <w:rsid w:val="006D4415"/>
    <w:rsid w:val="006D5021"/>
    <w:rsid w:val="006D7D5B"/>
    <w:rsid w:val="006E09C4"/>
    <w:rsid w:val="006E0D61"/>
    <w:rsid w:val="006E564B"/>
    <w:rsid w:val="006E5D14"/>
    <w:rsid w:val="006F20A6"/>
    <w:rsid w:val="006F509F"/>
    <w:rsid w:val="006F7764"/>
    <w:rsid w:val="00700D90"/>
    <w:rsid w:val="00701D1E"/>
    <w:rsid w:val="007031F8"/>
    <w:rsid w:val="00703473"/>
    <w:rsid w:val="00703780"/>
    <w:rsid w:val="00705359"/>
    <w:rsid w:val="007078D5"/>
    <w:rsid w:val="00707EE3"/>
    <w:rsid w:val="00710632"/>
    <w:rsid w:val="00710E99"/>
    <w:rsid w:val="00712D44"/>
    <w:rsid w:val="00714AFC"/>
    <w:rsid w:val="00715157"/>
    <w:rsid w:val="00715E93"/>
    <w:rsid w:val="00715F12"/>
    <w:rsid w:val="00717597"/>
    <w:rsid w:val="007177A5"/>
    <w:rsid w:val="00717E9A"/>
    <w:rsid w:val="00720053"/>
    <w:rsid w:val="00722811"/>
    <w:rsid w:val="00723ECD"/>
    <w:rsid w:val="0072632A"/>
    <w:rsid w:val="00726CBE"/>
    <w:rsid w:val="0072750B"/>
    <w:rsid w:val="007309DE"/>
    <w:rsid w:val="0073465B"/>
    <w:rsid w:val="00734C2D"/>
    <w:rsid w:val="00735F46"/>
    <w:rsid w:val="00737E85"/>
    <w:rsid w:val="00740176"/>
    <w:rsid w:val="007425B4"/>
    <w:rsid w:val="007431FB"/>
    <w:rsid w:val="00743AA0"/>
    <w:rsid w:val="00744294"/>
    <w:rsid w:val="007502C4"/>
    <w:rsid w:val="0075038C"/>
    <w:rsid w:val="00751197"/>
    <w:rsid w:val="0075241D"/>
    <w:rsid w:val="0075310B"/>
    <w:rsid w:val="0075352F"/>
    <w:rsid w:val="00756A00"/>
    <w:rsid w:val="00757B9F"/>
    <w:rsid w:val="00760E3C"/>
    <w:rsid w:val="00762551"/>
    <w:rsid w:val="0076336D"/>
    <w:rsid w:val="00763D35"/>
    <w:rsid w:val="007668D3"/>
    <w:rsid w:val="00766EC7"/>
    <w:rsid w:val="007674B0"/>
    <w:rsid w:val="0077083D"/>
    <w:rsid w:val="00774068"/>
    <w:rsid w:val="00777BDB"/>
    <w:rsid w:val="007838FF"/>
    <w:rsid w:val="00787CE3"/>
    <w:rsid w:val="00792806"/>
    <w:rsid w:val="007939A6"/>
    <w:rsid w:val="00797065"/>
    <w:rsid w:val="00797099"/>
    <w:rsid w:val="007A01FC"/>
    <w:rsid w:val="007A08D3"/>
    <w:rsid w:val="007A1A3F"/>
    <w:rsid w:val="007A3C01"/>
    <w:rsid w:val="007A3C0B"/>
    <w:rsid w:val="007B64F2"/>
    <w:rsid w:val="007B6BA5"/>
    <w:rsid w:val="007B6D22"/>
    <w:rsid w:val="007B7B1E"/>
    <w:rsid w:val="007C169B"/>
    <w:rsid w:val="007C3390"/>
    <w:rsid w:val="007C4F4B"/>
    <w:rsid w:val="007C7A4E"/>
    <w:rsid w:val="007D64B1"/>
    <w:rsid w:val="007E2878"/>
    <w:rsid w:val="007E5ABB"/>
    <w:rsid w:val="007E7364"/>
    <w:rsid w:val="007F0B83"/>
    <w:rsid w:val="007F2784"/>
    <w:rsid w:val="007F47D1"/>
    <w:rsid w:val="007F5967"/>
    <w:rsid w:val="007F6611"/>
    <w:rsid w:val="008002AF"/>
    <w:rsid w:val="00801D46"/>
    <w:rsid w:val="00803656"/>
    <w:rsid w:val="00803D3F"/>
    <w:rsid w:val="0081239D"/>
    <w:rsid w:val="008139F5"/>
    <w:rsid w:val="00816C3A"/>
    <w:rsid w:val="008175E9"/>
    <w:rsid w:val="00820472"/>
    <w:rsid w:val="00821686"/>
    <w:rsid w:val="008242D7"/>
    <w:rsid w:val="008244A4"/>
    <w:rsid w:val="00825A28"/>
    <w:rsid w:val="0082761D"/>
    <w:rsid w:val="00827E05"/>
    <w:rsid w:val="008305E5"/>
    <w:rsid w:val="008311A3"/>
    <w:rsid w:val="008333C7"/>
    <w:rsid w:val="00836A0C"/>
    <w:rsid w:val="00837A3F"/>
    <w:rsid w:val="0084125D"/>
    <w:rsid w:val="00842AFA"/>
    <w:rsid w:val="00842B7B"/>
    <w:rsid w:val="00844584"/>
    <w:rsid w:val="00845E42"/>
    <w:rsid w:val="00853E16"/>
    <w:rsid w:val="0085417D"/>
    <w:rsid w:val="008550E6"/>
    <w:rsid w:val="00861AFA"/>
    <w:rsid w:val="00862599"/>
    <w:rsid w:val="00863555"/>
    <w:rsid w:val="00864768"/>
    <w:rsid w:val="00866B0C"/>
    <w:rsid w:val="00866E24"/>
    <w:rsid w:val="008719EB"/>
    <w:rsid w:val="00871FD5"/>
    <w:rsid w:val="00873C18"/>
    <w:rsid w:val="00875B69"/>
    <w:rsid w:val="00876630"/>
    <w:rsid w:val="00880120"/>
    <w:rsid w:val="00880D35"/>
    <w:rsid w:val="00881E3E"/>
    <w:rsid w:val="00890BAF"/>
    <w:rsid w:val="008932A0"/>
    <w:rsid w:val="00894FF2"/>
    <w:rsid w:val="00894FF5"/>
    <w:rsid w:val="00896CBD"/>
    <w:rsid w:val="008978BC"/>
    <w:rsid w:val="008979B1"/>
    <w:rsid w:val="008A0994"/>
    <w:rsid w:val="008A1480"/>
    <w:rsid w:val="008A1DFC"/>
    <w:rsid w:val="008A2229"/>
    <w:rsid w:val="008A227E"/>
    <w:rsid w:val="008A31E3"/>
    <w:rsid w:val="008A3F15"/>
    <w:rsid w:val="008A6B25"/>
    <w:rsid w:val="008A6C4F"/>
    <w:rsid w:val="008A7A81"/>
    <w:rsid w:val="008B70D8"/>
    <w:rsid w:val="008C57B1"/>
    <w:rsid w:val="008C78C7"/>
    <w:rsid w:val="008D054A"/>
    <w:rsid w:val="008D3C1D"/>
    <w:rsid w:val="008D4730"/>
    <w:rsid w:val="008D49F6"/>
    <w:rsid w:val="008D5935"/>
    <w:rsid w:val="008E0E46"/>
    <w:rsid w:val="008E58A3"/>
    <w:rsid w:val="008E7D56"/>
    <w:rsid w:val="008F1455"/>
    <w:rsid w:val="008F4E42"/>
    <w:rsid w:val="008F561F"/>
    <w:rsid w:val="008F649A"/>
    <w:rsid w:val="00903497"/>
    <w:rsid w:val="00907AD2"/>
    <w:rsid w:val="009124F2"/>
    <w:rsid w:val="00915860"/>
    <w:rsid w:val="00917C0E"/>
    <w:rsid w:val="00925B30"/>
    <w:rsid w:val="0092768B"/>
    <w:rsid w:val="009316CC"/>
    <w:rsid w:val="00932460"/>
    <w:rsid w:val="00936C2E"/>
    <w:rsid w:val="00936F09"/>
    <w:rsid w:val="009409EC"/>
    <w:rsid w:val="00940A5E"/>
    <w:rsid w:val="00945924"/>
    <w:rsid w:val="009464F5"/>
    <w:rsid w:val="00946B6A"/>
    <w:rsid w:val="00950A26"/>
    <w:rsid w:val="00951A0F"/>
    <w:rsid w:val="00953A54"/>
    <w:rsid w:val="00957E2B"/>
    <w:rsid w:val="00960ED4"/>
    <w:rsid w:val="00962117"/>
    <w:rsid w:val="009624BC"/>
    <w:rsid w:val="00963CBA"/>
    <w:rsid w:val="00965971"/>
    <w:rsid w:val="00965C97"/>
    <w:rsid w:val="009725A7"/>
    <w:rsid w:val="00972BAD"/>
    <w:rsid w:val="00974A8D"/>
    <w:rsid w:val="009755CD"/>
    <w:rsid w:val="00977283"/>
    <w:rsid w:val="0098356E"/>
    <w:rsid w:val="009861C7"/>
    <w:rsid w:val="00987B8A"/>
    <w:rsid w:val="00991261"/>
    <w:rsid w:val="00995E83"/>
    <w:rsid w:val="00996B20"/>
    <w:rsid w:val="00997711"/>
    <w:rsid w:val="00997760"/>
    <w:rsid w:val="009A0783"/>
    <w:rsid w:val="009A4DD4"/>
    <w:rsid w:val="009A4E3B"/>
    <w:rsid w:val="009A505F"/>
    <w:rsid w:val="009A54DF"/>
    <w:rsid w:val="009A6FE8"/>
    <w:rsid w:val="009B0335"/>
    <w:rsid w:val="009B45F7"/>
    <w:rsid w:val="009B4CA8"/>
    <w:rsid w:val="009B730A"/>
    <w:rsid w:val="009C2FB1"/>
    <w:rsid w:val="009C6273"/>
    <w:rsid w:val="009C675A"/>
    <w:rsid w:val="009D10EC"/>
    <w:rsid w:val="009D236B"/>
    <w:rsid w:val="009D43C2"/>
    <w:rsid w:val="009D474F"/>
    <w:rsid w:val="009D5DD3"/>
    <w:rsid w:val="009D60EC"/>
    <w:rsid w:val="009E088A"/>
    <w:rsid w:val="009E102B"/>
    <w:rsid w:val="009E171B"/>
    <w:rsid w:val="009E29EB"/>
    <w:rsid w:val="009E69DD"/>
    <w:rsid w:val="009F0D42"/>
    <w:rsid w:val="009F2A92"/>
    <w:rsid w:val="009F2F4F"/>
    <w:rsid w:val="009F3A17"/>
    <w:rsid w:val="009F4573"/>
    <w:rsid w:val="009F49F7"/>
    <w:rsid w:val="009F4C42"/>
    <w:rsid w:val="009F5056"/>
    <w:rsid w:val="009F5ED7"/>
    <w:rsid w:val="00A002DC"/>
    <w:rsid w:val="00A01E5A"/>
    <w:rsid w:val="00A0550C"/>
    <w:rsid w:val="00A061AB"/>
    <w:rsid w:val="00A1427D"/>
    <w:rsid w:val="00A143BC"/>
    <w:rsid w:val="00A14774"/>
    <w:rsid w:val="00A177CF"/>
    <w:rsid w:val="00A17830"/>
    <w:rsid w:val="00A2070C"/>
    <w:rsid w:val="00A24105"/>
    <w:rsid w:val="00A2488D"/>
    <w:rsid w:val="00A26CE4"/>
    <w:rsid w:val="00A318FF"/>
    <w:rsid w:val="00A33DF6"/>
    <w:rsid w:val="00A413F7"/>
    <w:rsid w:val="00A42CEA"/>
    <w:rsid w:val="00A478E2"/>
    <w:rsid w:val="00A52F74"/>
    <w:rsid w:val="00A541EA"/>
    <w:rsid w:val="00A55D32"/>
    <w:rsid w:val="00A5718A"/>
    <w:rsid w:val="00A6339F"/>
    <w:rsid w:val="00A6700E"/>
    <w:rsid w:val="00A72F22"/>
    <w:rsid w:val="00A7307A"/>
    <w:rsid w:val="00A742F7"/>
    <w:rsid w:val="00A747E9"/>
    <w:rsid w:val="00A748A6"/>
    <w:rsid w:val="00A816FE"/>
    <w:rsid w:val="00A822B1"/>
    <w:rsid w:val="00A84BE1"/>
    <w:rsid w:val="00A854F0"/>
    <w:rsid w:val="00A879A4"/>
    <w:rsid w:val="00A905CA"/>
    <w:rsid w:val="00A92C14"/>
    <w:rsid w:val="00A92CBA"/>
    <w:rsid w:val="00A93320"/>
    <w:rsid w:val="00A94CE2"/>
    <w:rsid w:val="00A97F13"/>
    <w:rsid w:val="00AA021B"/>
    <w:rsid w:val="00AA17DC"/>
    <w:rsid w:val="00AA2F9E"/>
    <w:rsid w:val="00AA771D"/>
    <w:rsid w:val="00AB3DA4"/>
    <w:rsid w:val="00AB7662"/>
    <w:rsid w:val="00AB7676"/>
    <w:rsid w:val="00AC1316"/>
    <w:rsid w:val="00AC2900"/>
    <w:rsid w:val="00AC6F63"/>
    <w:rsid w:val="00AC76F5"/>
    <w:rsid w:val="00AD7888"/>
    <w:rsid w:val="00AE20DC"/>
    <w:rsid w:val="00AE55CE"/>
    <w:rsid w:val="00AE7A4A"/>
    <w:rsid w:val="00AF2B04"/>
    <w:rsid w:val="00AF6613"/>
    <w:rsid w:val="00AF685C"/>
    <w:rsid w:val="00B0077F"/>
    <w:rsid w:val="00B0164B"/>
    <w:rsid w:val="00B03A46"/>
    <w:rsid w:val="00B11FD2"/>
    <w:rsid w:val="00B12E63"/>
    <w:rsid w:val="00B146F4"/>
    <w:rsid w:val="00B24BA5"/>
    <w:rsid w:val="00B24D69"/>
    <w:rsid w:val="00B27444"/>
    <w:rsid w:val="00B30040"/>
    <w:rsid w:val="00B30179"/>
    <w:rsid w:val="00B31695"/>
    <w:rsid w:val="00B33EC0"/>
    <w:rsid w:val="00B35C41"/>
    <w:rsid w:val="00B36133"/>
    <w:rsid w:val="00B42B5F"/>
    <w:rsid w:val="00B4513A"/>
    <w:rsid w:val="00B46BB8"/>
    <w:rsid w:val="00B5119C"/>
    <w:rsid w:val="00B52A6D"/>
    <w:rsid w:val="00B5315C"/>
    <w:rsid w:val="00B54817"/>
    <w:rsid w:val="00B54A1E"/>
    <w:rsid w:val="00B55767"/>
    <w:rsid w:val="00B5723A"/>
    <w:rsid w:val="00B612E3"/>
    <w:rsid w:val="00B62664"/>
    <w:rsid w:val="00B65402"/>
    <w:rsid w:val="00B66400"/>
    <w:rsid w:val="00B66AC9"/>
    <w:rsid w:val="00B72BAF"/>
    <w:rsid w:val="00B75DBE"/>
    <w:rsid w:val="00B81E12"/>
    <w:rsid w:val="00B83813"/>
    <w:rsid w:val="00B83C81"/>
    <w:rsid w:val="00B83D20"/>
    <w:rsid w:val="00B85B45"/>
    <w:rsid w:val="00B908E1"/>
    <w:rsid w:val="00B92F1E"/>
    <w:rsid w:val="00B92F25"/>
    <w:rsid w:val="00B94D0E"/>
    <w:rsid w:val="00B9615B"/>
    <w:rsid w:val="00BA31B9"/>
    <w:rsid w:val="00BA4C2C"/>
    <w:rsid w:val="00BA512A"/>
    <w:rsid w:val="00BA6EB9"/>
    <w:rsid w:val="00BA7096"/>
    <w:rsid w:val="00BA75EC"/>
    <w:rsid w:val="00BA7A1C"/>
    <w:rsid w:val="00BB0E9C"/>
    <w:rsid w:val="00BB3C77"/>
    <w:rsid w:val="00BB4DC2"/>
    <w:rsid w:val="00BB5567"/>
    <w:rsid w:val="00BC027E"/>
    <w:rsid w:val="00BC73EE"/>
    <w:rsid w:val="00BC74E9"/>
    <w:rsid w:val="00BC775C"/>
    <w:rsid w:val="00BD1D9F"/>
    <w:rsid w:val="00BD2146"/>
    <w:rsid w:val="00BD2427"/>
    <w:rsid w:val="00BD7264"/>
    <w:rsid w:val="00BE07FE"/>
    <w:rsid w:val="00BE2319"/>
    <w:rsid w:val="00BE2713"/>
    <w:rsid w:val="00BE4F74"/>
    <w:rsid w:val="00BE618E"/>
    <w:rsid w:val="00BE68B7"/>
    <w:rsid w:val="00BF25C2"/>
    <w:rsid w:val="00C0023D"/>
    <w:rsid w:val="00C024CD"/>
    <w:rsid w:val="00C113D1"/>
    <w:rsid w:val="00C1554D"/>
    <w:rsid w:val="00C17699"/>
    <w:rsid w:val="00C2337F"/>
    <w:rsid w:val="00C23F04"/>
    <w:rsid w:val="00C30246"/>
    <w:rsid w:val="00C30B51"/>
    <w:rsid w:val="00C3163F"/>
    <w:rsid w:val="00C32156"/>
    <w:rsid w:val="00C342A7"/>
    <w:rsid w:val="00C35F27"/>
    <w:rsid w:val="00C41A28"/>
    <w:rsid w:val="00C46154"/>
    <w:rsid w:val="00C463DD"/>
    <w:rsid w:val="00C5582C"/>
    <w:rsid w:val="00C60906"/>
    <w:rsid w:val="00C6118C"/>
    <w:rsid w:val="00C61A09"/>
    <w:rsid w:val="00C6435B"/>
    <w:rsid w:val="00C66354"/>
    <w:rsid w:val="00C66DDD"/>
    <w:rsid w:val="00C66E25"/>
    <w:rsid w:val="00C72817"/>
    <w:rsid w:val="00C7349C"/>
    <w:rsid w:val="00C73E53"/>
    <w:rsid w:val="00C745BF"/>
    <w:rsid w:val="00C745C3"/>
    <w:rsid w:val="00C746C9"/>
    <w:rsid w:val="00C74FBC"/>
    <w:rsid w:val="00C75952"/>
    <w:rsid w:val="00C800FE"/>
    <w:rsid w:val="00C805BC"/>
    <w:rsid w:val="00C84DF7"/>
    <w:rsid w:val="00C86451"/>
    <w:rsid w:val="00C87BF6"/>
    <w:rsid w:val="00C93F56"/>
    <w:rsid w:val="00C95E83"/>
    <w:rsid w:val="00C96EC2"/>
    <w:rsid w:val="00C97712"/>
    <w:rsid w:val="00CA0636"/>
    <w:rsid w:val="00CA21E8"/>
    <w:rsid w:val="00CA24FF"/>
    <w:rsid w:val="00CA3109"/>
    <w:rsid w:val="00CA60B4"/>
    <w:rsid w:val="00CA6FA0"/>
    <w:rsid w:val="00CA7472"/>
    <w:rsid w:val="00CB075D"/>
    <w:rsid w:val="00CB0D3B"/>
    <w:rsid w:val="00CB2911"/>
    <w:rsid w:val="00CB3570"/>
    <w:rsid w:val="00CB71A4"/>
    <w:rsid w:val="00CC1B61"/>
    <w:rsid w:val="00CC2481"/>
    <w:rsid w:val="00CC3511"/>
    <w:rsid w:val="00CC4E3B"/>
    <w:rsid w:val="00CC6C36"/>
    <w:rsid w:val="00CD0AB3"/>
    <w:rsid w:val="00CD403A"/>
    <w:rsid w:val="00CD6B2E"/>
    <w:rsid w:val="00CD7454"/>
    <w:rsid w:val="00CE01C0"/>
    <w:rsid w:val="00CE497F"/>
    <w:rsid w:val="00CE4A8F"/>
    <w:rsid w:val="00CE4B5A"/>
    <w:rsid w:val="00CE4D7C"/>
    <w:rsid w:val="00CE6550"/>
    <w:rsid w:val="00CF36F3"/>
    <w:rsid w:val="00CF37F3"/>
    <w:rsid w:val="00CF3CB7"/>
    <w:rsid w:val="00CF5BB0"/>
    <w:rsid w:val="00D00450"/>
    <w:rsid w:val="00D0058E"/>
    <w:rsid w:val="00D008A3"/>
    <w:rsid w:val="00D01E98"/>
    <w:rsid w:val="00D04BA4"/>
    <w:rsid w:val="00D04E81"/>
    <w:rsid w:val="00D073C6"/>
    <w:rsid w:val="00D121B6"/>
    <w:rsid w:val="00D1389C"/>
    <w:rsid w:val="00D1425B"/>
    <w:rsid w:val="00D164DD"/>
    <w:rsid w:val="00D2031B"/>
    <w:rsid w:val="00D25388"/>
    <w:rsid w:val="00D25FE2"/>
    <w:rsid w:val="00D26929"/>
    <w:rsid w:val="00D27576"/>
    <w:rsid w:val="00D30977"/>
    <w:rsid w:val="00D317BB"/>
    <w:rsid w:val="00D33328"/>
    <w:rsid w:val="00D352CB"/>
    <w:rsid w:val="00D369D8"/>
    <w:rsid w:val="00D43252"/>
    <w:rsid w:val="00D45D0A"/>
    <w:rsid w:val="00D46B40"/>
    <w:rsid w:val="00D55857"/>
    <w:rsid w:val="00D60CDC"/>
    <w:rsid w:val="00D6389B"/>
    <w:rsid w:val="00D66BBC"/>
    <w:rsid w:val="00D71B47"/>
    <w:rsid w:val="00D72DE1"/>
    <w:rsid w:val="00D748D7"/>
    <w:rsid w:val="00D85458"/>
    <w:rsid w:val="00D96269"/>
    <w:rsid w:val="00D978C6"/>
    <w:rsid w:val="00D97FD0"/>
    <w:rsid w:val="00DA3C6C"/>
    <w:rsid w:val="00DA5A0F"/>
    <w:rsid w:val="00DA67AD"/>
    <w:rsid w:val="00DA6D4E"/>
    <w:rsid w:val="00DB06D2"/>
    <w:rsid w:val="00DB2042"/>
    <w:rsid w:val="00DB2A63"/>
    <w:rsid w:val="00DB4C2A"/>
    <w:rsid w:val="00DB5D0F"/>
    <w:rsid w:val="00DC59B0"/>
    <w:rsid w:val="00DC6021"/>
    <w:rsid w:val="00DC7AF7"/>
    <w:rsid w:val="00DD415F"/>
    <w:rsid w:val="00DE32AC"/>
    <w:rsid w:val="00DE3411"/>
    <w:rsid w:val="00DE4FE4"/>
    <w:rsid w:val="00DF0592"/>
    <w:rsid w:val="00DF12F7"/>
    <w:rsid w:val="00DF1747"/>
    <w:rsid w:val="00DF3292"/>
    <w:rsid w:val="00DF44B5"/>
    <w:rsid w:val="00DF495E"/>
    <w:rsid w:val="00DF6806"/>
    <w:rsid w:val="00E01A8F"/>
    <w:rsid w:val="00E02C81"/>
    <w:rsid w:val="00E02CC8"/>
    <w:rsid w:val="00E059FC"/>
    <w:rsid w:val="00E0797D"/>
    <w:rsid w:val="00E07B4D"/>
    <w:rsid w:val="00E12376"/>
    <w:rsid w:val="00E130AB"/>
    <w:rsid w:val="00E131BB"/>
    <w:rsid w:val="00E144BF"/>
    <w:rsid w:val="00E14F86"/>
    <w:rsid w:val="00E15501"/>
    <w:rsid w:val="00E15DC9"/>
    <w:rsid w:val="00E15DF0"/>
    <w:rsid w:val="00E23CAD"/>
    <w:rsid w:val="00E27CED"/>
    <w:rsid w:val="00E322B5"/>
    <w:rsid w:val="00E330C1"/>
    <w:rsid w:val="00E345CE"/>
    <w:rsid w:val="00E3617C"/>
    <w:rsid w:val="00E363D6"/>
    <w:rsid w:val="00E37B82"/>
    <w:rsid w:val="00E41CFE"/>
    <w:rsid w:val="00E43F71"/>
    <w:rsid w:val="00E46597"/>
    <w:rsid w:val="00E47898"/>
    <w:rsid w:val="00E53AC3"/>
    <w:rsid w:val="00E55279"/>
    <w:rsid w:val="00E66F5C"/>
    <w:rsid w:val="00E7260F"/>
    <w:rsid w:val="00E773CD"/>
    <w:rsid w:val="00E819ED"/>
    <w:rsid w:val="00E842CE"/>
    <w:rsid w:val="00E847C3"/>
    <w:rsid w:val="00E857FA"/>
    <w:rsid w:val="00E87921"/>
    <w:rsid w:val="00E913FD"/>
    <w:rsid w:val="00E92905"/>
    <w:rsid w:val="00E951FE"/>
    <w:rsid w:val="00E96630"/>
    <w:rsid w:val="00E96675"/>
    <w:rsid w:val="00EA264E"/>
    <w:rsid w:val="00EB247C"/>
    <w:rsid w:val="00EB504F"/>
    <w:rsid w:val="00EB6BAC"/>
    <w:rsid w:val="00EC1665"/>
    <w:rsid w:val="00EC2F56"/>
    <w:rsid w:val="00EC54BA"/>
    <w:rsid w:val="00EC67F7"/>
    <w:rsid w:val="00ED095F"/>
    <w:rsid w:val="00ED5D98"/>
    <w:rsid w:val="00ED621D"/>
    <w:rsid w:val="00ED7A2A"/>
    <w:rsid w:val="00EE17D9"/>
    <w:rsid w:val="00EE4A3B"/>
    <w:rsid w:val="00EE5AF8"/>
    <w:rsid w:val="00EE6953"/>
    <w:rsid w:val="00EF0752"/>
    <w:rsid w:val="00EF0C63"/>
    <w:rsid w:val="00EF1D7F"/>
    <w:rsid w:val="00EF6ACF"/>
    <w:rsid w:val="00F03020"/>
    <w:rsid w:val="00F07544"/>
    <w:rsid w:val="00F07C40"/>
    <w:rsid w:val="00F07C8A"/>
    <w:rsid w:val="00F1366A"/>
    <w:rsid w:val="00F168BE"/>
    <w:rsid w:val="00F20E92"/>
    <w:rsid w:val="00F2154F"/>
    <w:rsid w:val="00F30395"/>
    <w:rsid w:val="00F3378C"/>
    <w:rsid w:val="00F34786"/>
    <w:rsid w:val="00F35430"/>
    <w:rsid w:val="00F36BD3"/>
    <w:rsid w:val="00F37596"/>
    <w:rsid w:val="00F41C95"/>
    <w:rsid w:val="00F44197"/>
    <w:rsid w:val="00F52154"/>
    <w:rsid w:val="00F52A5F"/>
    <w:rsid w:val="00F53EDA"/>
    <w:rsid w:val="00F557DC"/>
    <w:rsid w:val="00F60219"/>
    <w:rsid w:val="00F621C9"/>
    <w:rsid w:val="00F62ECC"/>
    <w:rsid w:val="00F63665"/>
    <w:rsid w:val="00F64735"/>
    <w:rsid w:val="00F64B34"/>
    <w:rsid w:val="00F6542F"/>
    <w:rsid w:val="00F65E0E"/>
    <w:rsid w:val="00F7199D"/>
    <w:rsid w:val="00F721B8"/>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B0E8E"/>
    <w:rsid w:val="00FB0F05"/>
    <w:rsid w:val="00FB171A"/>
    <w:rsid w:val="00FB4B23"/>
    <w:rsid w:val="00FB58C7"/>
    <w:rsid w:val="00FB782A"/>
    <w:rsid w:val="00FC1918"/>
    <w:rsid w:val="00FC4ADF"/>
    <w:rsid w:val="00FC68B7"/>
    <w:rsid w:val="00FD0951"/>
    <w:rsid w:val="00FD0E31"/>
    <w:rsid w:val="00FD1224"/>
    <w:rsid w:val="00FD5ECB"/>
    <w:rsid w:val="00FD7BF6"/>
    <w:rsid w:val="00FE0BD6"/>
    <w:rsid w:val="00FE1700"/>
    <w:rsid w:val="00FE2A8B"/>
    <w:rsid w:val="00FE460C"/>
    <w:rsid w:val="00FE78C4"/>
    <w:rsid w:val="00FF1C57"/>
    <w:rsid w:val="00FF2020"/>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990FE"/>
  <w15:docId w15:val="{14655418-76E6-48A7-91DA-4DD37603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uiPriority w:val="59"/>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rsid w:val="0008130D"/>
    <w:rPr>
      <w:snapToGrid w:val="0"/>
      <w:sz w:val="16"/>
      <w:lang w:val="en-GB" w:eastAsia="fr-FR"/>
    </w:rPr>
  </w:style>
  <w:style w:type="paragraph" w:customStyle="1" w:styleId="N5">
    <w:name w:val="N5"/>
    <w:basedOn w:val="Normal"/>
    <w:link w:val="N5Car"/>
    <w:rsid w:val="00A177CF"/>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character" w:customStyle="1" w:styleId="N5Car">
    <w:name w:val="N5 Car"/>
    <w:link w:val="N5"/>
    <w:rsid w:val="00A177CF"/>
    <w:rPr>
      <w:rFonts w:ascii="Arial" w:hAnsi="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13121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77C46-129C-48BD-B0A4-72E626C8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22</TotalTime>
  <Pages>3</Pages>
  <Words>892</Words>
  <Characters>5090</Characters>
  <Application>Microsoft Office Word</Application>
  <DocSecurity>0</DocSecurity>
  <Lines>42</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Marie-Claude Collet</cp:lastModifiedBy>
  <cp:revision>10</cp:revision>
  <cp:lastPrinted>2017-06-12T12:36:00Z</cp:lastPrinted>
  <dcterms:created xsi:type="dcterms:W3CDTF">2017-03-16T09:13:00Z</dcterms:created>
  <dcterms:modified xsi:type="dcterms:W3CDTF">2017-06-12T13:31:00Z</dcterms:modified>
</cp:coreProperties>
</file>