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5214C3">
              <w:fldChar w:fldCharType="begin"/>
            </w:r>
            <w:r w:rsidR="005214C3">
              <w:instrText xml:space="preserve"> FILLIN  "Введите символ после ЕCE/"  \* MERGEFORMAT </w:instrText>
            </w:r>
            <w:r w:rsidR="005214C3">
              <w:fldChar w:fldCharType="separate"/>
            </w:r>
            <w:r w:rsidR="00913AAB">
              <w:t>TRANS/WP.15/AC.2/2017/15</w:t>
            </w:r>
            <w:r w:rsidR="005214C3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5214C3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5214C3" w:rsidP="007B199D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6737F8">
              <w:rPr>
                <w:lang w:val="en-US"/>
              </w:rPr>
              <w:t>9</w:t>
            </w:r>
            <w:r w:rsidR="00913AAB">
              <w:t xml:space="preserve"> November 2016</w:t>
            </w:r>
            <w:r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5214C3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D3004" w:rsidRPr="008D3004" w:rsidRDefault="008D3004" w:rsidP="008D3004">
      <w:pPr>
        <w:pStyle w:val="SingleTxtGR"/>
        <w:spacing w:before="120"/>
        <w:ind w:left="0" w:right="1138"/>
        <w:rPr>
          <w:sz w:val="28"/>
          <w:szCs w:val="28"/>
        </w:rPr>
      </w:pPr>
      <w:r w:rsidRPr="008D3004">
        <w:rPr>
          <w:sz w:val="28"/>
          <w:szCs w:val="28"/>
        </w:rPr>
        <w:t>Комитет по внутреннему транспорту</w:t>
      </w:r>
    </w:p>
    <w:p w:rsidR="008D3004" w:rsidRPr="008D3004" w:rsidRDefault="008D3004" w:rsidP="008D3004">
      <w:pPr>
        <w:pStyle w:val="SingleTxtGR"/>
        <w:ind w:left="0" w:right="1138"/>
        <w:rPr>
          <w:b/>
          <w:bCs/>
          <w:sz w:val="24"/>
          <w:szCs w:val="24"/>
        </w:rPr>
      </w:pPr>
      <w:r w:rsidRPr="008D3004">
        <w:rPr>
          <w:b/>
          <w:bCs/>
          <w:sz w:val="24"/>
          <w:szCs w:val="24"/>
        </w:rPr>
        <w:t>Рабочая группа по перевозкам опасных грузов</w:t>
      </w:r>
    </w:p>
    <w:p w:rsidR="008D3004" w:rsidRPr="008D3004" w:rsidRDefault="008D3004" w:rsidP="008D3004">
      <w:pPr>
        <w:pStyle w:val="SingleTxtGR"/>
        <w:spacing w:after="0"/>
        <w:ind w:left="0" w:right="1138"/>
        <w:jc w:val="left"/>
        <w:rPr>
          <w:b/>
          <w:bCs/>
        </w:rPr>
      </w:pPr>
      <w:r w:rsidRPr="008D3004">
        <w:rPr>
          <w:b/>
          <w:bCs/>
        </w:rPr>
        <w:t>Совместное совещание экспертов по Правилам,</w:t>
      </w:r>
      <w:r w:rsidRPr="008D3004">
        <w:rPr>
          <w:b/>
          <w:bCs/>
        </w:rPr>
        <w:br/>
        <w:t>прилагаемым к Европейскому соглашению</w:t>
      </w:r>
      <w:r w:rsidRPr="008D3004">
        <w:rPr>
          <w:b/>
          <w:bCs/>
        </w:rPr>
        <w:br/>
        <w:t>о международной перевозке опасных грузов</w:t>
      </w:r>
      <w:r w:rsidRPr="008D3004">
        <w:rPr>
          <w:b/>
          <w:bCs/>
        </w:rPr>
        <w:br/>
        <w:t>по внутренним водным путям (ВОПОГ)</w:t>
      </w:r>
      <w:r w:rsidRPr="008D3004">
        <w:rPr>
          <w:b/>
          <w:bCs/>
        </w:rPr>
        <w:br/>
        <w:t>(Комитет по вопросам безопасности ВОПОГ)</w:t>
      </w:r>
    </w:p>
    <w:p w:rsidR="008D3004" w:rsidRPr="008D3004" w:rsidRDefault="008D3004" w:rsidP="00D208DC">
      <w:pPr>
        <w:pStyle w:val="SingleTxtGR"/>
        <w:spacing w:before="120" w:after="0"/>
        <w:ind w:left="0" w:right="1138"/>
        <w:jc w:val="left"/>
        <w:rPr>
          <w:b/>
          <w:bCs/>
        </w:rPr>
      </w:pPr>
      <w:r w:rsidRPr="008D3004">
        <w:rPr>
          <w:b/>
          <w:bCs/>
        </w:rPr>
        <w:t>Тридцатая сессия</w:t>
      </w:r>
    </w:p>
    <w:p w:rsidR="008D3004" w:rsidRPr="008D3004" w:rsidRDefault="008D3004" w:rsidP="008D3004">
      <w:pPr>
        <w:pStyle w:val="SingleTxtGR"/>
        <w:spacing w:after="0"/>
        <w:ind w:left="0" w:right="1138"/>
        <w:jc w:val="left"/>
      </w:pPr>
      <w:r w:rsidRPr="008D3004">
        <w:t>Женева, 23–27 января 2017 года</w:t>
      </w:r>
    </w:p>
    <w:p w:rsidR="008D3004" w:rsidRPr="008D3004" w:rsidRDefault="008D3004" w:rsidP="008D3004">
      <w:pPr>
        <w:pStyle w:val="SingleTxtGR"/>
        <w:spacing w:after="0"/>
        <w:ind w:left="0" w:right="1138"/>
        <w:jc w:val="left"/>
      </w:pPr>
      <w:r w:rsidRPr="008D3004">
        <w:t>Пункт 4 b) предварительной повестки дня</w:t>
      </w:r>
    </w:p>
    <w:p w:rsidR="008D3004" w:rsidRPr="008D3004" w:rsidRDefault="008D3004" w:rsidP="008D3004">
      <w:pPr>
        <w:pStyle w:val="SingleTxtGR"/>
        <w:spacing w:after="0"/>
        <w:ind w:left="0" w:right="1138"/>
        <w:jc w:val="left"/>
        <w:rPr>
          <w:b/>
        </w:rPr>
      </w:pPr>
      <w:r w:rsidRPr="008D3004">
        <w:rPr>
          <w:b/>
        </w:rPr>
        <w:t xml:space="preserve">Применение Европейского соглашения о международной </w:t>
      </w:r>
      <w:r w:rsidR="00D208DC" w:rsidRPr="00D208DC">
        <w:rPr>
          <w:b/>
        </w:rPr>
        <w:br/>
      </w:r>
      <w:r w:rsidRPr="008D3004">
        <w:rPr>
          <w:b/>
        </w:rPr>
        <w:t xml:space="preserve">перевозке опасных грузов по внутренним водным </w:t>
      </w:r>
      <w:r w:rsidR="00D208DC" w:rsidRPr="00D208DC">
        <w:rPr>
          <w:b/>
        </w:rPr>
        <w:br/>
      </w:r>
      <w:r w:rsidRPr="008D3004">
        <w:rPr>
          <w:b/>
        </w:rPr>
        <w:t>путям (ВОПОГ):</w:t>
      </w:r>
      <w:r w:rsidR="00D208DC" w:rsidRPr="00D208DC">
        <w:rPr>
          <w:b/>
        </w:rPr>
        <w:t xml:space="preserve"> </w:t>
      </w:r>
      <w:r w:rsidRPr="008D3004">
        <w:rPr>
          <w:b/>
        </w:rPr>
        <w:t xml:space="preserve">специальные разрешения, отступления </w:t>
      </w:r>
      <w:r w:rsidR="00D208DC" w:rsidRPr="00D208DC">
        <w:rPr>
          <w:b/>
        </w:rPr>
        <w:br/>
      </w:r>
      <w:r w:rsidRPr="008D3004">
        <w:rPr>
          <w:b/>
        </w:rPr>
        <w:t>и эквивалентные аналоги</w:t>
      </w:r>
    </w:p>
    <w:p w:rsidR="008D3004" w:rsidRPr="008D3004" w:rsidRDefault="008D3004" w:rsidP="00D208DC">
      <w:pPr>
        <w:pStyle w:val="HChGR"/>
      </w:pPr>
      <w:r w:rsidRPr="008D3004">
        <w:tab/>
      </w:r>
      <w:r w:rsidRPr="008D3004">
        <w:tab/>
        <w:t>Заявка на предоставление отступления для судна «</w:t>
      </w:r>
      <w:r w:rsidRPr="008D3004">
        <w:rPr>
          <w:lang w:val="en-GB"/>
        </w:rPr>
        <w:t>Don</w:t>
      </w:r>
      <w:r w:rsidRPr="008D3004">
        <w:t xml:space="preserve"> </w:t>
      </w:r>
      <w:r w:rsidRPr="008D3004">
        <w:rPr>
          <w:lang w:val="en-GB"/>
        </w:rPr>
        <w:t>Quichot</w:t>
      </w:r>
      <w:r w:rsidRPr="008D3004">
        <w:t>» (</w:t>
      </w:r>
      <w:r w:rsidRPr="008D3004">
        <w:rPr>
          <w:lang w:val="en-GB"/>
        </w:rPr>
        <w:t>ENI</w:t>
      </w:r>
      <w:r w:rsidRPr="008D3004">
        <w:t xml:space="preserve"> 02336771)</w:t>
      </w:r>
    </w:p>
    <w:p w:rsidR="008D3004" w:rsidRPr="008D3004" w:rsidRDefault="008D3004" w:rsidP="00D208DC">
      <w:pPr>
        <w:pStyle w:val="H1GR"/>
      </w:pPr>
      <w:r w:rsidRPr="008D3004">
        <w:tab/>
      </w:r>
      <w:r w:rsidRPr="008D3004">
        <w:tab/>
        <w:t>Передано правительством Нидерландов</w:t>
      </w:r>
      <w:r w:rsidRPr="00D208DC">
        <w:rPr>
          <w:b w:val="0"/>
          <w:sz w:val="20"/>
        </w:rPr>
        <w:footnoteReference w:customMarkFollows="1" w:id="1"/>
        <w:t>*</w:t>
      </w:r>
      <w:r w:rsidR="00D208DC">
        <w:rPr>
          <w:b w:val="0"/>
          <w:sz w:val="20"/>
          <w:lang w:val="en-US"/>
        </w:rPr>
        <w:t xml:space="preserve"> </w:t>
      </w:r>
      <w:r w:rsidRPr="00D208DC">
        <w:rPr>
          <w:b w:val="0"/>
          <w:sz w:val="20"/>
        </w:rPr>
        <w:footnoteReference w:customMarkFollows="1" w:id="2"/>
        <w:t>**</w:t>
      </w:r>
    </w:p>
    <w:p w:rsidR="008D3004" w:rsidRPr="008D3004" w:rsidRDefault="008D3004" w:rsidP="00D208DC">
      <w:pPr>
        <w:pStyle w:val="HChGR"/>
      </w:pPr>
      <w:r w:rsidRPr="008D3004">
        <w:tab/>
      </w:r>
      <w:r w:rsidRPr="008D3004">
        <w:rPr>
          <w:lang w:val="en-GB"/>
        </w:rPr>
        <w:t>I</w:t>
      </w:r>
      <w:r w:rsidR="0030311A" w:rsidRPr="004D046D">
        <w:t>.</w:t>
      </w:r>
      <w:r w:rsidRPr="008D3004">
        <w:tab/>
        <w:t>Введение</w:t>
      </w:r>
    </w:p>
    <w:p w:rsidR="008D3004" w:rsidRPr="008D3004" w:rsidRDefault="008D3004" w:rsidP="008D3004">
      <w:pPr>
        <w:pStyle w:val="SingleTxtGR"/>
      </w:pPr>
      <w:r w:rsidRPr="008D3004">
        <w:t>1.</w:t>
      </w:r>
      <w:r w:rsidRPr="008D3004">
        <w:tab/>
        <w:t>В настоящее время в Нидерландах строится баржа «</w:t>
      </w:r>
      <w:r w:rsidRPr="008D3004">
        <w:rPr>
          <w:lang w:val="en-GB"/>
        </w:rPr>
        <w:t>Don</w:t>
      </w:r>
      <w:r w:rsidRPr="008D3004">
        <w:t xml:space="preserve"> </w:t>
      </w:r>
      <w:r w:rsidRPr="008D3004">
        <w:rPr>
          <w:lang w:val="en-GB"/>
        </w:rPr>
        <w:t>Quichot</w:t>
      </w:r>
      <w:r w:rsidRPr="008D3004">
        <w:t>» (</w:t>
      </w:r>
      <w:r w:rsidRPr="008D3004">
        <w:rPr>
          <w:lang w:val="en-GB"/>
        </w:rPr>
        <w:t>ENI</w:t>
      </w:r>
      <w:r w:rsidR="00EA2481">
        <w:rPr>
          <w:lang w:val="en-GB"/>
        </w:rPr>
        <w:t> </w:t>
      </w:r>
      <w:r w:rsidRPr="008D3004">
        <w:t>02336771, номер 27930</w:t>
      </w:r>
      <w:r w:rsidRPr="008D3004">
        <w:rPr>
          <w:lang w:val="en-GB"/>
        </w:rPr>
        <w:t>L</w:t>
      </w:r>
      <w:r w:rsidRPr="008D3004">
        <w:t xml:space="preserve"> в Регистре «Бюро Веритас»). Судовладелец намерен использовать эту баржу для сбора паров и газов из разгруженных грузовых танков судов внутреннего плавания. Учитывая недавние события, такие как пересмотр </w:t>
      </w:r>
      <w:r w:rsidRPr="008D3004">
        <w:rPr>
          <w:iCs/>
        </w:rPr>
        <w:t>КОВВП</w:t>
      </w:r>
      <w:r w:rsidRPr="008D3004">
        <w:t xml:space="preserve"> и введение региональных запретов на дегазацию грузовых танков, делегация Нидерландов поддерживает разработку инновационных проектов в области сбора опасных паров и газов.</w:t>
      </w:r>
    </w:p>
    <w:p w:rsidR="008D3004" w:rsidRPr="008D3004" w:rsidRDefault="008D3004" w:rsidP="008D3004">
      <w:pPr>
        <w:pStyle w:val="SingleTxtGR"/>
      </w:pPr>
      <w:r w:rsidRPr="008D3004">
        <w:lastRenderedPageBreak/>
        <w:t>2.</w:t>
      </w:r>
      <w:r w:rsidRPr="008D3004">
        <w:tab/>
        <w:t>Данная баржа классифицирована как толкаемая баржа типа С, и поэтому она должна отвечать требованиям, изложенным в разделе 9.3.2 Правил, прилагаемых к ВОПОГ. Вследствие особой конструкции этой баржи она не соответствует ряду положений Правил, прилагаемых к ВОПОГ. Однако эти отклонения от правил не приведут к снижению уровня безопасности на борту баржи. На</w:t>
      </w:r>
      <w:r w:rsidR="00A35110">
        <w:rPr>
          <w:lang w:val="en-US"/>
        </w:rPr>
        <w:t> </w:t>
      </w:r>
      <w:r w:rsidRPr="008D3004">
        <w:t>борту будут применены несколько дополнительных мер безопасности, с тем чтобы гарантировать уровень безопасности, эквивалентный уровню безопасности баржи, полностью отвечающей требованиям в отношении конструкции.</w:t>
      </w:r>
    </w:p>
    <w:p w:rsidR="008D3004" w:rsidRPr="008D3004" w:rsidRDefault="008D3004" w:rsidP="00236F18">
      <w:pPr>
        <w:pStyle w:val="HChGR"/>
        <w:spacing w:before="200" w:after="160" w:line="240" w:lineRule="exact"/>
        <w:ind w:left="1138" w:right="1138" w:hanging="1138"/>
      </w:pPr>
      <w:r w:rsidRPr="008D3004">
        <w:tab/>
      </w:r>
      <w:r w:rsidRPr="008D3004">
        <w:rPr>
          <w:lang w:val="en-GB"/>
        </w:rPr>
        <w:t>II</w:t>
      </w:r>
      <w:r w:rsidRPr="008D3004">
        <w:t>.</w:t>
      </w:r>
      <w:r w:rsidRPr="008D3004">
        <w:tab/>
        <w:t>Предложение</w:t>
      </w:r>
    </w:p>
    <w:p w:rsidR="008D3004" w:rsidRPr="008D3004" w:rsidRDefault="008D3004" w:rsidP="00D208DC">
      <w:pPr>
        <w:pStyle w:val="SingleTxtGR"/>
        <w:ind w:left="1138" w:right="1138"/>
      </w:pPr>
      <w:r w:rsidRPr="008D3004">
        <w:t>3.</w:t>
      </w:r>
      <w:r w:rsidRPr="008D3004">
        <w:tab/>
        <w:t>Исходя из вышеизложенного, делегация Нидерландов просит Административный комитет ВОПОГ разрешить компетентному органу Нидерландов выдать пробное свидетельство о допущении для баржи «</w:t>
      </w:r>
      <w:r w:rsidRPr="008D3004">
        <w:rPr>
          <w:lang w:val="en-GB"/>
        </w:rPr>
        <w:t>Don</w:t>
      </w:r>
      <w:r w:rsidRPr="008D3004">
        <w:t xml:space="preserve"> </w:t>
      </w:r>
      <w:r w:rsidRPr="008D3004">
        <w:rPr>
          <w:lang w:val="en-GB"/>
        </w:rPr>
        <w:t>Quichot</w:t>
      </w:r>
      <w:r w:rsidRPr="008D3004">
        <w:t>». Ниже приводится обзор отклонений от Правил, прилагаемых к ВОПОГ, и дополнительных мер безопасности: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954"/>
        <w:gridCol w:w="2970"/>
        <w:gridCol w:w="2446"/>
      </w:tblGrid>
      <w:tr w:rsidR="004039F3" w:rsidRPr="008D3004" w:rsidTr="004039F3">
        <w:trPr>
          <w:tblHeader/>
        </w:trPr>
        <w:tc>
          <w:tcPr>
            <w:tcW w:w="19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D3004" w:rsidRPr="008D3004" w:rsidRDefault="008D3004" w:rsidP="008D3004">
            <w:pPr>
              <w:spacing w:before="80" w:after="80" w:line="200" w:lineRule="exact"/>
              <w:rPr>
                <w:i/>
                <w:sz w:val="16"/>
              </w:rPr>
            </w:pPr>
            <w:r w:rsidRPr="008D3004">
              <w:rPr>
                <w:i/>
                <w:sz w:val="16"/>
              </w:rPr>
              <w:t>Раздел/Пункт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D3004" w:rsidRPr="008D3004" w:rsidRDefault="008D3004" w:rsidP="008D3004">
            <w:pPr>
              <w:spacing w:before="80" w:after="80" w:line="200" w:lineRule="exact"/>
              <w:rPr>
                <w:i/>
                <w:sz w:val="16"/>
              </w:rPr>
            </w:pPr>
            <w:r w:rsidRPr="008D3004">
              <w:rPr>
                <w:i/>
                <w:sz w:val="16"/>
              </w:rPr>
              <w:t>Конструкция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6" w:type="dxa"/>
            <w:tcBorders>
              <w:bottom w:val="single" w:sz="12" w:space="0" w:color="auto"/>
            </w:tcBorders>
            <w:shd w:val="clear" w:color="auto" w:fill="auto"/>
          </w:tcPr>
          <w:p w:rsidR="008D3004" w:rsidRPr="008D3004" w:rsidRDefault="008D3004" w:rsidP="008D3004">
            <w:pPr>
              <w:spacing w:before="80" w:after="80" w:line="200" w:lineRule="exact"/>
              <w:rPr>
                <w:i/>
                <w:sz w:val="16"/>
              </w:rPr>
            </w:pPr>
            <w:r w:rsidRPr="008D3004">
              <w:rPr>
                <w:i/>
                <w:sz w:val="16"/>
              </w:rPr>
              <w:t>Меры безопасности</w:t>
            </w:r>
          </w:p>
        </w:tc>
      </w:tr>
      <w:tr w:rsidR="008D3004" w:rsidRPr="008D3004" w:rsidTr="004039F3">
        <w:tc>
          <w:tcPr>
            <w:tcW w:w="1954" w:type="dxa"/>
            <w:tcBorders>
              <w:top w:val="single" w:sz="12" w:space="0" w:color="auto"/>
              <w:bottom w:val="nil"/>
            </w:tcBorders>
          </w:tcPr>
          <w:p w:rsidR="008D3004" w:rsidRPr="00236F18" w:rsidRDefault="008D3004" w:rsidP="00236F18">
            <w:pPr>
              <w:spacing w:line="220" w:lineRule="atLeast"/>
            </w:pPr>
            <w:r w:rsidRPr="00236F18">
              <w:t>1.2.1 (Гладкопалубное судно типа С)</w:t>
            </w:r>
          </w:p>
        </w:tc>
        <w:tc>
          <w:tcPr>
            <w:tcW w:w="2970" w:type="dxa"/>
            <w:tcBorders>
              <w:top w:val="single" w:sz="12" w:space="0" w:color="auto"/>
              <w:bottom w:val="nil"/>
            </w:tcBorders>
          </w:tcPr>
          <w:p w:rsidR="008D3004" w:rsidRPr="00236F18" w:rsidRDefault="008D3004" w:rsidP="004D046D">
            <w:pPr>
              <w:spacing w:line="220" w:lineRule="atLeast"/>
            </w:pPr>
            <w:r w:rsidRPr="00236F18">
              <w:t xml:space="preserve">Данная баржа классифицирована как судно типа С, но </w:t>
            </w:r>
            <w:r w:rsidR="004D046D" w:rsidRPr="004D046D">
              <w:br/>
            </w:r>
            <w:r w:rsidRPr="00236F18">
              <w:t xml:space="preserve">имеет насосное отделение, </w:t>
            </w:r>
            <w:r w:rsidR="004D046D" w:rsidRPr="004D046D">
              <w:br/>
            </w:r>
            <w:r w:rsidRPr="00236F18">
              <w:t xml:space="preserve">выступающее на главную </w:t>
            </w:r>
            <w:r w:rsidR="004D046D">
              <w:rPr>
                <w:lang w:val="en-US"/>
              </w:rPr>
              <w:br/>
            </w:r>
            <w:r w:rsidRPr="00236F18">
              <w:t xml:space="preserve">палубу. Опасные зоны на главной палубе вокруг насосного </w:t>
            </w:r>
            <w:r w:rsidR="004039F3" w:rsidRPr="004039F3">
              <w:br/>
            </w:r>
            <w:r w:rsidRPr="00236F18">
              <w:t xml:space="preserve">отделения соответствуют </w:t>
            </w:r>
            <w:r w:rsidR="004D046D" w:rsidRPr="004D046D">
              <w:br/>
            </w:r>
            <w:r w:rsidRPr="00236F18">
              <w:t xml:space="preserve">правилам «Бюро Веритас» </w:t>
            </w:r>
            <w:r w:rsidR="004D046D" w:rsidRPr="004D046D">
              <w:br/>
            </w:r>
            <w:r w:rsidRPr="00236F18">
              <w:t>NR 217, часть D, приложение</w:t>
            </w:r>
            <w:r w:rsidR="00C52DD3" w:rsidRPr="00236F18">
              <w:rPr>
                <w:lang w:val="en-US"/>
              </w:rPr>
              <w:t> </w:t>
            </w:r>
            <w:r w:rsidRPr="00236F18">
              <w:t>1, 1.7.2. Насосное отделение отвечает соответствующим требованиям ВОПОГ.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6" w:type="dxa"/>
            <w:tcBorders>
              <w:top w:val="single" w:sz="12" w:space="0" w:color="auto"/>
            </w:tcBorders>
          </w:tcPr>
          <w:p w:rsidR="008D3004" w:rsidRPr="00236F18" w:rsidRDefault="008D3004" w:rsidP="00236F18">
            <w:pPr>
              <w:spacing w:line="220" w:lineRule="atLeast"/>
            </w:pPr>
            <w:r w:rsidRPr="00236F18">
              <w:t xml:space="preserve">На палубе установлена система камер, обеспечивающая полный обзор пространства из </w:t>
            </w:r>
            <w:r w:rsidR="004039F3" w:rsidRPr="004039F3">
              <w:br/>
            </w:r>
            <w:r w:rsidRPr="00236F18">
              <w:t xml:space="preserve">служебных помещений. Кроме того, насосное </w:t>
            </w:r>
            <w:r w:rsidR="004039F3" w:rsidRPr="004039F3">
              <w:br/>
            </w:r>
            <w:r w:rsidRPr="00236F18">
              <w:t xml:space="preserve">отделение соответствует правилам классификации </w:t>
            </w:r>
            <w:r w:rsidR="003A4976" w:rsidRPr="004039F3">
              <w:br/>
            </w:r>
            <w:r w:rsidRPr="00236F18">
              <w:t>«Бюро Веритас».</w:t>
            </w:r>
          </w:p>
        </w:tc>
      </w:tr>
      <w:tr w:rsidR="008D3004" w:rsidRPr="008D3004" w:rsidTr="004039F3">
        <w:tc>
          <w:tcPr>
            <w:tcW w:w="1954" w:type="dxa"/>
            <w:tcBorders>
              <w:top w:val="nil"/>
              <w:bottom w:val="nil"/>
            </w:tcBorders>
          </w:tcPr>
          <w:p w:rsidR="008D3004" w:rsidRPr="00236F18" w:rsidRDefault="008D3004" w:rsidP="00236F18">
            <w:pPr>
              <w:spacing w:line="220" w:lineRule="atLeast"/>
            </w:pPr>
            <w:r w:rsidRPr="00236F18">
              <w:t xml:space="preserve">9.3.2.17.2 (Входы </w:t>
            </w:r>
            <w:r w:rsidR="00C52DD3" w:rsidRPr="00236F18">
              <w:br/>
            </w:r>
            <w:r w:rsidRPr="00236F18">
              <w:t xml:space="preserve">в помещения </w:t>
            </w:r>
            <w:r w:rsidR="00C52DD3" w:rsidRPr="00236F18">
              <w:br/>
            </w:r>
            <w:r w:rsidRPr="00236F18">
              <w:t>и отверстия)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8D3004" w:rsidRPr="00236F18" w:rsidRDefault="008D3004" w:rsidP="00236F18">
            <w:pPr>
              <w:spacing w:line="220" w:lineRule="atLeast"/>
            </w:pPr>
            <w:r w:rsidRPr="00236F18">
              <w:t xml:space="preserve">Дверь служебного помещения находится со стороны грузового пространства. Дверь </w:t>
            </w:r>
            <w:r w:rsidR="00C52DD3" w:rsidRPr="00236F18">
              <w:br/>
            </w:r>
            <w:r w:rsidRPr="00236F18">
              <w:t>открывается наружу, чтобы облегчить эвакуацию в случае возникновения чрезвычайной ситуации.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6" w:type="dxa"/>
            <w:tcBorders>
              <w:top w:val="nil"/>
            </w:tcBorders>
          </w:tcPr>
          <w:p w:rsidR="008D3004" w:rsidRPr="00236F18" w:rsidRDefault="008D3004" w:rsidP="00236F18">
            <w:pPr>
              <w:spacing w:line="220" w:lineRule="atLeast"/>
            </w:pPr>
            <w:r w:rsidRPr="00236F18">
              <w:t xml:space="preserve">У двери установлена </w:t>
            </w:r>
            <w:r w:rsidR="003B3426" w:rsidRPr="00236F18">
              <w:br/>
            </w:r>
            <w:r w:rsidRPr="00236F18">
              <w:t xml:space="preserve">газодетекторная система. </w:t>
            </w:r>
            <w:r w:rsidR="00C52DD3" w:rsidRPr="00236F18">
              <w:br/>
            </w:r>
            <w:r w:rsidRPr="00236F18">
              <w:t xml:space="preserve">Данная система снабжена оптическим сигнализатором, который подает </w:t>
            </w:r>
            <w:r w:rsidR="004039F3" w:rsidRPr="004039F3">
              <w:br/>
            </w:r>
            <w:r w:rsidRPr="00236F18">
              <w:t xml:space="preserve">сигнал об исправности </w:t>
            </w:r>
            <w:r w:rsidR="003B3426" w:rsidRPr="00236F18">
              <w:br/>
            </w:r>
            <w:r w:rsidRPr="00236F18">
              <w:t>газодетекторной системы.</w:t>
            </w:r>
          </w:p>
        </w:tc>
      </w:tr>
      <w:tr w:rsidR="008D3004" w:rsidRPr="008D3004" w:rsidTr="004039F3">
        <w:tc>
          <w:tcPr>
            <w:tcW w:w="1954" w:type="dxa"/>
            <w:tcBorders>
              <w:top w:val="nil"/>
            </w:tcBorders>
          </w:tcPr>
          <w:p w:rsidR="008D3004" w:rsidRPr="00236F18" w:rsidRDefault="008D3004" w:rsidP="00236F18">
            <w:pPr>
              <w:spacing w:line="220" w:lineRule="atLeast"/>
            </w:pPr>
            <w:r w:rsidRPr="00236F18">
              <w:t xml:space="preserve">9.3.2.17.6 и 9.3.2.28 (Сигнальные устройства, </w:t>
            </w:r>
            <w:r w:rsidR="00C52DD3" w:rsidRPr="00236F18">
              <w:br/>
            </w:r>
            <w:r w:rsidRPr="00236F18">
              <w:t>сигнализаторы и</w:t>
            </w:r>
            <w:r w:rsidR="00C52DD3" w:rsidRPr="00236F18">
              <w:rPr>
                <w:lang w:val="en-US"/>
              </w:rPr>
              <w:t> </w:t>
            </w:r>
            <w:r w:rsidRPr="00236F18">
              <w:t xml:space="preserve">приведение </w:t>
            </w:r>
            <w:r w:rsidR="00C52DD3" w:rsidRPr="00236F18">
              <w:br/>
            </w:r>
            <w:r w:rsidRPr="00236F18">
              <w:t xml:space="preserve">в действие </w:t>
            </w:r>
            <w:r w:rsidR="00C52DD3" w:rsidRPr="00236F18">
              <w:br/>
            </w:r>
            <w:r w:rsidRPr="00236F18">
              <w:t>предохранительных устройств)</w:t>
            </w:r>
          </w:p>
        </w:tc>
        <w:tc>
          <w:tcPr>
            <w:tcW w:w="2970" w:type="dxa"/>
            <w:tcBorders>
              <w:top w:val="nil"/>
            </w:tcBorders>
          </w:tcPr>
          <w:p w:rsidR="008D3004" w:rsidRPr="00236F18" w:rsidRDefault="008D3004" w:rsidP="004039F3">
            <w:pPr>
              <w:spacing w:line="220" w:lineRule="atLeast"/>
            </w:pPr>
            <w:r w:rsidRPr="00236F18">
              <w:t xml:space="preserve">ВОПОГ предписывает, чтобы </w:t>
            </w:r>
            <w:r w:rsidR="004039F3" w:rsidRPr="004039F3">
              <w:br/>
            </w:r>
            <w:r w:rsidRPr="00236F18">
              <w:t xml:space="preserve">в рулевой рубке были установлены несколько сигнальных устройств и сигнализаторов, </w:t>
            </w:r>
            <w:r w:rsidR="004039F3" w:rsidRPr="004039F3">
              <w:br/>
            </w:r>
            <w:r w:rsidRPr="00236F18">
              <w:t xml:space="preserve">а также выключателей для включения предохранительных устройств, таких как </w:t>
            </w:r>
            <w:r w:rsidR="004039F3" w:rsidRPr="004039F3">
              <w:br/>
            </w:r>
            <w:r w:rsidRPr="00236F18">
              <w:t xml:space="preserve">водораспылительная система. Однако данная толкаемая баржа управляется из служебных помещений, находящихся </w:t>
            </w:r>
            <w:r w:rsidR="004039F3" w:rsidRPr="004039F3">
              <w:br/>
            </w:r>
            <w:r w:rsidRPr="00236F18">
              <w:t xml:space="preserve">на борту баржи, а не из </w:t>
            </w:r>
            <w:r w:rsidR="004039F3" w:rsidRPr="004039F3">
              <w:br/>
            </w:r>
            <w:r w:rsidRPr="00236F18">
              <w:t>рулевой рубки судна</w:t>
            </w:r>
            <w:r w:rsidR="004039F3" w:rsidRPr="004039F3">
              <w:t>-</w:t>
            </w:r>
            <w:r w:rsidRPr="00236F18">
              <w:t>толкача.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6" w:type="dxa"/>
            <w:tcBorders>
              <w:top w:val="nil"/>
            </w:tcBorders>
          </w:tcPr>
          <w:p w:rsidR="008D3004" w:rsidRPr="00236F18" w:rsidRDefault="008D3004" w:rsidP="004039F3">
            <w:pPr>
              <w:spacing w:line="220" w:lineRule="atLeast"/>
            </w:pPr>
            <w:r w:rsidRPr="00236F18">
              <w:t xml:space="preserve">Все соответствующие </w:t>
            </w:r>
            <w:r w:rsidR="004039F3" w:rsidRPr="004039F3">
              <w:br/>
            </w:r>
            <w:r w:rsidRPr="00236F18">
              <w:t xml:space="preserve">сигнальные устройства, </w:t>
            </w:r>
            <w:r w:rsidR="00C52DD3" w:rsidRPr="00236F18">
              <w:br/>
            </w:r>
            <w:r w:rsidRPr="00236F18">
              <w:t xml:space="preserve">сигнализаторы </w:t>
            </w:r>
            <w:r w:rsidR="004039F3" w:rsidRPr="004039F3">
              <w:br/>
            </w:r>
            <w:r w:rsidRPr="00236F18">
              <w:t xml:space="preserve">и выключатели для </w:t>
            </w:r>
            <w:r w:rsidR="004039F3" w:rsidRPr="004039F3">
              <w:br/>
            </w:r>
            <w:r w:rsidRPr="00236F18">
              <w:t xml:space="preserve">включения предохранительных устройств расположены в служебных </w:t>
            </w:r>
            <w:r w:rsidR="004039F3" w:rsidRPr="004039F3">
              <w:br/>
            </w:r>
            <w:r w:rsidRPr="00236F18">
              <w:t>помещениях, находящихся на борту баржи.</w:t>
            </w:r>
          </w:p>
        </w:tc>
      </w:tr>
    </w:tbl>
    <w:p w:rsidR="008D3004" w:rsidRPr="008D3004" w:rsidRDefault="008D3004" w:rsidP="00056AE9">
      <w:pPr>
        <w:pStyle w:val="SingleTxtGR"/>
        <w:spacing w:before="120"/>
        <w:ind w:left="1138" w:right="1138"/>
      </w:pPr>
      <w:r w:rsidRPr="008D3004">
        <w:t>4.</w:t>
      </w:r>
      <w:r w:rsidRPr="008D3004">
        <w:tab/>
        <w:t xml:space="preserve">В приложении </w:t>
      </w:r>
      <w:r w:rsidRPr="008D3004">
        <w:rPr>
          <w:lang w:val="en-GB"/>
        </w:rPr>
        <w:t>I</w:t>
      </w:r>
      <w:r w:rsidRPr="008D3004">
        <w:t xml:space="preserve"> содержится предлагаемый текст возможного отступления.</w:t>
      </w:r>
      <w:r w:rsidRPr="008D3004">
        <w:br w:type="page"/>
      </w:r>
    </w:p>
    <w:p w:rsidR="008D3004" w:rsidRPr="008D3004" w:rsidRDefault="008D3004" w:rsidP="00D208DC">
      <w:pPr>
        <w:pStyle w:val="HChGR"/>
        <w:rPr>
          <w:bCs/>
        </w:rPr>
      </w:pPr>
      <w:r w:rsidRPr="008D3004">
        <w:lastRenderedPageBreak/>
        <w:t>Приложение I</w:t>
      </w:r>
    </w:p>
    <w:p w:rsidR="008D3004" w:rsidRPr="008D3004" w:rsidRDefault="008D3004" w:rsidP="00FD2D29">
      <w:pPr>
        <w:pStyle w:val="HChGR"/>
      </w:pPr>
      <w:r w:rsidRPr="008D3004">
        <w:tab/>
      </w:r>
      <w:r w:rsidRPr="008D3004">
        <w:tab/>
        <w:t>Решение Административного комитета ВОПОГ в</w:t>
      </w:r>
      <w:r w:rsidRPr="008D3004">
        <w:rPr>
          <w:lang w:val="en-GB"/>
        </w:rPr>
        <w:t> </w:t>
      </w:r>
      <w:r w:rsidRPr="008D3004">
        <w:t>отношении баржи «</w:t>
      </w:r>
      <w:r w:rsidRPr="008D3004">
        <w:rPr>
          <w:lang w:val="en-GB"/>
        </w:rPr>
        <w:t>Don</w:t>
      </w:r>
      <w:r w:rsidRPr="008D3004">
        <w:t xml:space="preserve"> </w:t>
      </w:r>
      <w:r w:rsidRPr="008D3004">
        <w:rPr>
          <w:lang w:val="en-GB"/>
        </w:rPr>
        <w:t>Quichot</w:t>
      </w:r>
      <w:r w:rsidRPr="008D3004">
        <w:t>»</w:t>
      </w:r>
    </w:p>
    <w:p w:rsidR="008D3004" w:rsidRPr="008D3004" w:rsidRDefault="008D3004" w:rsidP="00FD2D29">
      <w:pPr>
        <w:pStyle w:val="H23GR"/>
      </w:pPr>
      <w:r w:rsidRPr="008D3004">
        <w:tab/>
      </w:r>
      <w:r w:rsidRPr="008D3004">
        <w:tab/>
        <w:t>Отступление № хх/2017 от 27 января 2017 года</w:t>
      </w:r>
    </w:p>
    <w:p w:rsidR="008D3004" w:rsidRPr="008D3004" w:rsidRDefault="008D3004" w:rsidP="008D3004">
      <w:pPr>
        <w:pStyle w:val="SingleTxtGR"/>
      </w:pPr>
      <w:r w:rsidRPr="008D3004">
        <w:t>Компетентному органу Нидерландов разрешается выдать пробное свидетельство о допущении для баржи «</w:t>
      </w:r>
      <w:r w:rsidRPr="008D3004">
        <w:rPr>
          <w:lang w:val="en-GB"/>
        </w:rPr>
        <w:t>Don</w:t>
      </w:r>
      <w:r w:rsidRPr="008D3004">
        <w:t xml:space="preserve"> </w:t>
      </w:r>
      <w:r w:rsidRPr="008D3004">
        <w:rPr>
          <w:lang w:val="en-GB"/>
        </w:rPr>
        <w:t>Quichot</w:t>
      </w:r>
      <w:r w:rsidRPr="008D3004">
        <w:t>» (</w:t>
      </w:r>
      <w:r w:rsidRPr="008D3004">
        <w:rPr>
          <w:lang w:val="en-GB"/>
        </w:rPr>
        <w:t>ENI</w:t>
      </w:r>
      <w:r w:rsidRPr="008D3004">
        <w:t xml:space="preserve"> 02336771 и номер</w:t>
      </w:r>
      <w:r w:rsidR="00466E28">
        <w:rPr>
          <w:lang w:val="en-US"/>
        </w:rPr>
        <w:t> </w:t>
      </w:r>
      <w:r w:rsidRPr="008D3004">
        <w:t>27930</w:t>
      </w:r>
      <w:r w:rsidRPr="008D3004">
        <w:rPr>
          <w:lang w:val="en-GB"/>
        </w:rPr>
        <w:t>L</w:t>
      </w:r>
      <w:r w:rsidRPr="008D3004">
        <w:t xml:space="preserve"> в</w:t>
      </w:r>
      <w:r w:rsidR="00FD2D29">
        <w:rPr>
          <w:lang w:val="en-US"/>
        </w:rPr>
        <w:t> </w:t>
      </w:r>
      <w:r w:rsidRPr="008D3004">
        <w:t xml:space="preserve">Регистре «Бюро Веритас»), тип </w:t>
      </w:r>
      <w:r w:rsidRPr="008D3004">
        <w:rPr>
          <w:lang w:val="en-GB"/>
        </w:rPr>
        <w:t>C</w:t>
      </w:r>
      <w:r w:rsidRPr="008D3004">
        <w:t xml:space="preserve"> согласно ВОПОГ.</w:t>
      </w:r>
    </w:p>
    <w:p w:rsidR="008D3004" w:rsidRPr="008D3004" w:rsidRDefault="008D3004" w:rsidP="008D3004">
      <w:pPr>
        <w:pStyle w:val="SingleTxtGR"/>
      </w:pPr>
      <w:r w:rsidRPr="008D3004">
        <w:t>В соответствии с подразделом 1.5.3.2 Правил, прилагаемых к ВОПОГ, вышеупомянутое судно может до 31 декабря 2021 года отступать от следующих требований:</w:t>
      </w:r>
    </w:p>
    <w:p w:rsidR="008D3004" w:rsidRPr="008D3004" w:rsidRDefault="008D3004" w:rsidP="008D3004">
      <w:pPr>
        <w:pStyle w:val="SingleTxtGR"/>
      </w:pPr>
      <w:r w:rsidRPr="008D3004">
        <w:t>1.</w:t>
      </w:r>
      <w:r w:rsidRPr="008D3004">
        <w:tab/>
        <w:t xml:space="preserve">1.2.1 </w:t>
      </w:r>
      <w:r w:rsidR="00466E28" w:rsidRPr="00466E28">
        <w:t>–</w:t>
      </w:r>
      <w:r w:rsidRPr="008D3004">
        <w:t xml:space="preserve"> Тип </w:t>
      </w:r>
      <w:r w:rsidRPr="008D3004">
        <w:rPr>
          <w:lang w:val="en-US"/>
        </w:rPr>
        <w:t>C</w:t>
      </w:r>
      <w:r w:rsidRPr="008D3004">
        <w:t>: Баржа не имеет гладкой палубы, поскольку она имеет насосное отделение, выступающее на главную палубу. Баржа оборудована системой камер, и насосное отделение соответствует правилам классификации «Бюро Веритас».</w:t>
      </w:r>
    </w:p>
    <w:p w:rsidR="008D3004" w:rsidRPr="008D3004" w:rsidRDefault="008D3004" w:rsidP="008D3004">
      <w:pPr>
        <w:pStyle w:val="SingleTxtGR"/>
      </w:pPr>
      <w:r w:rsidRPr="008D3004">
        <w:t>2.</w:t>
      </w:r>
      <w:r w:rsidRPr="008D3004">
        <w:tab/>
        <w:t>9.3.2.17.2 – Входы в помещения и отверстия: Дверь служебного помещения находится со стороны грузового пространства и открывается наружу. У</w:t>
      </w:r>
      <w:r w:rsidR="00FD2D29">
        <w:rPr>
          <w:lang w:val="en-US"/>
        </w:rPr>
        <w:t> </w:t>
      </w:r>
      <w:r w:rsidRPr="008D3004">
        <w:t>двери установлена газодетекторная система, снабженная оптическим сигнализатором, который подает сигнал об исправности газодетекторной системы.</w:t>
      </w:r>
    </w:p>
    <w:p w:rsidR="008D3004" w:rsidRPr="008D3004" w:rsidRDefault="008D3004" w:rsidP="008D3004">
      <w:pPr>
        <w:pStyle w:val="SingleTxtGR"/>
      </w:pPr>
      <w:r w:rsidRPr="008D3004">
        <w:t>3.</w:t>
      </w:r>
      <w:r w:rsidRPr="008D3004">
        <w:tab/>
        <w:t>9.3.2.17.6 и 9.3.2.28 – Сигнальные устройства, сигнализаторы и приведение в действие предохранительных устройств: Сигнальные устройства, сигнализаторы и выключатели для включения предохранительных устройств расположены в служебных помещениях, находящихся на борту баржи, поскольку баржа управляется из этих служебных помещений, а не из рулевой рубки судна</w:t>
      </w:r>
      <w:r w:rsidR="00A35110" w:rsidRPr="00F12CB9">
        <w:noBreakHyphen/>
      </w:r>
      <w:r w:rsidRPr="008D3004">
        <w:t>толкача.</w:t>
      </w:r>
    </w:p>
    <w:p w:rsidR="008D3004" w:rsidRPr="008D3004" w:rsidRDefault="008D3004" w:rsidP="008D3004">
      <w:pPr>
        <w:pStyle w:val="SingleTxtGR"/>
      </w:pPr>
      <w:r w:rsidRPr="008D3004">
        <w:t>Административный комитет постановляет, что конструкция данной баржи является достаточно безопасной при условии неизменного выполнения следующих условий:</w:t>
      </w:r>
    </w:p>
    <w:p w:rsidR="008D3004" w:rsidRPr="008D3004" w:rsidRDefault="008D3004" w:rsidP="008D3004">
      <w:pPr>
        <w:pStyle w:val="SingleTxtGR"/>
      </w:pPr>
      <w:r w:rsidRPr="008D3004">
        <w:t>1.</w:t>
      </w:r>
      <w:r w:rsidRPr="008D3004">
        <w:tab/>
        <w:t>Баржа</w:t>
      </w:r>
      <w:r w:rsidRPr="008D3004">
        <w:rPr>
          <w:bCs/>
        </w:rPr>
        <w:t xml:space="preserve"> имеет действительное судовое свидетельство в соответствии с</w:t>
      </w:r>
      <w:r w:rsidR="00FD2D29">
        <w:rPr>
          <w:bCs/>
          <w:lang w:val="en-US"/>
        </w:rPr>
        <w:t> </w:t>
      </w:r>
      <w:r w:rsidRPr="008D3004">
        <w:rPr>
          <w:bCs/>
        </w:rPr>
        <w:t>Правилами освидетельствования судов на Рейне</w:t>
      </w:r>
      <w:r w:rsidRPr="008D3004">
        <w:t>.</w:t>
      </w:r>
    </w:p>
    <w:p w:rsidR="00A658DB" w:rsidRDefault="008D3004" w:rsidP="008D3004">
      <w:pPr>
        <w:pStyle w:val="SingleTxtGR"/>
        <w:rPr>
          <w:bCs/>
          <w:lang w:val="en-US"/>
        </w:rPr>
      </w:pPr>
      <w:r w:rsidRPr="008D3004">
        <w:t>2.</w:t>
      </w:r>
      <w:r w:rsidRPr="008D3004">
        <w:tab/>
        <w:t>В случае какого-либо инцидента на борту</w:t>
      </w:r>
      <w:r w:rsidRPr="008D3004">
        <w:rPr>
          <w:lang w:bidi="ru-RU"/>
        </w:rPr>
        <w:t xml:space="preserve"> в </w:t>
      </w:r>
      <w:r w:rsidRPr="008D3004">
        <w:t xml:space="preserve">секретариат ЕЭК ООН для информирования Административного комитета ВОПОГ должен направляться доклад об оценке применения дополнительных мер безопасности, включающий данные о работе системы и отчет об осмотре, представленный классификационным обществом, которое классифицировало </w:t>
      </w:r>
      <w:r w:rsidRPr="008D3004">
        <w:rPr>
          <w:bCs/>
        </w:rPr>
        <w:t>баржу.</w:t>
      </w:r>
    </w:p>
    <w:p w:rsidR="00913AAB" w:rsidRPr="008D3004" w:rsidRDefault="008D3004" w:rsidP="008D3004">
      <w:pPr>
        <w:spacing w:before="240"/>
        <w:jc w:val="center"/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913AAB" w:rsidRPr="008D3004" w:rsidSect="004D6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AAB" w:rsidRDefault="00913AAB" w:rsidP="00B471C5">
      <w:r>
        <w:separator/>
      </w:r>
    </w:p>
  </w:endnote>
  <w:endnote w:type="continuationSeparator" w:id="0">
    <w:p w:rsidR="00913AAB" w:rsidRDefault="00913AAB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MT Extra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214C3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913AAB" w:rsidRPr="00913AAB">
      <w:rPr>
        <w:lang w:val="en-US"/>
      </w:rPr>
      <w:t>19628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913AAB" w:rsidRPr="00913AAB">
      <w:rPr>
        <w:lang w:val="en-US"/>
      </w:rPr>
      <w:t>19628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214C3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913AAB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913AAB" w:rsidRPr="00913AAB">
            <w:rPr>
              <w:lang w:val="en-US"/>
            </w:rPr>
            <w:t>19628</w:t>
          </w:r>
          <w:r w:rsidRPr="001C3ABC">
            <w:rPr>
              <w:lang w:val="en-US"/>
            </w:rPr>
            <w:t xml:space="preserve"> </w:t>
          </w:r>
          <w:r w:rsidR="00913AAB">
            <w:rPr>
              <w:lang w:val="en-US"/>
            </w:rPr>
            <w:t xml:space="preserve"> </w:t>
          </w:r>
          <w:r w:rsidRPr="001C3ABC">
            <w:rPr>
              <w:lang w:val="en-US"/>
            </w:rPr>
            <w:t>(R)</w:t>
          </w:r>
          <w:r w:rsidR="00913AAB">
            <w:rPr>
              <w:lang w:val="en-US"/>
            </w:rPr>
            <w:t xml:space="preserve">  021216  021216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913AAB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5/AC.2/2017/1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2/2017/1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913AAB" w:rsidRDefault="00913AAB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913AA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913AA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13AA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913AA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13AA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913AA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913AA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913AA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913AA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AAB" w:rsidRPr="009141DC" w:rsidRDefault="00913AAB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913AAB" w:rsidRPr="00D1261C" w:rsidRDefault="00913AAB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8D3004" w:rsidRPr="003E49BF" w:rsidRDefault="008D3004" w:rsidP="008D3004">
      <w:pPr>
        <w:pStyle w:val="FootnoteText"/>
        <w:widowControl w:val="0"/>
        <w:rPr>
          <w:lang w:val="ru-RU"/>
        </w:rPr>
      </w:pPr>
      <w:r>
        <w:tab/>
      </w:r>
      <w:r w:rsidRPr="00D208DC">
        <w:rPr>
          <w:rStyle w:val="FootnoteReference"/>
          <w:sz w:val="20"/>
          <w:vertAlign w:val="baseline"/>
          <w:lang w:val="ru-RU"/>
        </w:rPr>
        <w:t>*</w:t>
      </w:r>
      <w:r w:rsidRPr="003E49BF">
        <w:rPr>
          <w:lang w:val="ru-RU"/>
        </w:rPr>
        <w:tab/>
      </w:r>
      <w:r>
        <w:rPr>
          <w:lang w:val="ru-RU"/>
        </w:rPr>
        <w:t>Р</w:t>
      </w:r>
      <w:r w:rsidRPr="00B35A79">
        <w:rPr>
          <w:lang w:val="ru-RU"/>
        </w:rPr>
        <w:t>аспространено</w:t>
      </w:r>
      <w:r w:rsidRPr="003E49BF">
        <w:rPr>
          <w:lang w:val="ru-RU"/>
        </w:rPr>
        <w:t xml:space="preserve"> </w:t>
      </w:r>
      <w:r w:rsidRPr="00B35A79">
        <w:rPr>
          <w:lang w:val="ru-RU"/>
        </w:rPr>
        <w:t>на</w:t>
      </w:r>
      <w:r w:rsidRPr="003E49BF">
        <w:rPr>
          <w:lang w:val="ru-RU"/>
        </w:rPr>
        <w:t xml:space="preserve"> </w:t>
      </w:r>
      <w:r w:rsidRPr="00B35A79">
        <w:rPr>
          <w:lang w:val="ru-RU"/>
        </w:rPr>
        <w:t>немецком</w:t>
      </w:r>
      <w:r w:rsidRPr="003E49BF">
        <w:rPr>
          <w:lang w:val="ru-RU"/>
        </w:rPr>
        <w:t xml:space="preserve"> </w:t>
      </w:r>
      <w:r w:rsidRPr="00B35A79">
        <w:rPr>
          <w:lang w:val="ru-RU"/>
        </w:rPr>
        <w:t>языке</w:t>
      </w:r>
      <w:r w:rsidRPr="003E49BF">
        <w:rPr>
          <w:lang w:val="ru-RU"/>
        </w:rPr>
        <w:t xml:space="preserve"> </w:t>
      </w:r>
      <w:r w:rsidRPr="00B35A79">
        <w:rPr>
          <w:lang w:val="ru-RU"/>
        </w:rPr>
        <w:t>Центральной</w:t>
      </w:r>
      <w:r w:rsidRPr="003E49BF">
        <w:rPr>
          <w:lang w:val="ru-RU"/>
        </w:rPr>
        <w:t xml:space="preserve"> </w:t>
      </w:r>
      <w:r w:rsidRPr="00B35A79">
        <w:rPr>
          <w:lang w:val="ru-RU"/>
        </w:rPr>
        <w:t>комиссией</w:t>
      </w:r>
      <w:r w:rsidRPr="003E49BF">
        <w:rPr>
          <w:lang w:val="ru-RU"/>
        </w:rPr>
        <w:t xml:space="preserve"> </w:t>
      </w:r>
      <w:r w:rsidRPr="00B35A79">
        <w:rPr>
          <w:lang w:val="ru-RU"/>
        </w:rPr>
        <w:t>судоходства</w:t>
      </w:r>
      <w:r w:rsidRPr="003E49BF">
        <w:rPr>
          <w:lang w:val="ru-RU"/>
        </w:rPr>
        <w:t xml:space="preserve"> </w:t>
      </w:r>
      <w:r w:rsidRPr="00B35A79">
        <w:rPr>
          <w:lang w:val="ru-RU"/>
        </w:rPr>
        <w:t>по</w:t>
      </w:r>
      <w:r w:rsidRPr="003E49BF">
        <w:rPr>
          <w:lang w:val="ru-RU"/>
        </w:rPr>
        <w:t xml:space="preserve"> </w:t>
      </w:r>
      <w:r w:rsidRPr="00B35A79">
        <w:rPr>
          <w:lang w:val="ru-RU"/>
        </w:rPr>
        <w:t>Рейну</w:t>
      </w:r>
      <w:r w:rsidRPr="003E49BF">
        <w:rPr>
          <w:lang w:val="ru-RU"/>
        </w:rPr>
        <w:t xml:space="preserve"> </w:t>
      </w:r>
      <w:r w:rsidRPr="00B35A79">
        <w:rPr>
          <w:lang w:val="ru-RU"/>
        </w:rPr>
        <w:t>под</w:t>
      </w:r>
      <w:r>
        <w:rPr>
          <w:lang w:val="en-US"/>
        </w:rPr>
        <w:t> </w:t>
      </w:r>
      <w:r w:rsidRPr="00B35A79">
        <w:rPr>
          <w:lang w:val="ru-RU"/>
        </w:rPr>
        <w:t>условным</w:t>
      </w:r>
      <w:r w:rsidRPr="003E49BF">
        <w:rPr>
          <w:lang w:val="ru-RU"/>
        </w:rPr>
        <w:t xml:space="preserve"> </w:t>
      </w:r>
      <w:r w:rsidRPr="00B35A79">
        <w:rPr>
          <w:lang w:val="ru-RU"/>
        </w:rPr>
        <w:t>обозначением</w:t>
      </w:r>
      <w:r w:rsidRPr="003E49BF">
        <w:rPr>
          <w:lang w:val="ru-RU"/>
        </w:rPr>
        <w:t xml:space="preserve"> </w:t>
      </w:r>
      <w:r w:rsidRPr="00834E2C">
        <w:t>CCNR</w:t>
      </w:r>
      <w:r w:rsidRPr="0037567F">
        <w:rPr>
          <w:lang w:val="ru-RU"/>
        </w:rPr>
        <w:t>-</w:t>
      </w:r>
      <w:r w:rsidRPr="00834E2C">
        <w:t>ZKR</w:t>
      </w:r>
      <w:r w:rsidRPr="003E49BF">
        <w:rPr>
          <w:lang w:val="ru-RU"/>
        </w:rPr>
        <w:t>/</w:t>
      </w:r>
      <w:r w:rsidRPr="00834E2C">
        <w:t>ADN</w:t>
      </w:r>
      <w:r w:rsidRPr="003E49BF">
        <w:rPr>
          <w:lang w:val="ru-RU"/>
        </w:rPr>
        <w:t>/</w:t>
      </w:r>
      <w:r w:rsidRPr="00834E2C">
        <w:t>WP</w:t>
      </w:r>
      <w:r w:rsidRPr="003E49BF">
        <w:rPr>
          <w:lang w:val="ru-RU"/>
        </w:rPr>
        <w:t>.15/</w:t>
      </w:r>
      <w:r w:rsidRPr="00834E2C">
        <w:t>AC</w:t>
      </w:r>
      <w:r w:rsidRPr="003E49BF">
        <w:rPr>
          <w:lang w:val="ru-RU"/>
        </w:rPr>
        <w:t>.2/2017/</w:t>
      </w:r>
      <w:r>
        <w:rPr>
          <w:lang w:val="ru-RU"/>
        </w:rPr>
        <w:t>15</w:t>
      </w:r>
      <w:r w:rsidRPr="003E49BF">
        <w:rPr>
          <w:noProof/>
          <w:lang w:val="ru-RU"/>
        </w:rPr>
        <w:t>.</w:t>
      </w:r>
    </w:p>
  </w:footnote>
  <w:footnote w:id="2">
    <w:p w:rsidR="008D3004" w:rsidRPr="00DE2E5E" w:rsidRDefault="008D3004" w:rsidP="008D3004">
      <w:pPr>
        <w:pStyle w:val="FootnoteText"/>
        <w:widowControl w:val="0"/>
        <w:rPr>
          <w:lang w:val="ru-RU"/>
        </w:rPr>
      </w:pPr>
      <w:r w:rsidRPr="003E49BF">
        <w:rPr>
          <w:lang w:val="ru-RU"/>
        </w:rPr>
        <w:tab/>
      </w:r>
      <w:r w:rsidRPr="00D208DC">
        <w:rPr>
          <w:rStyle w:val="FootnoteReference"/>
          <w:sz w:val="20"/>
          <w:vertAlign w:val="baseline"/>
          <w:lang w:val="ru-RU"/>
        </w:rPr>
        <w:t>**</w:t>
      </w:r>
      <w:r w:rsidRPr="00E6226D">
        <w:rPr>
          <w:lang w:val="ru-RU"/>
        </w:rPr>
        <w:tab/>
      </w:r>
      <w:r w:rsidRPr="0087334B">
        <w:rPr>
          <w:lang w:val="ru-RU"/>
        </w:rPr>
        <w:t xml:space="preserve">В соответствии с программой работы Комитета по внутреннему транспорту </w:t>
      </w:r>
      <w:r w:rsidR="00D208DC" w:rsidRPr="00D208DC">
        <w:rPr>
          <w:lang w:val="ru-RU"/>
        </w:rPr>
        <w:br/>
      </w:r>
      <w:r>
        <w:rPr>
          <w:lang w:val="ru-RU"/>
        </w:rPr>
        <w:t>на</w:t>
      </w:r>
      <w:r w:rsidRPr="00DE2E5E">
        <w:rPr>
          <w:lang w:val="ru-RU"/>
        </w:rPr>
        <w:t xml:space="preserve"> 2016–2017 годы (</w:t>
      </w:r>
      <w:r w:rsidRPr="0087334B">
        <w:rPr>
          <w:lang w:val="en-US"/>
        </w:rPr>
        <w:t>ECE</w:t>
      </w:r>
      <w:r w:rsidRPr="00DE2E5E">
        <w:rPr>
          <w:lang w:val="ru-RU"/>
        </w:rPr>
        <w:t>/</w:t>
      </w:r>
      <w:r w:rsidRPr="0087334B">
        <w:rPr>
          <w:lang w:val="en-US"/>
        </w:rPr>
        <w:t>TRANS</w:t>
      </w:r>
      <w:r w:rsidRPr="00DE2E5E">
        <w:rPr>
          <w:lang w:val="ru-RU"/>
        </w:rPr>
        <w:t>/2016/28/</w:t>
      </w:r>
      <w:r w:rsidRPr="0087334B">
        <w:rPr>
          <w:lang w:val="en-US"/>
        </w:rPr>
        <w:t>Add</w:t>
      </w:r>
      <w:r w:rsidRPr="00DE2E5E">
        <w:rPr>
          <w:lang w:val="ru-RU"/>
        </w:rPr>
        <w:t>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913AAB" w:rsidRPr="00913AAB">
      <w:rPr>
        <w:lang w:val="en-US"/>
      </w:rPr>
      <w:t>TRANS/WP.15/AC.2/2017/15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913AAB" w:rsidRPr="00913AAB">
      <w:rPr>
        <w:lang w:val="en-US"/>
      </w:rPr>
      <w:t>TRANS/WP.15/AC.2/2017/15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AAB" w:rsidRDefault="00913AAB" w:rsidP="00913AA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AB"/>
    <w:rsid w:val="000450D1"/>
    <w:rsid w:val="00054379"/>
    <w:rsid w:val="00056AE9"/>
    <w:rsid w:val="000B1FD5"/>
    <w:rsid w:val="000F2A4F"/>
    <w:rsid w:val="00203F84"/>
    <w:rsid w:val="00236F18"/>
    <w:rsid w:val="00275188"/>
    <w:rsid w:val="0028687D"/>
    <w:rsid w:val="002B091C"/>
    <w:rsid w:val="002B3D40"/>
    <w:rsid w:val="002D0CCB"/>
    <w:rsid w:val="0030311A"/>
    <w:rsid w:val="003445D3"/>
    <w:rsid w:val="00345C79"/>
    <w:rsid w:val="00366A39"/>
    <w:rsid w:val="003A4976"/>
    <w:rsid w:val="003B3426"/>
    <w:rsid w:val="004039F3"/>
    <w:rsid w:val="004129CA"/>
    <w:rsid w:val="004513AE"/>
    <w:rsid w:val="00466E28"/>
    <w:rsid w:val="0048005C"/>
    <w:rsid w:val="004D046D"/>
    <w:rsid w:val="004D639B"/>
    <w:rsid w:val="004E242B"/>
    <w:rsid w:val="005214C3"/>
    <w:rsid w:val="00544379"/>
    <w:rsid w:val="00566944"/>
    <w:rsid w:val="005D56BF"/>
    <w:rsid w:val="0062027E"/>
    <w:rsid w:val="00643644"/>
    <w:rsid w:val="00665D8D"/>
    <w:rsid w:val="006737F8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422F4"/>
    <w:rsid w:val="008717E8"/>
    <w:rsid w:val="008D01AE"/>
    <w:rsid w:val="008D3004"/>
    <w:rsid w:val="008E0423"/>
    <w:rsid w:val="00913AAB"/>
    <w:rsid w:val="009141DC"/>
    <w:rsid w:val="009174A1"/>
    <w:rsid w:val="00960F74"/>
    <w:rsid w:val="0098674D"/>
    <w:rsid w:val="00997ACA"/>
    <w:rsid w:val="00A03FB7"/>
    <w:rsid w:val="00A35110"/>
    <w:rsid w:val="00A55C56"/>
    <w:rsid w:val="00A658DB"/>
    <w:rsid w:val="00A75A11"/>
    <w:rsid w:val="00A9606E"/>
    <w:rsid w:val="00AD7EAD"/>
    <w:rsid w:val="00B35A32"/>
    <w:rsid w:val="00B432C6"/>
    <w:rsid w:val="00B471C5"/>
    <w:rsid w:val="00B47CFD"/>
    <w:rsid w:val="00B6474A"/>
    <w:rsid w:val="00B86B1A"/>
    <w:rsid w:val="00BE1742"/>
    <w:rsid w:val="00C52DD3"/>
    <w:rsid w:val="00C610C5"/>
    <w:rsid w:val="00D1261C"/>
    <w:rsid w:val="00D208DC"/>
    <w:rsid w:val="00D26030"/>
    <w:rsid w:val="00D75DCE"/>
    <w:rsid w:val="00DD35AC"/>
    <w:rsid w:val="00DD479F"/>
    <w:rsid w:val="00E02085"/>
    <w:rsid w:val="00E15E48"/>
    <w:rsid w:val="00EA2481"/>
    <w:rsid w:val="00EB0723"/>
    <w:rsid w:val="00EB2957"/>
    <w:rsid w:val="00EE6F37"/>
    <w:rsid w:val="00F12CB9"/>
    <w:rsid w:val="00F1599F"/>
    <w:rsid w:val="00F31EF2"/>
    <w:rsid w:val="00FD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61A7DE9-F2D9-45D7-8898-9362F673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C81EB-69A6-4DFB-9B28-D797A1F6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 Olga</dc:creator>
  <cp:lastModifiedBy>Lucille</cp:lastModifiedBy>
  <cp:revision>2</cp:revision>
  <cp:lastPrinted>2016-12-02T10:16:00Z</cp:lastPrinted>
  <dcterms:created xsi:type="dcterms:W3CDTF">2016-12-12T13:28:00Z</dcterms:created>
  <dcterms:modified xsi:type="dcterms:W3CDTF">2016-12-12T13:28:00Z</dcterms:modified>
</cp:coreProperties>
</file>