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A45D8">
                <w:t>TRANS/WP.15/AC.2/2017/9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6750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97F18" w:rsidP="007B199D">
            <w:fldSimple w:instr=" FILLIN  &quot;Введите дату документа&quot; \* MERGEFORMAT ">
              <w:r w:rsidR="004A45D8">
                <w:t>11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6750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6CAF" w:rsidRPr="00086CAF" w:rsidRDefault="00086CAF" w:rsidP="00086CAF">
      <w:pPr>
        <w:spacing w:before="120"/>
        <w:rPr>
          <w:sz w:val="40"/>
          <w:szCs w:val="28"/>
        </w:rPr>
      </w:pPr>
      <w:r w:rsidRPr="00086CAF">
        <w:rPr>
          <w:sz w:val="28"/>
        </w:rPr>
        <w:t>Комитет по внутреннему транспорту</w:t>
      </w:r>
    </w:p>
    <w:p w:rsidR="00086CAF" w:rsidRPr="00086CAF" w:rsidRDefault="00086CAF" w:rsidP="00086CAF">
      <w:pPr>
        <w:spacing w:before="120"/>
        <w:rPr>
          <w:b/>
          <w:bCs/>
          <w:sz w:val="32"/>
          <w:szCs w:val="24"/>
        </w:rPr>
      </w:pPr>
      <w:r w:rsidRPr="00086CAF">
        <w:rPr>
          <w:b/>
          <w:bCs/>
          <w:sz w:val="24"/>
        </w:rPr>
        <w:t>Рабочая группа по перевозкам опасных грузов</w:t>
      </w:r>
    </w:p>
    <w:p w:rsidR="00086CAF" w:rsidRPr="00CE4C43" w:rsidRDefault="00086CAF" w:rsidP="00086CAF">
      <w:pPr>
        <w:spacing w:before="120"/>
        <w:rPr>
          <w:b/>
          <w:bCs/>
        </w:rPr>
      </w:pPr>
      <w:r w:rsidRPr="00CE4C43">
        <w:rPr>
          <w:b/>
          <w:bCs/>
        </w:rPr>
        <w:t>Совместное совещание экспертов по Правилам,</w:t>
      </w:r>
    </w:p>
    <w:p w:rsidR="00086CAF" w:rsidRPr="00CE4C43" w:rsidRDefault="00086CAF" w:rsidP="00086CAF">
      <w:pPr>
        <w:rPr>
          <w:b/>
          <w:bCs/>
        </w:rPr>
      </w:pPr>
      <w:r w:rsidRPr="00CE4C43">
        <w:rPr>
          <w:b/>
          <w:bCs/>
        </w:rPr>
        <w:t xml:space="preserve">прилагаемым к Европейскому соглашению </w:t>
      </w:r>
      <w:r w:rsidRPr="00016BD6">
        <w:rPr>
          <w:b/>
          <w:bCs/>
        </w:rPr>
        <w:br/>
      </w:r>
      <w:r w:rsidRPr="00CE4C43">
        <w:rPr>
          <w:b/>
          <w:bCs/>
        </w:rPr>
        <w:t xml:space="preserve">о международной перевозке опасных грузов </w:t>
      </w:r>
    </w:p>
    <w:p w:rsidR="00086CAF" w:rsidRPr="008B2AA7" w:rsidRDefault="00086CAF" w:rsidP="00086CAF">
      <w:pPr>
        <w:rPr>
          <w:b/>
        </w:rPr>
      </w:pPr>
      <w:r w:rsidRPr="00CE4C43">
        <w:rPr>
          <w:b/>
          <w:bCs/>
        </w:rPr>
        <w:t>по внутренним водным путям (ВОПОГ)</w:t>
      </w:r>
    </w:p>
    <w:p w:rsidR="00086CAF" w:rsidRPr="00CE4C43" w:rsidRDefault="00086CAF" w:rsidP="00086CAF">
      <w:pPr>
        <w:spacing w:after="120"/>
        <w:rPr>
          <w:b/>
        </w:rPr>
      </w:pPr>
      <w:r>
        <w:rPr>
          <w:b/>
        </w:rPr>
        <w:t>(</w:t>
      </w:r>
      <w:r w:rsidRPr="008B2AA7">
        <w:rPr>
          <w:b/>
        </w:rPr>
        <w:t>Комитет по вопросам безопасности ВОПОГ</w:t>
      </w:r>
      <w:r>
        <w:rPr>
          <w:b/>
        </w:rPr>
        <w:t>)</w:t>
      </w:r>
    </w:p>
    <w:p w:rsidR="00086CAF" w:rsidRPr="00CE4C43" w:rsidRDefault="00086CAF" w:rsidP="00086CAF">
      <w:pPr>
        <w:rPr>
          <w:b/>
          <w:bCs/>
        </w:rPr>
      </w:pPr>
      <w:r w:rsidRPr="00CE4C43">
        <w:rPr>
          <w:b/>
          <w:bCs/>
        </w:rPr>
        <w:t>Тридцатая сессия</w:t>
      </w:r>
    </w:p>
    <w:p w:rsidR="00086CAF" w:rsidRPr="008B2AA7" w:rsidRDefault="00086CAF" w:rsidP="00086CAF">
      <w:r>
        <w:t>Женева, 23−27 января 2017 года</w:t>
      </w:r>
    </w:p>
    <w:p w:rsidR="00086CAF" w:rsidRPr="008B2AA7" w:rsidRDefault="00086CAF" w:rsidP="00086CAF">
      <w:r>
        <w:t>Пункт 5 а) предварительной повестки дня</w:t>
      </w:r>
    </w:p>
    <w:p w:rsidR="00086CAF" w:rsidRPr="008B2AA7" w:rsidRDefault="00086CAF" w:rsidP="00086CAF">
      <w:pPr>
        <w:rPr>
          <w:b/>
          <w:bCs/>
        </w:rPr>
      </w:pPr>
      <w:r w:rsidRPr="00CE4C43">
        <w:rPr>
          <w:b/>
          <w:bCs/>
        </w:rPr>
        <w:t xml:space="preserve">Предложения о внесении поправок в Правила, </w:t>
      </w:r>
      <w:r w:rsidR="00016BD6">
        <w:rPr>
          <w:b/>
          <w:bCs/>
        </w:rPr>
        <w:br/>
      </w:r>
      <w:r w:rsidRPr="00CE4C43">
        <w:rPr>
          <w:b/>
          <w:bCs/>
        </w:rPr>
        <w:t>прилагаемые к ВОПОГ:</w:t>
      </w:r>
      <w:r w:rsidRPr="00086CAF">
        <w:rPr>
          <w:b/>
          <w:bCs/>
        </w:rPr>
        <w:t xml:space="preserve"> </w:t>
      </w:r>
      <w:r>
        <w:rPr>
          <w:b/>
          <w:bCs/>
        </w:rPr>
        <w:t>р</w:t>
      </w:r>
      <w:r w:rsidRPr="00CE4C43">
        <w:rPr>
          <w:b/>
          <w:bCs/>
        </w:rPr>
        <w:t xml:space="preserve">абота Совместного </w:t>
      </w:r>
      <w:r w:rsidR="00016BD6">
        <w:rPr>
          <w:b/>
          <w:bCs/>
        </w:rPr>
        <w:br/>
      </w:r>
      <w:r w:rsidRPr="00CE4C43">
        <w:rPr>
          <w:b/>
          <w:bCs/>
        </w:rPr>
        <w:t>совещания МПОГ/ДОПОГ/ВОПОГ</w:t>
      </w:r>
    </w:p>
    <w:p w:rsidR="00086CAF" w:rsidRPr="00086CAF" w:rsidRDefault="00086CAF" w:rsidP="00086CAF">
      <w:pPr>
        <w:pStyle w:val="HChGR"/>
      </w:pPr>
      <w:r w:rsidRPr="00016BD6">
        <w:tab/>
      </w:r>
      <w:r w:rsidRPr="00016BD6">
        <w:tab/>
      </w:r>
      <w:r w:rsidRPr="00086CAF">
        <w:t>Специальное положение 665 – Перевозка угля</w:t>
      </w:r>
    </w:p>
    <w:p w:rsidR="00086CAF" w:rsidRPr="00086CAF" w:rsidRDefault="00086CAF" w:rsidP="00086CAF">
      <w:pPr>
        <w:pStyle w:val="H1GR"/>
      </w:pPr>
      <w:r w:rsidRPr="00086CAF">
        <w:tab/>
      </w:r>
      <w:r w:rsidRPr="00086CAF">
        <w:tab/>
        <w:t>Записка секретариата</w:t>
      </w:r>
      <w:r w:rsidRPr="00086CAF">
        <w:rPr>
          <w:b w:val="0"/>
          <w:sz w:val="20"/>
        </w:rPr>
        <w:footnoteReference w:customMarkFollows="1" w:id="1"/>
        <w:t>*</w:t>
      </w:r>
      <w:r w:rsidRPr="00086CAF">
        <w:rPr>
          <w:b w:val="0"/>
          <w:bCs/>
          <w:sz w:val="20"/>
          <w:vertAlign w:val="superscript"/>
        </w:rPr>
        <w:t>,</w:t>
      </w:r>
      <w:r w:rsidRPr="00086CAF">
        <w:rPr>
          <w:b w:val="0"/>
          <w:sz w:val="20"/>
        </w:rPr>
        <w:t xml:space="preserve"> </w:t>
      </w:r>
      <w:r w:rsidRPr="00086CAF">
        <w:rPr>
          <w:b w:val="0"/>
          <w:sz w:val="20"/>
        </w:rPr>
        <w:footnoteReference w:customMarkFollows="1" w:id="2"/>
        <w:t xml:space="preserve">** </w:t>
      </w:r>
    </w:p>
    <w:p w:rsidR="00086CAF" w:rsidRPr="00086CAF" w:rsidRDefault="00086CAF" w:rsidP="00086CAF">
      <w:pPr>
        <w:pStyle w:val="SingleTxtGR"/>
      </w:pPr>
      <w:r w:rsidRPr="00086CAF">
        <w:t>1.</w:t>
      </w:r>
      <w:r w:rsidRPr="00086CAF">
        <w:tab/>
        <w:t>В издании ВОПОГ 2015 года специальное положение 803 применяется к перевозке угля (№ ООН 1361 УГОЛЬ животного или растительного происхождения) и предусматривает следующее:</w:t>
      </w:r>
    </w:p>
    <w:p w:rsidR="00086CAF" w:rsidRPr="00086CAF" w:rsidRDefault="00086CAF" w:rsidP="00086CAF">
      <w:pPr>
        <w:pStyle w:val="SingleTxtGR"/>
        <w:ind w:left="2268" w:hanging="1134"/>
      </w:pPr>
      <w:r w:rsidRPr="00016BD6">
        <w:tab/>
      </w:r>
      <w:r w:rsidR="00016BD6">
        <w:t>«</w:t>
      </w:r>
      <w:r w:rsidRPr="00086CAF">
        <w:t>803</w:t>
      </w:r>
      <w:r w:rsidRPr="00086CAF">
        <w:tab/>
        <w:t>Каменный уголь, кокс и антрацит при их перевозке навалом не подпадают под действие положений ВОПОГ, если:</w:t>
      </w:r>
    </w:p>
    <w:p w:rsidR="00086CAF" w:rsidRPr="00086CAF" w:rsidRDefault="00086CAF" w:rsidP="00086CAF">
      <w:pPr>
        <w:pStyle w:val="SingleTxtGR"/>
        <w:ind w:left="2835" w:hanging="1701"/>
      </w:pPr>
      <w:r w:rsidRPr="00016BD6">
        <w:tab/>
      </w:r>
      <w:r w:rsidRPr="00016BD6">
        <w:tab/>
      </w:r>
      <w:r w:rsidRPr="00086CAF">
        <w:t>a)</w:t>
      </w:r>
      <w:r w:rsidRPr="00086CAF">
        <w:tab/>
        <w:t>температура груза была определена с использованием соответствующей процедуры и не превышает 60 ºС до, во время или сразу же после погрузки в трюм;</w:t>
      </w:r>
    </w:p>
    <w:p w:rsidR="00086CAF" w:rsidRPr="00086CAF" w:rsidRDefault="00086CAF" w:rsidP="00086CAF">
      <w:pPr>
        <w:pStyle w:val="SingleTxtGR"/>
        <w:ind w:left="2835" w:hanging="1701"/>
      </w:pPr>
      <w:r w:rsidRPr="00016BD6">
        <w:tab/>
      </w:r>
      <w:r w:rsidRPr="00016BD6">
        <w:tab/>
      </w:r>
      <w:r w:rsidRPr="00086CAF">
        <w:t>b)</w:t>
      </w:r>
      <w:r w:rsidRPr="00086CAF">
        <w:tab/>
        <w:t>в зависимости от температуры груза до, во время или сразу же после погрузки в трюм предусмотренная продолжитель</w:t>
      </w:r>
      <w:r w:rsidRPr="00086CAF">
        <w:lastRenderedPageBreak/>
        <w:t>ность перевозки без контроля температуры не превышает максимального числа дней, указанного в таблице ниже:</w:t>
      </w:r>
    </w:p>
    <w:tbl>
      <w:tblPr>
        <w:tblW w:w="6236" w:type="dxa"/>
        <w:tblInd w:w="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17"/>
      </w:tblGrid>
      <w:tr w:rsidR="00086CAF" w:rsidRPr="00F52F94" w:rsidTr="0039168C">
        <w:trPr>
          <w:cantSplit/>
          <w:tblHeader/>
        </w:trPr>
        <w:tc>
          <w:tcPr>
            <w:tcW w:w="3119" w:type="dxa"/>
            <w:shd w:val="clear" w:color="auto" w:fill="auto"/>
            <w:vAlign w:val="bottom"/>
          </w:tcPr>
          <w:p w:rsidR="00086CAF" w:rsidRPr="0039168C" w:rsidRDefault="00086CAF" w:rsidP="00E135BC">
            <w:pPr>
              <w:keepNext/>
              <w:keepLines/>
              <w:spacing w:after="80" w:line="200" w:lineRule="exact"/>
              <w:ind w:right="113"/>
              <w:jc w:val="center"/>
              <w:rPr>
                <w:i/>
                <w:sz w:val="16"/>
              </w:rPr>
            </w:pPr>
            <w:r w:rsidRPr="0039168C">
              <w:rPr>
                <w:i/>
                <w:sz w:val="16"/>
              </w:rPr>
              <w:t xml:space="preserve">Максимальная температура </w:t>
            </w:r>
            <w:r w:rsidR="0039168C" w:rsidRPr="0039168C">
              <w:rPr>
                <w:i/>
                <w:sz w:val="16"/>
              </w:rPr>
              <w:br/>
            </w:r>
            <w:r w:rsidRPr="0039168C">
              <w:rPr>
                <w:i/>
                <w:sz w:val="16"/>
              </w:rPr>
              <w:t>при погрузке в ºС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86CAF" w:rsidRPr="0039168C" w:rsidRDefault="00086CAF" w:rsidP="0039168C">
            <w:pPr>
              <w:keepNext/>
              <w:keepLines/>
              <w:spacing w:after="80" w:line="200" w:lineRule="exact"/>
              <w:ind w:right="-1"/>
              <w:jc w:val="center"/>
              <w:rPr>
                <w:i/>
                <w:sz w:val="16"/>
              </w:rPr>
            </w:pPr>
            <w:r w:rsidRPr="0039168C">
              <w:rPr>
                <w:i/>
                <w:sz w:val="16"/>
              </w:rPr>
              <w:t xml:space="preserve">Максимальная продолжительность </w:t>
            </w:r>
            <w:r w:rsidR="0039168C" w:rsidRPr="0039168C">
              <w:rPr>
                <w:i/>
                <w:sz w:val="16"/>
              </w:rPr>
              <w:br/>
            </w:r>
            <w:r w:rsidRPr="0039168C">
              <w:rPr>
                <w:i/>
                <w:sz w:val="16"/>
              </w:rPr>
              <w:t>рейса в днях</w:t>
            </w:r>
          </w:p>
        </w:tc>
      </w:tr>
      <w:tr w:rsidR="00086CAF" w:rsidRPr="00AC1C8A" w:rsidTr="0039168C">
        <w:trPr>
          <w:cantSplit/>
        </w:trPr>
        <w:tc>
          <w:tcPr>
            <w:tcW w:w="3119" w:type="dxa"/>
            <w:shd w:val="clear" w:color="auto" w:fill="auto"/>
          </w:tcPr>
          <w:p w:rsidR="00086CAF" w:rsidRPr="00AC1C8A" w:rsidRDefault="00086CAF" w:rsidP="00E135BC">
            <w:pPr>
              <w:keepNext/>
              <w:keepLines/>
              <w:spacing w:after="120" w:line="220" w:lineRule="exact"/>
              <w:ind w:right="113"/>
              <w:jc w:val="center"/>
            </w:pPr>
            <w:r>
              <w:t>60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86CAF" w:rsidRPr="00AC1C8A" w:rsidRDefault="00086CAF" w:rsidP="00E135BC">
            <w:pPr>
              <w:keepNext/>
              <w:keepLines/>
              <w:spacing w:after="120" w:line="220" w:lineRule="exact"/>
              <w:ind w:right="113"/>
              <w:jc w:val="center"/>
            </w:pPr>
            <w:r>
              <w:t>10</w:t>
            </w:r>
          </w:p>
        </w:tc>
      </w:tr>
      <w:tr w:rsidR="00086CAF" w:rsidRPr="00AC1C8A" w:rsidTr="0039168C">
        <w:trPr>
          <w:cantSplit/>
        </w:trPr>
        <w:tc>
          <w:tcPr>
            <w:tcW w:w="3119" w:type="dxa"/>
            <w:shd w:val="clear" w:color="auto" w:fill="auto"/>
          </w:tcPr>
          <w:p w:rsidR="00086CAF" w:rsidRPr="00AC1C8A" w:rsidRDefault="00086CAF" w:rsidP="00E135BC">
            <w:pPr>
              <w:spacing w:after="120" w:line="220" w:lineRule="exact"/>
              <w:ind w:right="113"/>
              <w:jc w:val="center"/>
            </w:pPr>
            <w:r>
              <w:t>50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86CAF" w:rsidRPr="00AC1C8A" w:rsidRDefault="00086CAF" w:rsidP="00E135BC">
            <w:pPr>
              <w:spacing w:after="120" w:line="220" w:lineRule="exact"/>
              <w:ind w:right="113"/>
              <w:jc w:val="center"/>
            </w:pPr>
            <w:r>
              <w:t>18</w:t>
            </w:r>
          </w:p>
        </w:tc>
      </w:tr>
      <w:tr w:rsidR="00086CAF" w:rsidRPr="00AC1C8A" w:rsidTr="0039168C">
        <w:trPr>
          <w:cantSplit/>
        </w:trPr>
        <w:tc>
          <w:tcPr>
            <w:tcW w:w="3119" w:type="dxa"/>
            <w:shd w:val="clear" w:color="auto" w:fill="auto"/>
          </w:tcPr>
          <w:p w:rsidR="00086CAF" w:rsidRPr="00AC1C8A" w:rsidRDefault="00086CAF" w:rsidP="00E135BC">
            <w:pPr>
              <w:spacing w:after="120" w:line="220" w:lineRule="exact"/>
              <w:ind w:right="113"/>
              <w:jc w:val="center"/>
            </w:pPr>
            <w:r>
              <w:t>40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86CAF" w:rsidRPr="00AC1C8A" w:rsidRDefault="00086CAF" w:rsidP="00E135BC">
            <w:pPr>
              <w:spacing w:after="120" w:line="220" w:lineRule="exact"/>
              <w:ind w:right="113"/>
              <w:jc w:val="center"/>
            </w:pPr>
            <w:r>
              <w:t>32</w:t>
            </w:r>
          </w:p>
        </w:tc>
      </w:tr>
      <w:tr w:rsidR="00086CAF" w:rsidRPr="00AC1C8A" w:rsidTr="0039168C">
        <w:trPr>
          <w:cantSplit/>
        </w:trPr>
        <w:tc>
          <w:tcPr>
            <w:tcW w:w="3119" w:type="dxa"/>
            <w:shd w:val="clear" w:color="auto" w:fill="auto"/>
          </w:tcPr>
          <w:p w:rsidR="00086CAF" w:rsidRPr="00AC1C8A" w:rsidRDefault="00086CAF" w:rsidP="00E135BC">
            <w:pPr>
              <w:spacing w:after="120" w:line="220" w:lineRule="exact"/>
              <w:ind w:right="113"/>
              <w:jc w:val="center"/>
            </w:pPr>
            <w:r>
              <w:t>30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86CAF" w:rsidRPr="00AC1C8A" w:rsidRDefault="00086CAF" w:rsidP="00E135BC">
            <w:pPr>
              <w:spacing w:after="120" w:line="220" w:lineRule="exact"/>
              <w:ind w:right="113"/>
              <w:jc w:val="center"/>
            </w:pPr>
            <w:r>
              <w:t>57</w:t>
            </w:r>
          </w:p>
        </w:tc>
      </w:tr>
    </w:tbl>
    <w:p w:rsidR="00086CAF" w:rsidRPr="00086CAF" w:rsidRDefault="0039168C" w:rsidP="0039168C">
      <w:pPr>
        <w:pStyle w:val="SingleTxtGR"/>
        <w:spacing w:before="120"/>
        <w:ind w:left="2835" w:hanging="1701"/>
      </w:pPr>
      <w:r w:rsidRPr="00016BD6">
        <w:tab/>
      </w:r>
      <w:r w:rsidRPr="00016BD6">
        <w:tab/>
      </w:r>
      <w:r w:rsidR="00086CAF" w:rsidRPr="00086CAF">
        <w:t>c)</w:t>
      </w:r>
      <w:r w:rsidR="00086CAF" w:rsidRPr="00086CAF">
        <w:tab/>
        <w:t>в случае, когда фактическая продолжительность перевозки превышает максимальную продолжительность рейса, указанную в подпункте b), контроль температуры осуществляется начиная с первого дня превышения. Необходимый прибор для контроля температуры должен находиться на борту начиная с первого дня перевозки, в который превышена максимальная продолжительность рейса;</w:t>
      </w:r>
    </w:p>
    <w:p w:rsidR="00086CAF" w:rsidRPr="00086CAF" w:rsidRDefault="0039168C" w:rsidP="0039168C">
      <w:pPr>
        <w:pStyle w:val="SingleTxtGR"/>
        <w:ind w:left="2835" w:hanging="1701"/>
      </w:pPr>
      <w:r w:rsidRPr="00016BD6">
        <w:tab/>
      </w:r>
      <w:r w:rsidRPr="00016BD6">
        <w:tab/>
      </w:r>
      <w:r w:rsidR="00086CAF" w:rsidRPr="00086CAF">
        <w:t>d)</w:t>
      </w:r>
      <w:r w:rsidR="00086CAF" w:rsidRPr="00086CAF">
        <w:tab/>
        <w:t>во время погрузки судоводителю переданы в отслеживаемом виде инструкции о том, какие действия следует предпринять в случае значительного нагрева груза».</w:t>
      </w:r>
    </w:p>
    <w:p w:rsidR="00086CAF" w:rsidRPr="00086CAF" w:rsidRDefault="00086CAF" w:rsidP="00086CAF">
      <w:pPr>
        <w:pStyle w:val="SingleTxtGR"/>
      </w:pPr>
      <w:r w:rsidRPr="00086CAF">
        <w:t>2.</w:t>
      </w:r>
      <w:r w:rsidRPr="00086CAF">
        <w:tab/>
        <w:t xml:space="preserve">Вопрос о перевозке угля навалом в железнодорожных вагонах и в автотранспортных средствах обсуждался также Совместным совещанием МПОГ/ДОПОГ/ВОПОГ, Рабочей группой по перевозкам опасных грузов и Комиссией экспертов МПОГ, в результате чего специальное положение 665 было включено в МПОГ 2015 года и аналогичное положение − в ДОПОГ, которое вступит в силу 1 января 2017 года. В ДОПОГ специальное положение предусматривает следующее: </w:t>
      </w:r>
    </w:p>
    <w:p w:rsidR="00086CAF" w:rsidRPr="00086CAF" w:rsidRDefault="0039168C" w:rsidP="0039168C">
      <w:pPr>
        <w:pStyle w:val="SingleTxtGR"/>
        <w:ind w:left="2268" w:hanging="1134"/>
      </w:pPr>
      <w:r w:rsidRPr="00016BD6">
        <w:tab/>
      </w:r>
      <w:r w:rsidR="00086CAF" w:rsidRPr="00086CAF">
        <w:t>«665</w:t>
      </w:r>
      <w:r w:rsidR="00086CAF" w:rsidRPr="00086CAF">
        <w:tab/>
        <w:t>Не измельченные до порошкообразного состояния каменный уголь, кокс и антрацит, отвечающие классификационным критериям класса 4.2, группа упаковки III, не подпадают под действие требований ВОПОГ».</w:t>
      </w:r>
    </w:p>
    <w:p w:rsidR="00086CAF" w:rsidRPr="00086CAF" w:rsidRDefault="00086CAF" w:rsidP="00086CAF">
      <w:pPr>
        <w:pStyle w:val="SingleTxtGR"/>
      </w:pPr>
      <w:r w:rsidRPr="00086CAF">
        <w:t xml:space="preserve">В МПОГ специальное положение предусматривает следующее: </w:t>
      </w:r>
    </w:p>
    <w:p w:rsidR="00086CAF" w:rsidRPr="00086CAF" w:rsidRDefault="0039168C" w:rsidP="0039168C">
      <w:pPr>
        <w:pStyle w:val="SingleTxtGR"/>
        <w:ind w:left="2268" w:hanging="1134"/>
      </w:pPr>
      <w:r w:rsidRPr="00016BD6">
        <w:tab/>
      </w:r>
      <w:r w:rsidR="00086CAF" w:rsidRPr="00086CAF">
        <w:t>"665</w:t>
      </w:r>
      <w:r w:rsidR="00086CAF" w:rsidRPr="00086CAF">
        <w:tab/>
        <w:t>В случае перевозки навалом каменного угля, кокса и антрацита, отвечающих классификационным критериям класса 4.2, группа упаковки III, также допускается их перевозка в открытых вагонах или контейнерах при условии, что:</w:t>
      </w:r>
    </w:p>
    <w:p w:rsidR="00086CAF" w:rsidRPr="00086CAF" w:rsidRDefault="0039168C" w:rsidP="0039168C">
      <w:pPr>
        <w:pStyle w:val="SingleTxtGR"/>
        <w:ind w:left="2835" w:hanging="1701"/>
      </w:pPr>
      <w:r w:rsidRPr="00016BD6">
        <w:tab/>
      </w:r>
      <w:r w:rsidRPr="00016BD6">
        <w:tab/>
      </w:r>
      <w:r w:rsidR="00086CAF" w:rsidRPr="00086CAF">
        <w:t>a)</w:t>
      </w:r>
      <w:r w:rsidR="00086CAF" w:rsidRPr="00086CAF">
        <w:tab/>
        <w:t>уголь загружается в вагон или контейнер непосредственно после его добычи (без измерения температуры)</w:t>
      </w:r>
      <w:r w:rsidR="00016BD6">
        <w:t>;</w:t>
      </w:r>
      <w:r w:rsidR="00086CAF" w:rsidRPr="00086CAF">
        <w:t xml:space="preserve"> либо </w:t>
      </w:r>
    </w:p>
    <w:p w:rsidR="00086CAF" w:rsidRPr="00086CAF" w:rsidRDefault="0039168C" w:rsidP="0039168C">
      <w:pPr>
        <w:pStyle w:val="SingleTxtGR"/>
        <w:ind w:left="2835" w:hanging="1701"/>
      </w:pPr>
      <w:r w:rsidRPr="00016BD6">
        <w:tab/>
      </w:r>
      <w:r w:rsidRPr="00016BD6">
        <w:tab/>
      </w:r>
      <w:r w:rsidR="00086CAF" w:rsidRPr="00086CAF">
        <w:t>b)</w:t>
      </w:r>
      <w:r w:rsidR="00086CAF" w:rsidRPr="00086CAF">
        <w:tab/>
        <w:t>температура груза не превышает 60 °C во время или не</w:t>
      </w:r>
      <w:r w:rsidR="00016BD6">
        <w:t>-</w:t>
      </w:r>
      <w:r w:rsidR="00086CAF" w:rsidRPr="00086CAF">
        <w:t xml:space="preserve">посредственно после погрузки в вагон или контейнер. </w:t>
      </w:r>
      <w:r w:rsidR="00016BD6">
        <w:br/>
      </w:r>
      <w:r w:rsidR="00086CAF" w:rsidRPr="00086CAF">
        <w:t xml:space="preserve">Используя соответствующие методы измерения, ответственный за погрузку должен гарантировать и документально </w:t>
      </w:r>
      <w:r w:rsidR="00016BD6">
        <w:br/>
      </w:r>
      <w:r w:rsidR="00086CAF" w:rsidRPr="00086CAF">
        <w:t>подтвердить, что максимально допустимая температура груза не превышена во время или непосредственно после погрузки в вагоны или контейнеры.</w:t>
      </w:r>
    </w:p>
    <w:p w:rsidR="00086CAF" w:rsidRPr="00086CAF" w:rsidRDefault="0039168C" w:rsidP="0039168C">
      <w:pPr>
        <w:pStyle w:val="SingleTxtGR"/>
        <w:ind w:left="2268" w:hanging="1134"/>
      </w:pPr>
      <w:r w:rsidRPr="00016BD6">
        <w:tab/>
      </w:r>
      <w:r w:rsidRPr="00016BD6">
        <w:tab/>
      </w:r>
      <w:r w:rsidR="00086CAF" w:rsidRPr="00086CAF">
        <w:t>Отправитель должен удостовериться, что в документах, сопровождающих груз (таких</w:t>
      </w:r>
      <w:r w:rsidR="00016BD6">
        <w:t>,</w:t>
      </w:r>
      <w:r w:rsidR="00086CAF" w:rsidRPr="00086CAF">
        <w:t xml:space="preserve"> как коносамент, грузовой манифест или накладная КДПГ/МГК), указана следующая информация:</w:t>
      </w:r>
    </w:p>
    <w:p w:rsidR="00086CAF" w:rsidRPr="00086CAF" w:rsidRDefault="0039168C" w:rsidP="0039168C">
      <w:pPr>
        <w:pStyle w:val="SingleTxtGR"/>
        <w:ind w:left="2268" w:hanging="1134"/>
      </w:pPr>
      <w:r w:rsidRPr="00016BD6">
        <w:lastRenderedPageBreak/>
        <w:tab/>
      </w:r>
      <w:r w:rsidRPr="00016BD6">
        <w:tab/>
      </w:r>
      <w:r w:rsidR="00016BD6">
        <w:t>"</w:t>
      </w:r>
      <w:r w:rsidR="00086CAF" w:rsidRPr="00086CAF">
        <w:t>ПЕРЕВОЗКА В СООТВЕТСТВИИ СО СПЕЦИАЛЬНЫМ ПОЛОЖЕНИЕМ 665 МПОГ</w:t>
      </w:r>
      <w:r w:rsidR="00016BD6">
        <w:t>"</w:t>
      </w:r>
      <w:r w:rsidR="00086CAF" w:rsidRPr="00086CAF">
        <w:t>.</w:t>
      </w:r>
    </w:p>
    <w:p w:rsidR="00086CAF" w:rsidRPr="00086CAF" w:rsidRDefault="0039168C" w:rsidP="0039168C">
      <w:pPr>
        <w:pStyle w:val="SingleTxtGR"/>
        <w:ind w:left="2268" w:hanging="1134"/>
      </w:pPr>
      <w:r w:rsidRPr="00016BD6">
        <w:tab/>
      </w:r>
      <w:r w:rsidRPr="00016BD6">
        <w:tab/>
      </w:r>
      <w:r w:rsidR="00086CAF" w:rsidRPr="00086CAF">
        <w:t>Другие положения МПОГ не применяются».</w:t>
      </w:r>
    </w:p>
    <w:p w:rsidR="00086CAF" w:rsidRPr="00086CAF" w:rsidRDefault="00086CAF" w:rsidP="00086CAF">
      <w:pPr>
        <w:pStyle w:val="SingleTxtGR"/>
      </w:pPr>
      <w:r w:rsidRPr="00086CAF">
        <w:t>3.</w:t>
      </w:r>
      <w:r w:rsidRPr="00086CAF">
        <w:tab/>
        <w:t>Комитет по вопросам безопасности, возможно, исходя из вышеизложенного пожелает принять к сведению, что подход к регулированию перевозки угля автомобильным транспортом отличается от регулирования перевозки угля железнодорожным транспортом. В случае автомобильного транспорта перевозка угля, отвечающего критериям класса 4.2, группа упаковки III, полностью освобождена от действия правил независимо от типа средств удержания (в упакованном виде, навалом в контейнерах, навалом в транспортных средствах).</w:t>
      </w:r>
    </w:p>
    <w:p w:rsidR="00086CAF" w:rsidRPr="00086CAF" w:rsidRDefault="00086CAF" w:rsidP="00086CAF">
      <w:pPr>
        <w:pStyle w:val="SingleTxtGR"/>
      </w:pPr>
      <w:r w:rsidRPr="00086CAF">
        <w:tab/>
        <w:t>В случае железнодорожного транспорта перевозка угля, отвечающего критериям класса 4.2, группа упаковки III, освобождена частично и только тогда, когда она производится навалом в вагонах или контейнерах.</w:t>
      </w:r>
    </w:p>
    <w:p w:rsidR="00086CAF" w:rsidRPr="00086CAF" w:rsidRDefault="00086CAF" w:rsidP="00086CAF">
      <w:pPr>
        <w:pStyle w:val="SingleTxtGR"/>
      </w:pPr>
      <w:r w:rsidRPr="00086CAF">
        <w:t>4.</w:t>
      </w:r>
      <w:r w:rsidRPr="00086CAF">
        <w:tab/>
        <w:t xml:space="preserve">Что касается ВОПОГ, то решение Рабочей группы по перевозкам опасных грузов (WP.15) было доведено до сведения Комитета по вопросам безопасности секретариатом в документе, в котором содержатся согласованные поправки (ECE/TRANS/WP.15/AC.2/2016/28). </w:t>
      </w:r>
    </w:p>
    <w:p w:rsidR="00086CAF" w:rsidRPr="00086CAF" w:rsidRDefault="00086CAF" w:rsidP="00086CAF">
      <w:pPr>
        <w:pStyle w:val="SingleTxtGR"/>
      </w:pPr>
      <w:r w:rsidRPr="00086CAF">
        <w:tab/>
      </w:r>
      <w:r w:rsidR="0039168C" w:rsidRPr="00086CAF">
        <w:t>Комитет по вопросам безопасности принял аналогичное специальное положение для ВОПОГ, однако секретариат не обратил внимани</w:t>
      </w:r>
      <w:r w:rsidR="0039168C">
        <w:t xml:space="preserve">я </w:t>
      </w:r>
      <w:r w:rsidR="0039168C" w:rsidRPr="00086CAF">
        <w:t xml:space="preserve">на тот факт, что уже имеется специальное положение 803. </w:t>
      </w:r>
      <w:r w:rsidRPr="00086CAF">
        <w:t>В результате этого в настоящее время существует противоречие между специальным положением 665, которое пол</w:t>
      </w:r>
      <w:r w:rsidR="00016BD6">
        <w:t>-</w:t>
      </w:r>
      <w:r w:rsidRPr="00086CAF">
        <w:t xml:space="preserve">ностью освобождает перевозку угля, отвечающего критериям для класса 4.2, группа упаковки III, и специальным положением 803, в котором предусмотрены условия для перевозки угля, отвечающего критериям класса 4.2, группа упаковки III, навалом. </w:t>
      </w:r>
    </w:p>
    <w:p w:rsidR="00086CAF" w:rsidRPr="00086CAF" w:rsidRDefault="00086CAF" w:rsidP="00086CAF">
      <w:pPr>
        <w:pStyle w:val="SingleTxtGR"/>
      </w:pPr>
      <w:r w:rsidRPr="00086CAF">
        <w:tab/>
        <w:t>Кроме того, был также упущен из виду тот факт, что специальное положение 665 МПОГ отличается от специального положения 665 ДОПОГ.</w:t>
      </w:r>
    </w:p>
    <w:p w:rsidR="00086CAF" w:rsidRPr="00086CAF" w:rsidRDefault="00086CAF" w:rsidP="00086CAF">
      <w:pPr>
        <w:pStyle w:val="SingleTxtGR"/>
      </w:pPr>
      <w:r w:rsidRPr="00086CAF">
        <w:t>5.</w:t>
      </w:r>
      <w:r w:rsidRPr="00086CAF">
        <w:tab/>
        <w:t>На данном этапе секретариат считает, что необходимо исправить текст специального положения 665 ВОПОГ во избежание расхождений со специальным положением 803, например, путем включения в начале текста следующих слов:</w:t>
      </w:r>
    </w:p>
    <w:p w:rsidR="00086CAF" w:rsidRPr="00086CAF" w:rsidRDefault="00086CAF" w:rsidP="00086CAF">
      <w:pPr>
        <w:pStyle w:val="SingleTxtGR"/>
      </w:pPr>
      <w:r w:rsidRPr="00086CAF">
        <w:t>«За исключением перевозки навалом…».</w:t>
      </w:r>
    </w:p>
    <w:p w:rsidR="00086CAF" w:rsidRPr="00086CAF" w:rsidRDefault="00086CAF" w:rsidP="00086CAF">
      <w:pPr>
        <w:pStyle w:val="SingleTxtGR"/>
      </w:pPr>
      <w:r w:rsidRPr="00086CAF">
        <w:t>6.</w:t>
      </w:r>
      <w:r w:rsidRPr="00086CAF">
        <w:tab/>
        <w:t xml:space="preserve">В долгосрочной перспективе (поправки 2019 года) Комитет по вопросам безопасности, возможно, пожелает рассмотреть вопрос о том, какой подход использовать в отношении угля, отвечающего критериям для класса 4.2, группа упаковки III, в случае погрузки в упакованном виде в транспортных средствах, вагонах или контейнерах, а также в случае погрузки навалом в транспортных средствах, вагонах или контейнерах. </w:t>
      </w:r>
    </w:p>
    <w:p w:rsidR="004A45D8" w:rsidRPr="0039168C" w:rsidRDefault="0039168C" w:rsidP="003916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D8" w:rsidRDefault="004A45D8" w:rsidP="00B471C5">
      <w:r>
        <w:separator/>
      </w:r>
    </w:p>
  </w:endnote>
  <w:endnote w:type="continuationSeparator" w:id="0">
    <w:p w:rsidR="004A45D8" w:rsidRDefault="004A45D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6750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A45D8">
      <w:rPr>
        <w:lang w:val="en-US"/>
      </w:rPr>
      <w:t>19745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4A45D8">
      <w:rPr>
        <w:lang w:val="en-US"/>
      </w:rPr>
      <w:t>19745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6750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9168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4A45D8">
            <w:rPr>
              <w:lang w:val="en-US"/>
            </w:rPr>
            <w:t>19745</w:t>
          </w:r>
          <w:r w:rsidRPr="001C3ABC">
            <w:rPr>
              <w:lang w:val="en-US"/>
            </w:rPr>
            <w:t xml:space="preserve"> (R)</w:t>
          </w:r>
          <w:r w:rsidR="0039168C">
            <w:t xml:space="preserve">  181116  211116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A45D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AC.2/2017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A45D8" w:rsidRDefault="004A45D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A45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D8" w:rsidRPr="009141DC" w:rsidRDefault="004A45D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A45D8" w:rsidRPr="00D1261C" w:rsidRDefault="004A45D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86CAF" w:rsidRPr="008B2AA7" w:rsidRDefault="00086CAF" w:rsidP="00086CAF">
      <w:pPr>
        <w:pStyle w:val="FootnoteText"/>
        <w:rPr>
          <w:lang w:val="ru-RU"/>
        </w:rPr>
      </w:pPr>
      <w:r>
        <w:rPr>
          <w:lang w:val="ru-RU"/>
        </w:rPr>
        <w:tab/>
        <w:t xml:space="preserve">* </w:t>
      </w:r>
      <w:r>
        <w:rPr>
          <w:lang w:val="ru-RU"/>
        </w:rPr>
        <w:tab/>
        <w:t>Распространено на немецком языке Центральной комиссией судоходства по Рейну в качестве документа CCNR-ZKR/ADN/WP.15/AC.2/2017/9.</w:t>
      </w:r>
    </w:p>
  </w:footnote>
  <w:footnote w:id="2">
    <w:p w:rsidR="00086CAF" w:rsidRPr="008B2AA7" w:rsidRDefault="00086CAF" w:rsidP="00086CAF">
      <w:pPr>
        <w:pStyle w:val="FootnoteText"/>
        <w:rPr>
          <w:lang w:val="ru-RU"/>
        </w:rPr>
      </w:pPr>
      <w:r>
        <w:rPr>
          <w:lang w:val="ru-RU"/>
        </w:rPr>
        <w:tab/>
        <w:t xml:space="preserve">** 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39168C" w:rsidRPr="0039168C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A45D8" w:rsidRPr="004A45D8">
      <w:rPr>
        <w:lang w:val="en-US"/>
      </w:rPr>
      <w:t>TRANS/WP.15/AC.2/2017/9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A45D8" w:rsidRPr="004A45D8">
      <w:rPr>
        <w:lang w:val="en-US"/>
      </w:rPr>
      <w:t>TRANS/WP.15/AC.2/2017/9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8"/>
    <w:rsid w:val="00016BD6"/>
    <w:rsid w:val="000450D1"/>
    <w:rsid w:val="00086CAF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9168C"/>
    <w:rsid w:val="0048005C"/>
    <w:rsid w:val="004A45D8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67507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ACFADB-B013-4A64-8B20-8081266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B62A-5568-444A-B05E-CD440DCD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2016-11-21T07:33:00Z</cp:lastPrinted>
  <dcterms:created xsi:type="dcterms:W3CDTF">2016-11-24T10:06:00Z</dcterms:created>
  <dcterms:modified xsi:type="dcterms:W3CDTF">2016-11-24T10:06:00Z</dcterms:modified>
</cp:coreProperties>
</file>