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27A58">
              <w:fldChar w:fldCharType="begin"/>
            </w:r>
            <w:r w:rsidR="00D27A58">
              <w:instrText xml:space="preserve"> FILLIN  "Введите символ после ЕCE/"  \* MERGEFORMAT </w:instrText>
            </w:r>
            <w:r w:rsidR="00D27A58">
              <w:fldChar w:fldCharType="separate"/>
            </w:r>
            <w:r w:rsidR="001F3D7F">
              <w:t>TRANS/WP.15/AC.2/2017/5</w:t>
            </w:r>
            <w:r w:rsidR="00D27A58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27A5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1F3D7F">
                <w:t>9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27A5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D1106" w:rsidRPr="00A61414" w:rsidRDefault="00FD1106" w:rsidP="00FD1106">
      <w:pPr>
        <w:pStyle w:val="SingleTxtGR"/>
        <w:spacing w:before="120"/>
        <w:ind w:left="0" w:right="1138"/>
        <w:rPr>
          <w:sz w:val="28"/>
          <w:szCs w:val="28"/>
        </w:rPr>
      </w:pPr>
      <w:r w:rsidRPr="00A61414">
        <w:rPr>
          <w:sz w:val="28"/>
          <w:szCs w:val="28"/>
        </w:rPr>
        <w:t>Комитет по внутреннему транспорту</w:t>
      </w:r>
    </w:p>
    <w:p w:rsidR="00FD1106" w:rsidRPr="00A61414" w:rsidRDefault="00FD1106" w:rsidP="00FD1106">
      <w:pPr>
        <w:pStyle w:val="SingleTxtGR"/>
        <w:ind w:left="0" w:right="1138"/>
        <w:rPr>
          <w:b/>
          <w:bCs/>
          <w:sz w:val="24"/>
          <w:szCs w:val="24"/>
        </w:rPr>
      </w:pPr>
      <w:r w:rsidRPr="00A61414">
        <w:rPr>
          <w:b/>
          <w:bCs/>
          <w:sz w:val="24"/>
          <w:szCs w:val="24"/>
        </w:rPr>
        <w:t>Рабочая группа по перевозкам опасных грузов</w:t>
      </w:r>
    </w:p>
    <w:p w:rsidR="00FD1106" w:rsidRPr="00A61414" w:rsidRDefault="00FD1106" w:rsidP="00FD1106">
      <w:pPr>
        <w:pStyle w:val="SingleTxtGR"/>
        <w:spacing w:after="0"/>
        <w:ind w:left="0" w:right="1138"/>
        <w:jc w:val="left"/>
        <w:rPr>
          <w:b/>
          <w:bCs/>
        </w:rPr>
      </w:pPr>
      <w:r w:rsidRPr="00A61414">
        <w:rPr>
          <w:b/>
          <w:bCs/>
        </w:rPr>
        <w:t>Совместное совещание экспертов по Правилам,</w:t>
      </w:r>
      <w:r w:rsidRPr="00A61414">
        <w:rPr>
          <w:b/>
          <w:bCs/>
        </w:rPr>
        <w:br/>
        <w:t>прилагаемым к Европейскому соглашению</w:t>
      </w:r>
      <w:r w:rsidRPr="00A61414">
        <w:rPr>
          <w:b/>
          <w:bCs/>
        </w:rPr>
        <w:br/>
        <w:t>о международной перевозке опасных грузов</w:t>
      </w:r>
      <w:r w:rsidRPr="00A61414">
        <w:rPr>
          <w:b/>
          <w:bCs/>
        </w:rPr>
        <w:br/>
        <w:t>по внутренним водным путям (ВОПОГ)</w:t>
      </w:r>
      <w:r w:rsidRPr="00A61414">
        <w:rPr>
          <w:b/>
          <w:bCs/>
        </w:rPr>
        <w:br/>
        <w:t>(Комитет по вопросам безопасности ВОПОГ)</w:t>
      </w:r>
    </w:p>
    <w:p w:rsidR="00FD1106" w:rsidRPr="00A61414" w:rsidRDefault="00FD1106" w:rsidP="00FD1106">
      <w:pPr>
        <w:pStyle w:val="SingleTxtGR"/>
        <w:spacing w:before="120" w:after="0"/>
        <w:ind w:left="0" w:right="1138"/>
        <w:jc w:val="left"/>
        <w:rPr>
          <w:b/>
          <w:bCs/>
        </w:rPr>
      </w:pPr>
      <w:r w:rsidRPr="00A61414">
        <w:rPr>
          <w:b/>
          <w:bCs/>
        </w:rPr>
        <w:t>Тридцатая сессия</w:t>
      </w:r>
    </w:p>
    <w:p w:rsidR="00FD1106" w:rsidRPr="00A61414" w:rsidRDefault="00FD1106" w:rsidP="00FD1106">
      <w:pPr>
        <w:pStyle w:val="SingleTxtGR"/>
        <w:spacing w:after="0"/>
        <w:ind w:left="0" w:right="1138"/>
        <w:jc w:val="left"/>
      </w:pPr>
      <w:r w:rsidRPr="00A61414">
        <w:t>Женева, 23</w:t>
      </w:r>
      <w:r w:rsidRPr="009950CD">
        <w:t>–</w:t>
      </w:r>
      <w:r w:rsidRPr="00A61414">
        <w:t>27 января 2017 года</w:t>
      </w:r>
    </w:p>
    <w:p w:rsidR="00FD1106" w:rsidRPr="00A61414" w:rsidRDefault="00FD1106" w:rsidP="00FD1106">
      <w:pPr>
        <w:pStyle w:val="SingleTxtGR"/>
        <w:spacing w:after="0"/>
        <w:ind w:left="0" w:right="1138"/>
        <w:jc w:val="left"/>
      </w:pPr>
      <w:r w:rsidRPr="00A61414">
        <w:t xml:space="preserve">Пункт </w:t>
      </w:r>
      <w:r>
        <w:t>4 c)</w:t>
      </w:r>
      <w:r w:rsidRPr="00B93E72">
        <w:t xml:space="preserve"> </w:t>
      </w:r>
      <w:r w:rsidRPr="00A61414">
        <w:t>предварительной повестки дня</w:t>
      </w:r>
    </w:p>
    <w:p w:rsidR="00FD1106" w:rsidRPr="00CF786E" w:rsidRDefault="00FD1106" w:rsidP="00FD1106">
      <w:pPr>
        <w:pStyle w:val="SingleTxtGR"/>
        <w:spacing w:after="0"/>
        <w:ind w:left="0" w:right="1138"/>
        <w:jc w:val="left"/>
        <w:rPr>
          <w:b/>
        </w:rPr>
      </w:pPr>
      <w:r w:rsidRPr="00CF786E">
        <w:rPr>
          <w:b/>
        </w:rPr>
        <w:t xml:space="preserve">Применение Европейского соглашения </w:t>
      </w:r>
      <w:r w:rsidRPr="00FD1106">
        <w:rPr>
          <w:b/>
        </w:rPr>
        <w:br/>
      </w:r>
      <w:r w:rsidRPr="00CF786E">
        <w:rPr>
          <w:b/>
        </w:rPr>
        <w:t xml:space="preserve">о международной перевозке опасных грузов </w:t>
      </w:r>
      <w:r w:rsidRPr="00FD1106">
        <w:rPr>
          <w:b/>
        </w:rPr>
        <w:br/>
      </w:r>
      <w:r w:rsidRPr="00CF786E">
        <w:rPr>
          <w:b/>
        </w:rPr>
        <w:t>по внутренним водным путям (ВОПОГ):</w:t>
      </w:r>
    </w:p>
    <w:p w:rsidR="00FD1106" w:rsidRPr="009950CD" w:rsidRDefault="00FD1106" w:rsidP="00FD1106">
      <w:pPr>
        <w:pStyle w:val="SingleTxtGR"/>
        <w:spacing w:after="0"/>
        <w:ind w:left="0" w:right="1138"/>
        <w:jc w:val="left"/>
        <w:rPr>
          <w:b/>
        </w:rPr>
      </w:pPr>
      <w:r>
        <w:rPr>
          <w:b/>
        </w:rPr>
        <w:t>т</w:t>
      </w:r>
      <w:r w:rsidRPr="00CF786E">
        <w:rPr>
          <w:b/>
        </w:rPr>
        <w:t>олкование Правил, прилагаемых к ВОПОГ</w:t>
      </w:r>
    </w:p>
    <w:p w:rsidR="00FD1106" w:rsidRPr="00A61414" w:rsidRDefault="00FD1106" w:rsidP="00FD1106">
      <w:pPr>
        <w:pStyle w:val="HChGR"/>
      </w:pPr>
      <w:r w:rsidRPr="009950CD">
        <w:tab/>
      </w:r>
      <w:r w:rsidRPr="009950CD">
        <w:tab/>
      </w:r>
      <w:r w:rsidRPr="00080828">
        <w:t>Виды опасности, создаваемые работами,</w:t>
      </w:r>
      <w:r>
        <w:t xml:space="preserve"> </w:t>
      </w:r>
      <w:r w:rsidRPr="00080828">
        <w:t>производимыми на борту судна, – раздел</w:t>
      </w:r>
      <w:r>
        <w:t> </w:t>
      </w:r>
      <w:r w:rsidRPr="00080828">
        <w:t>8.3.5 ВОПОГ</w:t>
      </w:r>
    </w:p>
    <w:p w:rsidR="00FD1106" w:rsidRPr="009C10E9" w:rsidRDefault="00FD1106" w:rsidP="00FD1106">
      <w:pPr>
        <w:pStyle w:val="H1GR"/>
        <w:rPr>
          <w:b w:val="0"/>
          <w:sz w:val="20"/>
        </w:rPr>
      </w:pPr>
      <w:r w:rsidRPr="00A61414">
        <w:tab/>
      </w:r>
      <w:r w:rsidRPr="00A61414">
        <w:tab/>
        <w:t>Передано</w:t>
      </w:r>
      <w:r w:rsidRPr="009C10E9">
        <w:t xml:space="preserve"> </w:t>
      </w:r>
      <w:r w:rsidRPr="00A61414">
        <w:t>правительством</w:t>
      </w:r>
      <w:r w:rsidRPr="009C10E9">
        <w:t xml:space="preserve"> </w:t>
      </w:r>
      <w:r w:rsidRPr="00A61414">
        <w:t>Германии</w:t>
      </w:r>
      <w:r w:rsidRPr="009C10E9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  <w:vertAlign w:val="superscript"/>
          <w:lang w:val="en-US"/>
        </w:rPr>
        <w:t xml:space="preserve"> </w:t>
      </w:r>
      <w:r w:rsidRPr="009C10E9">
        <w:rPr>
          <w:b w:val="0"/>
          <w:sz w:val="20"/>
        </w:rPr>
        <w:footnoteReference w:customMarkFollows="1" w:id="2"/>
        <w:t>**</w:t>
      </w:r>
    </w:p>
    <w:p w:rsidR="00FD1106" w:rsidRPr="00FD1106" w:rsidRDefault="00FD1106" w:rsidP="00FD1106">
      <w:pPr>
        <w:pStyle w:val="HChGR"/>
      </w:pPr>
      <w:r w:rsidRPr="00FD1106">
        <w:tab/>
      </w:r>
      <w:r>
        <w:rPr>
          <w:lang w:val="en-US"/>
        </w:rPr>
        <w:tab/>
      </w:r>
      <w:r w:rsidRPr="00FD1106">
        <w:t>Вопросы толкования</w:t>
      </w:r>
    </w:p>
    <w:p w:rsidR="00FD1106" w:rsidRPr="00FD1106" w:rsidRDefault="00FD1106" w:rsidP="00FD1106">
      <w:pPr>
        <w:pStyle w:val="SingleTxtGR"/>
      </w:pPr>
      <w:r w:rsidRPr="00FD1106">
        <w:t>1.</w:t>
      </w:r>
      <w:r w:rsidRPr="00FD1106">
        <w:tab/>
        <w:t>Раздел 8.3.5 ВОПОГ озаглавлен следующим образом: «Виды опасности, создаваемые работами, производимыми на борту судна».</w:t>
      </w:r>
    </w:p>
    <w:p w:rsidR="00FD1106" w:rsidRPr="00FD1106" w:rsidRDefault="00FD1106" w:rsidP="00FD1106">
      <w:pPr>
        <w:pStyle w:val="SingleTxtGR"/>
      </w:pPr>
      <w:r w:rsidRPr="00FD1106">
        <w:t>Вопрос: В каких случаях производятся работы «на борту» судна? – Ограничение пространства.</w:t>
      </w:r>
    </w:p>
    <w:p w:rsidR="00FD1106" w:rsidRPr="00FD1106" w:rsidRDefault="00FD1106" w:rsidP="00FD1106">
      <w:pPr>
        <w:pStyle w:val="SingleTxtGR"/>
      </w:pPr>
      <w:r w:rsidRPr="00FD1106">
        <w:t>Примеры: Работы с якорной цепью или гребным винтом судна.</w:t>
      </w:r>
    </w:p>
    <w:p w:rsidR="00FD1106" w:rsidRPr="00FD1106" w:rsidRDefault="00FD1106" w:rsidP="00FD1106">
      <w:pPr>
        <w:pStyle w:val="SingleTxtGR"/>
      </w:pPr>
      <w:r w:rsidRPr="00FD1106">
        <w:lastRenderedPageBreak/>
        <w:t>2.</w:t>
      </w:r>
      <w:r w:rsidRPr="00FD1106">
        <w:tab/>
        <w:t xml:space="preserve">Согласно пункту 7.2.3.7.6 ВОПОГ, </w:t>
      </w:r>
      <w:r w:rsidRPr="00FD1106">
        <w:rPr>
          <w:bCs/>
        </w:rPr>
        <w:t>должны быть осуществлены очистка и дегазация грузовых танков и трубопроводов в грузовом пространстве</w:t>
      </w:r>
      <w:r w:rsidRPr="00FD1106">
        <w:t xml:space="preserve">. </w:t>
      </w:r>
      <w:r w:rsidRPr="00FD1106">
        <w:rPr>
          <w:bCs/>
        </w:rPr>
        <w:t>Результаты дегазации должны быть зарегистрированы в свидетельстве о дегазации.</w:t>
      </w:r>
    </w:p>
    <w:p w:rsidR="00FD1106" w:rsidRPr="00FD1106" w:rsidRDefault="00FD1106" w:rsidP="00FD1106">
      <w:pPr>
        <w:pStyle w:val="SingleTxtGR"/>
      </w:pPr>
      <w:r w:rsidRPr="00FD1106">
        <w:t>Согласно разделу 8.3.5 ВОПОГ, требуется либо разрешение компетентного органа, либо «свидетельство, подтверждающее полную дегазацию судна».</w:t>
      </w:r>
    </w:p>
    <w:p w:rsidR="00FD1106" w:rsidRPr="00FD1106" w:rsidRDefault="00FD1106" w:rsidP="00FD1106">
      <w:pPr>
        <w:pStyle w:val="SingleTxtGR"/>
      </w:pPr>
      <w:r w:rsidRPr="00FD1106">
        <w:t xml:space="preserve">Для издания ВОПОГ 2019 года была принята следующая поправка: «свидетельство, подтверждающее полную дегазацию судна </w:t>
      </w:r>
      <w:r w:rsidRPr="00FD1106">
        <w:rPr>
          <w:b/>
          <w:lang w:val="en-US"/>
        </w:rPr>
        <w:t>c</w:t>
      </w:r>
      <w:r w:rsidRPr="00FD1106">
        <w:rPr>
          <w:b/>
        </w:rPr>
        <w:t>огласно пункту 7.2.3.7.6</w:t>
      </w:r>
      <w:r w:rsidRPr="00FD1106">
        <w:t>». Пункт 7.2.3.7.6 остается без изменений.</w:t>
      </w:r>
    </w:p>
    <w:p w:rsidR="00FD1106" w:rsidRPr="00FD1106" w:rsidRDefault="00FD1106" w:rsidP="00FD1106">
      <w:pPr>
        <w:pStyle w:val="SingleTxtGR"/>
      </w:pPr>
      <w:r w:rsidRPr="00FD1106">
        <w:t>Вопрос: Должно ли состояние отсутствия газов быть удостоверено для всего судна, от носа до кормы, или достаточным является свидетельство о дегазации, действие которого ограничено пространством/пространствами, в котором/</w:t>
      </w:r>
      <w:r w:rsidR="009950CD" w:rsidRPr="009950CD">
        <w:br/>
      </w:r>
      <w:r w:rsidRPr="00FD1106">
        <w:t>которых должны производиться работы, упомянутые в разделе 8.3.5 ВОПОГ?</w:t>
      </w:r>
    </w:p>
    <w:p w:rsidR="00FD1106" w:rsidRPr="00FD1106" w:rsidRDefault="00FD1106" w:rsidP="00FD1106">
      <w:pPr>
        <w:pStyle w:val="SingleTxtGR"/>
      </w:pPr>
      <w:r w:rsidRPr="00FD1106">
        <w:t>Пример: Свидетельство, применимое только к пространству грузового танка 3.</w:t>
      </w:r>
    </w:p>
    <w:p w:rsidR="001F3D7F" w:rsidRPr="00FD1106" w:rsidRDefault="00FD1106" w:rsidP="00FD110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7F" w:rsidRDefault="001F3D7F" w:rsidP="00B471C5">
      <w:r>
        <w:separator/>
      </w:r>
    </w:p>
  </w:endnote>
  <w:endnote w:type="continuationSeparator" w:id="0">
    <w:p w:rsidR="001F3D7F" w:rsidRDefault="001F3D7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7A5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F3D7F">
      <w:rPr>
        <w:lang w:val="en-US"/>
      </w:rPr>
      <w:t>19618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D1106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F3D7F">
            <w:rPr>
              <w:lang w:val="en-US"/>
            </w:rPr>
            <w:t>19618</w:t>
          </w:r>
          <w:r w:rsidRPr="001C3ABC">
            <w:rPr>
              <w:lang w:val="en-US"/>
            </w:rPr>
            <w:t xml:space="preserve"> (R)</w:t>
          </w:r>
          <w:r w:rsidR="001F3D7F">
            <w:rPr>
              <w:lang w:val="en-US"/>
            </w:rPr>
            <w:t xml:space="preserve">  011216  011216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F3D7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2/2017/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F3D7F" w:rsidRDefault="001F3D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F3D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7F" w:rsidRPr="009141DC" w:rsidRDefault="001F3D7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F3D7F" w:rsidRPr="00D1261C" w:rsidRDefault="001F3D7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D1106" w:rsidRPr="003E49BF" w:rsidRDefault="00FD1106" w:rsidP="00FD1106">
      <w:pPr>
        <w:pStyle w:val="FootnoteText"/>
        <w:widowControl w:val="0"/>
        <w:rPr>
          <w:lang w:val="ru-RU"/>
        </w:rPr>
      </w:pPr>
      <w:r>
        <w:tab/>
      </w:r>
      <w:r w:rsidRPr="00FD1106">
        <w:rPr>
          <w:rStyle w:val="FootnoteReference"/>
          <w:vertAlign w:val="baseline"/>
          <w:lang w:val="ru-RU"/>
        </w:rPr>
        <w:t>*</w:t>
      </w:r>
      <w:r w:rsidRPr="00FD1106">
        <w:rPr>
          <w:sz w:val="16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3E49BF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3E49BF">
        <w:rPr>
          <w:lang w:val="ru-RU"/>
        </w:rPr>
        <w:t xml:space="preserve"> </w:t>
      </w:r>
      <w:r w:rsidRPr="00834E2C">
        <w:t>CCNR</w:t>
      </w:r>
      <w:r>
        <w:rPr>
          <w:lang w:val="ru-RU"/>
        </w:rPr>
        <w:t>-</w:t>
      </w:r>
      <w:r w:rsidRPr="00834E2C">
        <w:t>ZKR</w:t>
      </w:r>
      <w:r w:rsidRPr="003E49BF">
        <w:rPr>
          <w:lang w:val="ru-RU"/>
        </w:rPr>
        <w:t>/</w:t>
      </w:r>
      <w:r w:rsidRPr="00834E2C">
        <w:t>ADN</w:t>
      </w:r>
      <w:r w:rsidRPr="003E49BF">
        <w:rPr>
          <w:lang w:val="ru-RU"/>
        </w:rPr>
        <w:t>/</w:t>
      </w:r>
      <w:r w:rsidRPr="00834E2C">
        <w:t>WP</w:t>
      </w:r>
      <w:r w:rsidRPr="003E49BF">
        <w:rPr>
          <w:lang w:val="ru-RU"/>
        </w:rPr>
        <w:t>.15/</w:t>
      </w:r>
      <w:r w:rsidRPr="00834E2C">
        <w:t>AC</w:t>
      </w:r>
      <w:r w:rsidRPr="003E49BF">
        <w:rPr>
          <w:lang w:val="ru-RU"/>
        </w:rPr>
        <w:t>.2/2017/</w:t>
      </w:r>
      <w:r>
        <w:rPr>
          <w:lang w:val="ru-RU"/>
        </w:rPr>
        <w:t>5</w:t>
      </w:r>
      <w:r w:rsidRPr="003E49BF">
        <w:rPr>
          <w:noProof/>
          <w:lang w:val="ru-RU"/>
        </w:rPr>
        <w:t>.</w:t>
      </w:r>
    </w:p>
  </w:footnote>
  <w:footnote w:id="2">
    <w:p w:rsidR="00FD1106" w:rsidRPr="00DE2E5E" w:rsidRDefault="00FD1106" w:rsidP="00FD1106">
      <w:pPr>
        <w:pStyle w:val="FootnoteText"/>
        <w:widowControl w:val="0"/>
        <w:rPr>
          <w:lang w:val="ru-RU"/>
        </w:rPr>
      </w:pPr>
      <w:r w:rsidRPr="003E49BF">
        <w:rPr>
          <w:lang w:val="ru-RU"/>
        </w:rPr>
        <w:tab/>
      </w:r>
      <w:r w:rsidRPr="00FD1106">
        <w:rPr>
          <w:rStyle w:val="FootnoteReference"/>
          <w:vertAlign w:val="baseline"/>
          <w:lang w:val="ru-RU"/>
        </w:rPr>
        <w:t>**</w:t>
      </w:r>
      <w:r w:rsidRPr="00E6226D">
        <w:rPr>
          <w:lang w:val="ru-RU"/>
        </w:rPr>
        <w:tab/>
      </w:r>
      <w:r w:rsidRPr="0087334B">
        <w:rPr>
          <w:lang w:val="ru-RU"/>
        </w:rPr>
        <w:t xml:space="preserve">В соответствии с программой работы Комитета по внутреннему транспорту </w:t>
      </w:r>
      <w:r>
        <w:rPr>
          <w:lang w:val="ru-RU"/>
        </w:rPr>
        <w:t>на</w:t>
      </w:r>
      <w:r w:rsidRPr="00DE2E5E">
        <w:rPr>
          <w:lang w:val="ru-RU"/>
        </w:rPr>
        <w:t xml:space="preserve"> </w:t>
      </w:r>
      <w:r>
        <w:rPr>
          <w:lang w:val="ru-RU"/>
        </w:rPr>
        <w:br/>
      </w:r>
      <w:r w:rsidRPr="00DE2E5E">
        <w:rPr>
          <w:lang w:val="ru-RU"/>
        </w:rPr>
        <w:t>2016–2017 годы (</w:t>
      </w:r>
      <w:r w:rsidRPr="0087334B">
        <w:rPr>
          <w:lang w:val="en-US"/>
        </w:rPr>
        <w:t>ECE</w:t>
      </w:r>
      <w:r w:rsidRPr="00DE2E5E">
        <w:rPr>
          <w:lang w:val="ru-RU"/>
        </w:rPr>
        <w:t>/</w:t>
      </w:r>
      <w:r w:rsidRPr="0087334B">
        <w:rPr>
          <w:lang w:val="en-US"/>
        </w:rPr>
        <w:t>TRANS</w:t>
      </w:r>
      <w:r w:rsidRPr="00DE2E5E">
        <w:rPr>
          <w:lang w:val="ru-RU"/>
        </w:rPr>
        <w:t>/2016/28/</w:t>
      </w:r>
      <w:r w:rsidRPr="0087334B">
        <w:rPr>
          <w:lang w:val="en-US"/>
        </w:rPr>
        <w:t>Add</w:t>
      </w:r>
      <w:r w:rsidRPr="00DE2E5E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F3D7F" w:rsidRPr="001F3D7F">
      <w:rPr>
        <w:lang w:val="en-US"/>
      </w:rPr>
      <w:t>TRANS/WP.15/AC.2/2017/5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7F"/>
    <w:rsid w:val="000450D1"/>
    <w:rsid w:val="000B1FD5"/>
    <w:rsid w:val="000F2A4F"/>
    <w:rsid w:val="001F3D7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50C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27A58"/>
    <w:rsid w:val="00D75DCE"/>
    <w:rsid w:val="00DC1F9A"/>
    <w:rsid w:val="00DD35AC"/>
    <w:rsid w:val="00DD479F"/>
    <w:rsid w:val="00E15E48"/>
    <w:rsid w:val="00EB0723"/>
    <w:rsid w:val="00EB2957"/>
    <w:rsid w:val="00EE6F37"/>
    <w:rsid w:val="00F1599F"/>
    <w:rsid w:val="00F31EF2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B663B8-0D3C-49E4-AAE9-F623F56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3B5-6639-4DBB-86E5-F96C7361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Lucille</cp:lastModifiedBy>
  <cp:revision>2</cp:revision>
  <cp:lastPrinted>2016-12-01T13:05:00Z</cp:lastPrinted>
  <dcterms:created xsi:type="dcterms:W3CDTF">2016-12-02T08:52:00Z</dcterms:created>
  <dcterms:modified xsi:type="dcterms:W3CDTF">2016-12-02T08:52:00Z</dcterms:modified>
</cp:coreProperties>
</file>