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Pr="00B40749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2D550A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C63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B40749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C25836">
        <w:rPr>
          <w:rFonts w:ascii="Arial" w:eastAsia="Arial" w:hAnsi="Arial" w:cs="Arial"/>
          <w:bCs/>
          <w:snapToGrid/>
          <w:szCs w:val="24"/>
          <w:lang w:val="en-US" w:eastAsia="de-DE"/>
        </w:rPr>
        <w:t>28</w:t>
      </w:r>
    </w:p>
    <w:p w:rsidR="00EE1D86" w:rsidRPr="002D550A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D550A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2D550A" w:rsidRDefault="00C2583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24</w:t>
      </w:r>
      <w:r w:rsidR="009455B3">
        <w:rPr>
          <w:rFonts w:ascii="Arial" w:eastAsia="Arial" w:hAnsi="Arial" w:cs="Arial"/>
          <w:snapToGrid/>
          <w:szCs w:val="24"/>
          <w:lang w:val="de-DE" w:eastAsia="de-DE"/>
        </w:rPr>
        <w:t>. Mai</w:t>
      </w:r>
      <w:r w:rsidR="003A5281">
        <w:rPr>
          <w:rFonts w:ascii="Arial" w:eastAsia="Arial" w:hAnsi="Arial" w:cs="Arial"/>
          <w:snapToGrid/>
          <w:szCs w:val="24"/>
          <w:lang w:val="de-DE" w:eastAsia="de-DE"/>
        </w:rPr>
        <w:t xml:space="preserve"> 2017</w:t>
      </w:r>
    </w:p>
    <w:p w:rsidR="00EE1D86" w:rsidRPr="002D550A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. DEUTSCH</w:t>
      </w: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D550A">
        <w:rPr>
          <w:rFonts w:ascii="Arial" w:hAnsi="Arial"/>
          <w:sz w:val="16"/>
          <w:szCs w:val="24"/>
          <w:lang w:val="de-DE"/>
        </w:rPr>
        <w:t>(</w:t>
      </w:r>
      <w:r w:rsidR="003A5281">
        <w:rPr>
          <w:rFonts w:ascii="Arial" w:hAnsi="Arial"/>
          <w:sz w:val="16"/>
          <w:szCs w:val="24"/>
          <w:lang w:val="de-DE"/>
        </w:rPr>
        <w:t>31</w:t>
      </w:r>
      <w:r w:rsidRPr="002D550A">
        <w:rPr>
          <w:rFonts w:ascii="Arial" w:hAnsi="Arial"/>
          <w:sz w:val="16"/>
          <w:szCs w:val="24"/>
          <w:lang w:val="de-DE"/>
        </w:rPr>
        <w:t xml:space="preserve">. 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21330E">
        <w:rPr>
          <w:rFonts w:ascii="Arial" w:hAnsi="Arial"/>
          <w:noProof/>
          <w:sz w:val="16"/>
          <w:szCs w:val="24"/>
          <w:lang w:val="de-DE"/>
        </w:rPr>
        <w:t>28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. bis </w:t>
      </w:r>
      <w:r w:rsidR="0021330E">
        <w:rPr>
          <w:rFonts w:ascii="Arial" w:hAnsi="Arial"/>
          <w:noProof/>
          <w:sz w:val="16"/>
          <w:szCs w:val="24"/>
          <w:lang w:val="de-DE"/>
        </w:rPr>
        <w:t>31</w:t>
      </w:r>
      <w:r w:rsidR="00852F91">
        <w:rPr>
          <w:rFonts w:ascii="Arial" w:hAnsi="Arial"/>
          <w:noProof/>
          <w:sz w:val="16"/>
          <w:szCs w:val="24"/>
          <w:lang w:val="de-DE"/>
        </w:rPr>
        <w:t>. August 2017</w:t>
      </w:r>
      <w:r w:rsidRPr="002D550A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C25836">
        <w:rPr>
          <w:rFonts w:ascii="Arial" w:hAnsi="Arial" w:cs="Arial"/>
          <w:snapToGrid/>
          <w:sz w:val="16"/>
          <w:szCs w:val="16"/>
          <w:lang w:val="de-DE" w:eastAsia="en-US"/>
        </w:rPr>
        <w:t>4 b)</w:t>
      </w: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DC4C63">
        <w:rPr>
          <w:rFonts w:ascii="Arial" w:hAnsi="Arial" w:cs="Arial"/>
          <w:b/>
          <w:snapToGrid/>
          <w:sz w:val="16"/>
          <w:szCs w:val="16"/>
          <w:lang w:val="de-DE" w:eastAsia="en-US"/>
        </w:rPr>
        <w:t>Vorschläge für Änderungen der dem ADN beigefügten Verordnung</w:t>
      </w:r>
      <w:r w:rsidR="00EE1D86" w:rsidRPr="002D550A">
        <w:rPr>
          <w:rFonts w:ascii="Arial" w:hAnsi="Arial" w:cs="Arial"/>
          <w:b/>
          <w:snapToGrid/>
          <w:sz w:val="16"/>
          <w:szCs w:val="16"/>
          <w:lang w:val="de-DE" w:eastAsia="en-US"/>
        </w:rPr>
        <w:t>: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Weitere Vorschläge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</w:p>
    <w:p w:rsidR="009F0D42" w:rsidRPr="00453575" w:rsidRDefault="009F0D42" w:rsidP="0014320F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/>
          <w:snapToGrid/>
          <w:color w:val="000000"/>
          <w:sz w:val="22"/>
          <w:lang w:val="de-DE"/>
        </w:rPr>
      </w:pPr>
    </w:p>
    <w:p w:rsidR="008623E4" w:rsidRPr="002D550A" w:rsidRDefault="009F0D42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  <w:r w:rsidRPr="00453575">
        <w:rPr>
          <w:b/>
          <w:bCs/>
          <w:snapToGrid/>
          <w:sz w:val="28"/>
          <w:szCs w:val="24"/>
          <w:lang w:val="de-DE"/>
        </w:rPr>
        <w:tab/>
      </w:r>
      <w:r w:rsidRPr="00453575">
        <w:rPr>
          <w:b/>
          <w:bCs/>
          <w:snapToGrid/>
          <w:sz w:val="28"/>
          <w:szCs w:val="24"/>
          <w:lang w:val="de-DE"/>
        </w:rPr>
        <w:tab/>
      </w:r>
      <w:r w:rsidR="007A0317">
        <w:rPr>
          <w:b/>
          <w:bCs/>
          <w:snapToGrid/>
          <w:sz w:val="28"/>
          <w:szCs w:val="24"/>
          <w:lang w:val="de-DE"/>
        </w:rPr>
        <w:t>Abs</w:t>
      </w:r>
      <w:r w:rsidR="00AD14BA">
        <w:rPr>
          <w:b/>
          <w:bCs/>
          <w:snapToGrid/>
          <w:sz w:val="28"/>
          <w:szCs w:val="24"/>
          <w:lang w:val="de-DE"/>
        </w:rPr>
        <w:t>a</w:t>
      </w:r>
      <w:r w:rsidR="007A0317">
        <w:rPr>
          <w:b/>
          <w:bCs/>
          <w:snapToGrid/>
          <w:sz w:val="28"/>
          <w:szCs w:val="24"/>
          <w:lang w:val="de-DE"/>
        </w:rPr>
        <w:t>tz</w:t>
      </w:r>
      <w:r w:rsidR="003A5281">
        <w:rPr>
          <w:b/>
          <w:bCs/>
          <w:snapToGrid/>
          <w:sz w:val="28"/>
          <w:szCs w:val="24"/>
          <w:lang w:val="de-DE"/>
        </w:rPr>
        <w:t xml:space="preserve"> </w:t>
      </w:r>
      <w:r w:rsidR="007A0317" w:rsidRPr="000B349A">
        <w:rPr>
          <w:b/>
          <w:bCs/>
          <w:snapToGrid/>
          <w:sz w:val="28"/>
          <w:szCs w:val="24"/>
          <w:lang w:val="de-DE"/>
        </w:rPr>
        <w:t xml:space="preserve">9.3.2.22.5 a) </w:t>
      </w:r>
      <w:r w:rsidR="00FD5786" w:rsidRPr="00FD5786">
        <w:rPr>
          <w:b/>
          <w:bCs/>
          <w:snapToGrid/>
          <w:sz w:val="28"/>
          <w:szCs w:val="24"/>
          <w:lang w:val="de-DE"/>
        </w:rPr>
        <w:t xml:space="preserve">ADN, </w:t>
      </w:r>
      <w:r w:rsidR="00894A28">
        <w:rPr>
          <w:b/>
          <w:bCs/>
          <w:snapToGrid/>
          <w:sz w:val="28"/>
          <w:szCs w:val="24"/>
          <w:lang w:val="de-DE"/>
        </w:rPr>
        <w:t>Gasabfuhrleitung (an Bord)</w:t>
      </w:r>
    </w:p>
    <w:p w:rsidR="00EE1D86" w:rsidRPr="003A5281" w:rsidRDefault="009F0D42" w:rsidP="00EE1D86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/>
        </w:rPr>
      </w:pPr>
      <w:r w:rsidRPr="002D550A">
        <w:rPr>
          <w:b/>
          <w:snapToGrid/>
          <w:sz w:val="24"/>
          <w:lang w:val="de-DE"/>
        </w:rPr>
        <w:tab/>
      </w:r>
      <w:r w:rsidRPr="002D550A">
        <w:rPr>
          <w:b/>
          <w:snapToGrid/>
          <w:sz w:val="24"/>
          <w:lang w:val="de-DE"/>
        </w:rPr>
        <w:tab/>
      </w:r>
      <w:r w:rsidR="00EE1D86" w:rsidRPr="003A5281">
        <w:rPr>
          <w:b/>
          <w:snapToGrid/>
          <w:sz w:val="24"/>
          <w:lang w:val="de-DE"/>
        </w:rPr>
        <w:t>Vorgelegt von Deutschland</w:t>
      </w:r>
      <w:r w:rsidR="0014320F" w:rsidRPr="0014320F">
        <w:rPr>
          <w:b/>
          <w:noProof/>
          <w:sz w:val="18"/>
          <w:szCs w:val="24"/>
          <w:vertAlign w:val="superscript"/>
          <w:lang w:val="de-DE"/>
        </w:rPr>
        <w:footnoteReference w:id="2"/>
      </w:r>
      <w:r w:rsidR="0014320F" w:rsidRPr="0014320F">
        <w:rPr>
          <w:b/>
          <w:noProof/>
          <w:sz w:val="18"/>
          <w:szCs w:val="24"/>
          <w:vertAlign w:val="superscript"/>
          <w:lang w:val="de-DE"/>
        </w:rPr>
        <w:t>,</w:t>
      </w:r>
      <w:r w:rsidR="0014320F" w:rsidRPr="0014320F">
        <w:rPr>
          <w:b/>
          <w:noProof/>
          <w:sz w:val="18"/>
          <w:szCs w:val="24"/>
          <w:vertAlign w:val="superscript"/>
          <w:lang w:val="de-DE"/>
        </w:rPr>
        <w:footnoteReference w:id="3"/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spacing w:before="180" w:line="360" w:lineRule="auto"/>
        <w:ind w:right="567"/>
        <w:jc w:val="both"/>
        <w:textAlignment w:val="baseline"/>
        <w:rPr>
          <w:bCs/>
          <w:snapToGrid/>
          <w:sz w:val="22"/>
          <w:szCs w:val="18"/>
          <w:lang w:val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6307"/>
      </w:tblGrid>
      <w:tr w:rsidR="00FD5786" w:rsidRPr="003A5281" w:rsidTr="0092524C">
        <w:trPr>
          <w:jc w:val="center"/>
        </w:trPr>
        <w:tc>
          <w:tcPr>
            <w:tcW w:w="3332" w:type="dxa"/>
          </w:tcPr>
          <w:p w:rsidR="00FD5786" w:rsidRPr="00FD5786" w:rsidRDefault="00FD5786" w:rsidP="0014320F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rFonts w:eastAsia="Arial"/>
                <w:i/>
                <w:snapToGrid/>
                <w:color w:val="000000"/>
                <w:lang w:val="de-DE" w:eastAsia="en-US"/>
              </w:rPr>
              <w:t>Zusammenfassung</w:t>
            </w:r>
          </w:p>
        </w:tc>
        <w:tc>
          <w:tcPr>
            <w:tcW w:w="6307" w:type="dxa"/>
          </w:tcPr>
          <w:p w:rsidR="00FD5786" w:rsidRPr="00FD5786" w:rsidRDefault="00FD5786" w:rsidP="0014320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</w:p>
        </w:tc>
      </w:tr>
      <w:tr w:rsidR="00FD5786" w:rsidRPr="00663510" w:rsidTr="0092524C">
        <w:trPr>
          <w:jc w:val="center"/>
        </w:trPr>
        <w:tc>
          <w:tcPr>
            <w:tcW w:w="3332" w:type="dxa"/>
          </w:tcPr>
          <w:p w:rsidR="00FD5786" w:rsidRPr="00FD5786" w:rsidRDefault="00FD5786" w:rsidP="00663510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Analytische</w:t>
            </w:r>
            <w:r w:rsidR="00663510">
              <w:rPr>
                <w:b/>
                <w:snapToGrid/>
                <w:color w:val="000000"/>
                <w:lang w:val="de-DE" w:eastAsia="en-US"/>
              </w:rPr>
              <w:t xml:space="preserve"> </w:t>
            </w:r>
            <w:r w:rsidRPr="00FD5786">
              <w:rPr>
                <w:b/>
                <w:snapToGrid/>
                <w:color w:val="000000"/>
                <w:lang w:val="de-DE" w:eastAsia="en-US"/>
              </w:rPr>
              <w:t>Zusammenfassung:</w:t>
            </w:r>
          </w:p>
        </w:tc>
        <w:tc>
          <w:tcPr>
            <w:tcW w:w="6307" w:type="dxa"/>
          </w:tcPr>
          <w:p w:rsidR="00FD5786" w:rsidRDefault="00FF5954" w:rsidP="0014320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bCs/>
                <w:snapToGrid/>
                <w:color w:val="000000"/>
                <w:lang w:val="de-DE"/>
              </w:rPr>
            </w:pPr>
            <w:r>
              <w:rPr>
                <w:bCs/>
                <w:snapToGrid/>
                <w:color w:val="000000"/>
                <w:lang w:val="de-DE"/>
              </w:rPr>
              <w:t>Im Bericht</w:t>
            </w:r>
            <w:r w:rsidR="00894A28">
              <w:rPr>
                <w:bCs/>
                <w:snapToGrid/>
                <w:color w:val="000000"/>
                <w:lang w:val="de-DE"/>
              </w:rPr>
              <w:t xml:space="preserve"> </w:t>
            </w:r>
            <w:r w:rsidR="009455B3">
              <w:rPr>
                <w:bCs/>
                <w:snapToGrid/>
                <w:color w:val="000000"/>
                <w:lang w:val="de-DE"/>
              </w:rPr>
              <w:t xml:space="preserve">über die 24. Sitzung des </w:t>
            </w:r>
            <w:r w:rsidR="00894A28">
              <w:rPr>
                <w:bCs/>
                <w:snapToGrid/>
                <w:color w:val="000000"/>
                <w:lang w:val="de-DE"/>
              </w:rPr>
              <w:t>ADN-Sicherheitsausschusses w</w:t>
            </w:r>
            <w:r>
              <w:rPr>
                <w:bCs/>
                <w:snapToGrid/>
                <w:color w:val="000000"/>
                <w:lang w:val="de-DE"/>
              </w:rPr>
              <w:t>i</w:t>
            </w:r>
            <w:r w:rsidR="00894A28">
              <w:rPr>
                <w:bCs/>
                <w:snapToGrid/>
                <w:color w:val="000000"/>
                <w:lang w:val="de-DE"/>
              </w:rPr>
              <w:t xml:space="preserve">rd eine Änderung aufgeführt, die </w:t>
            </w:r>
            <w:r>
              <w:rPr>
                <w:bCs/>
                <w:snapToGrid/>
                <w:color w:val="000000"/>
                <w:lang w:val="de-DE"/>
              </w:rPr>
              <w:t xml:space="preserve">weder </w:t>
            </w:r>
            <w:r w:rsidR="00894A28">
              <w:rPr>
                <w:bCs/>
                <w:snapToGrid/>
                <w:color w:val="000000"/>
                <w:lang w:val="de-DE"/>
              </w:rPr>
              <w:t xml:space="preserve">der von Deutschland </w:t>
            </w:r>
            <w:r w:rsidR="000F5E4D">
              <w:rPr>
                <w:bCs/>
                <w:snapToGrid/>
                <w:color w:val="000000"/>
                <w:lang w:val="de-DE"/>
              </w:rPr>
              <w:t xml:space="preserve">eingereichten Beschlussvorlage </w:t>
            </w:r>
            <w:r>
              <w:rPr>
                <w:bCs/>
                <w:snapToGrid/>
                <w:color w:val="000000"/>
                <w:lang w:val="de-DE"/>
              </w:rPr>
              <w:t xml:space="preserve">noch der Diskussion </w:t>
            </w:r>
            <w:r w:rsidR="000F5E4D">
              <w:rPr>
                <w:bCs/>
                <w:snapToGrid/>
                <w:color w:val="000000"/>
                <w:lang w:val="de-DE"/>
              </w:rPr>
              <w:t>entsprach</w:t>
            </w:r>
            <w:r>
              <w:rPr>
                <w:bCs/>
                <w:snapToGrid/>
                <w:color w:val="000000"/>
                <w:lang w:val="de-DE"/>
              </w:rPr>
              <w:t>, bei der Berichtslesung nicht erkannt wurde</w:t>
            </w:r>
            <w:r w:rsidR="000F5E4D">
              <w:rPr>
                <w:bCs/>
                <w:snapToGrid/>
                <w:color w:val="000000"/>
                <w:lang w:val="de-DE"/>
              </w:rPr>
              <w:t xml:space="preserve"> und </w:t>
            </w:r>
            <w:r>
              <w:rPr>
                <w:bCs/>
                <w:snapToGrid/>
                <w:color w:val="000000"/>
                <w:lang w:val="de-DE"/>
              </w:rPr>
              <w:t xml:space="preserve">deshalb </w:t>
            </w:r>
            <w:r w:rsidR="000F5E4D">
              <w:rPr>
                <w:bCs/>
                <w:snapToGrid/>
                <w:color w:val="000000"/>
                <w:lang w:val="de-DE"/>
              </w:rPr>
              <w:t>in die Neufassung des ADN</w:t>
            </w:r>
            <w:r w:rsidR="00894A28">
              <w:rPr>
                <w:bCs/>
                <w:snapToGrid/>
                <w:color w:val="000000"/>
                <w:lang w:val="de-DE"/>
              </w:rPr>
              <w:t xml:space="preserve"> 2015</w:t>
            </w:r>
            <w:r w:rsidR="000F5E4D">
              <w:rPr>
                <w:bCs/>
                <w:snapToGrid/>
                <w:color w:val="000000"/>
                <w:lang w:val="de-DE"/>
              </w:rPr>
              <w:t xml:space="preserve"> übernommen.</w:t>
            </w:r>
            <w:r>
              <w:rPr>
                <w:bCs/>
                <w:snapToGrid/>
                <w:color w:val="000000"/>
                <w:lang w:val="de-DE"/>
              </w:rPr>
              <w:t xml:space="preserve"> Dies ist erst jetzt aufgefallen.</w:t>
            </w:r>
          </w:p>
          <w:p w:rsidR="000F5E4D" w:rsidRPr="00FD5786" w:rsidRDefault="000F5E4D" w:rsidP="0014320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 xml:space="preserve">Die fälschlicherweise erfolgte Änderung des ADN, dass in der Gasabfuhrleitung (an Bord) </w:t>
            </w:r>
            <w:r w:rsidR="0013037D">
              <w:rPr>
                <w:bCs/>
                <w:snapToGrid/>
                <w:color w:val="000000"/>
                <w:lang w:val="de-DE"/>
              </w:rPr>
              <w:t>eine Flammendurchschlagsicherung nicht mehr mit einer federbelasteten Flammensperre versehen</w:t>
            </w:r>
            <w:r>
              <w:rPr>
                <w:bCs/>
                <w:snapToGrid/>
                <w:color w:val="000000"/>
                <w:lang w:val="de-DE"/>
              </w:rPr>
              <w:t xml:space="preserve"> </w:t>
            </w:r>
            <w:r w:rsidR="0013037D">
              <w:rPr>
                <w:bCs/>
                <w:snapToGrid/>
                <w:color w:val="000000"/>
                <w:lang w:val="de-DE"/>
              </w:rPr>
              <w:t>sein muss und dass die Druckmessung nicht mehr mit einer Alarmeinrichtung versehen sein muss, kann</w:t>
            </w:r>
            <w:r>
              <w:rPr>
                <w:bCs/>
                <w:snapToGrid/>
                <w:color w:val="000000"/>
                <w:lang w:val="de-DE"/>
              </w:rPr>
              <w:t xml:space="preserve"> ein Sicherheitsrisiko darstellen und sollte </w:t>
            </w:r>
            <w:r w:rsidR="00FF5954">
              <w:rPr>
                <w:bCs/>
                <w:snapToGrid/>
                <w:color w:val="000000"/>
                <w:lang w:val="de-DE"/>
              </w:rPr>
              <w:t xml:space="preserve">sofort </w:t>
            </w:r>
            <w:r>
              <w:rPr>
                <w:bCs/>
                <w:snapToGrid/>
                <w:color w:val="000000"/>
                <w:lang w:val="de-DE"/>
              </w:rPr>
              <w:t>berichtigt werden.</w:t>
            </w:r>
          </w:p>
        </w:tc>
      </w:tr>
      <w:tr w:rsidR="00FD5786" w:rsidRPr="000F5E4D" w:rsidTr="0092524C">
        <w:trPr>
          <w:jc w:val="center"/>
        </w:trPr>
        <w:tc>
          <w:tcPr>
            <w:tcW w:w="3332" w:type="dxa"/>
          </w:tcPr>
          <w:p w:rsidR="00FD5786" w:rsidRPr="00FD5786" w:rsidRDefault="00FD5786" w:rsidP="00663510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Zu ergreifende</w:t>
            </w:r>
            <w:r w:rsidR="00663510">
              <w:rPr>
                <w:b/>
                <w:snapToGrid/>
                <w:color w:val="000000"/>
                <w:lang w:val="de-DE" w:eastAsia="en-US"/>
              </w:rPr>
              <w:t xml:space="preserve"> </w:t>
            </w:r>
            <w:r w:rsidRPr="00FD5786">
              <w:rPr>
                <w:b/>
                <w:snapToGrid/>
                <w:color w:val="000000"/>
                <w:lang w:val="de-DE" w:eastAsia="en-US"/>
              </w:rPr>
              <w:t>Maßnahme:</w:t>
            </w:r>
          </w:p>
        </w:tc>
        <w:tc>
          <w:tcPr>
            <w:tcW w:w="6307" w:type="dxa"/>
          </w:tcPr>
          <w:p w:rsidR="00FD5786" w:rsidRPr="00FD5786" w:rsidRDefault="000F5E4D" w:rsidP="0014320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 xml:space="preserve">Berichtigung von Absatz </w:t>
            </w:r>
            <w:r w:rsidRPr="000F5E4D">
              <w:rPr>
                <w:bCs/>
                <w:snapToGrid/>
                <w:color w:val="000000"/>
                <w:lang w:val="de-DE"/>
              </w:rPr>
              <w:t>9.3.2.22.5 a) ADN in allen Sprachfassungen rückwirkend zum 1. Januar 2015.</w:t>
            </w:r>
          </w:p>
        </w:tc>
      </w:tr>
      <w:tr w:rsidR="00FD5786" w:rsidRPr="000F5E4D" w:rsidTr="0092524C">
        <w:trPr>
          <w:jc w:val="center"/>
        </w:trPr>
        <w:tc>
          <w:tcPr>
            <w:tcW w:w="3332" w:type="dxa"/>
          </w:tcPr>
          <w:p w:rsidR="00FD5786" w:rsidRPr="00FD5786" w:rsidRDefault="00FD5786" w:rsidP="0014320F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Verbundene Dokumente:</w:t>
            </w:r>
          </w:p>
        </w:tc>
        <w:tc>
          <w:tcPr>
            <w:tcW w:w="6307" w:type="dxa"/>
          </w:tcPr>
          <w:p w:rsidR="00894A28" w:rsidRPr="00623E30" w:rsidRDefault="00894A28" w:rsidP="0014320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bCs/>
                <w:snapToGrid/>
                <w:color w:val="000000"/>
                <w:lang w:val="en-US"/>
              </w:rPr>
            </w:pPr>
            <w:r w:rsidRPr="00623E30">
              <w:rPr>
                <w:bCs/>
                <w:snapToGrid/>
                <w:color w:val="000000"/>
                <w:lang w:val="en-US"/>
              </w:rPr>
              <w:t>ECE/TRANS/WP.15/AC.2/2014/17</w:t>
            </w:r>
          </w:p>
          <w:p w:rsidR="00906C0C" w:rsidRPr="00623E30" w:rsidRDefault="00894A28" w:rsidP="0014320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en-US" w:eastAsia="en-US"/>
              </w:rPr>
            </w:pPr>
            <w:r w:rsidRPr="00623E30">
              <w:rPr>
                <w:bCs/>
                <w:snapToGrid/>
                <w:color w:val="000000"/>
                <w:lang w:val="en-US"/>
              </w:rPr>
              <w:t>ECE/TRANS/WP.15/AC.2/50/Add.1</w:t>
            </w:r>
          </w:p>
        </w:tc>
      </w:tr>
    </w:tbl>
    <w:p w:rsidR="00FD5786" w:rsidRPr="00623E30" w:rsidRDefault="00FD5786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en-US"/>
        </w:rPr>
      </w:pPr>
    </w:p>
    <w:p w:rsidR="00B83204" w:rsidRPr="00623E30" w:rsidRDefault="00B83204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en-US"/>
        </w:rPr>
      </w:pPr>
    </w:p>
    <w:p w:rsidR="00C25836" w:rsidRPr="00663510" w:rsidRDefault="00C25836">
      <w:pPr>
        <w:suppressAutoHyphens w:val="0"/>
        <w:spacing w:line="240" w:lineRule="auto"/>
        <w:rPr>
          <w:b/>
          <w:bCs/>
          <w:snapToGrid/>
          <w:sz w:val="24"/>
          <w:szCs w:val="24"/>
          <w:lang w:val="en-US"/>
        </w:rPr>
      </w:pPr>
      <w:r w:rsidRPr="00663510">
        <w:rPr>
          <w:b/>
          <w:bCs/>
          <w:snapToGrid/>
          <w:sz w:val="24"/>
          <w:szCs w:val="24"/>
          <w:lang w:val="en-US"/>
        </w:rPr>
        <w:br w:type="page"/>
      </w:r>
    </w:p>
    <w:p w:rsidR="00FD5786" w:rsidRPr="00852F91" w:rsidRDefault="00B83204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sz w:val="24"/>
          <w:szCs w:val="24"/>
          <w:lang w:val="de-DE"/>
        </w:rPr>
      </w:pPr>
      <w:r w:rsidRPr="00852F91">
        <w:rPr>
          <w:b/>
          <w:bCs/>
          <w:snapToGrid/>
          <w:sz w:val="24"/>
          <w:szCs w:val="24"/>
          <w:lang w:val="de-DE"/>
        </w:rPr>
        <w:lastRenderedPageBreak/>
        <w:t>I.</w:t>
      </w:r>
      <w:r w:rsidRPr="00852F91">
        <w:rPr>
          <w:b/>
          <w:bCs/>
          <w:snapToGrid/>
          <w:sz w:val="24"/>
          <w:szCs w:val="24"/>
          <w:lang w:val="de-DE"/>
        </w:rPr>
        <w:tab/>
      </w:r>
      <w:r w:rsidR="00FD5786" w:rsidRPr="00852F91">
        <w:rPr>
          <w:b/>
          <w:bCs/>
          <w:snapToGrid/>
          <w:sz w:val="24"/>
          <w:szCs w:val="24"/>
          <w:lang w:val="de-DE"/>
        </w:rPr>
        <w:t>Einleitung</w:t>
      </w:r>
    </w:p>
    <w:p w:rsidR="00FD5786" w:rsidRPr="00852F91" w:rsidRDefault="00FD5786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de-DE"/>
        </w:rPr>
      </w:pPr>
    </w:p>
    <w:p w:rsidR="008846ED" w:rsidRDefault="00FD5786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color w:val="000000"/>
          <w:lang w:val="de-DE"/>
        </w:rPr>
      </w:pPr>
      <w:r w:rsidRPr="00852F91">
        <w:rPr>
          <w:snapToGrid/>
          <w:lang w:val="de-DE"/>
        </w:rPr>
        <w:t>1.</w:t>
      </w:r>
      <w:r w:rsidRPr="00852F91">
        <w:rPr>
          <w:snapToGrid/>
          <w:lang w:val="de-DE"/>
        </w:rPr>
        <w:tab/>
      </w:r>
      <w:r w:rsidR="0013037D">
        <w:rPr>
          <w:snapToGrid/>
          <w:lang w:val="de-DE"/>
        </w:rPr>
        <w:t xml:space="preserve">In der 24. Sitzung des ADN-Sicherheitsausschusses beantragte die deutsche Delegation mit dem Dokument </w:t>
      </w:r>
      <w:r w:rsidR="0013037D" w:rsidRPr="0013037D">
        <w:rPr>
          <w:bCs/>
          <w:snapToGrid/>
          <w:color w:val="000000"/>
          <w:lang w:val="de-DE"/>
        </w:rPr>
        <w:t>ECE/TRANS/WP.15/AC.2/2014/17</w:t>
      </w:r>
      <w:r w:rsidR="0013037D">
        <w:rPr>
          <w:bCs/>
          <w:snapToGrid/>
          <w:color w:val="000000"/>
          <w:lang w:val="de-DE"/>
        </w:rPr>
        <w:t xml:space="preserve"> </w:t>
      </w:r>
      <w:r w:rsidR="008846ED">
        <w:rPr>
          <w:bCs/>
          <w:snapToGrid/>
          <w:color w:val="000000"/>
          <w:lang w:val="de-DE"/>
        </w:rPr>
        <w:t>eine Änderung in Absatz 9.3.2.22.5 a) ADN.</w:t>
      </w:r>
    </w:p>
    <w:p w:rsidR="008846ED" w:rsidRDefault="008846ED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color w:val="000000"/>
          <w:lang w:val="de-DE"/>
        </w:rPr>
      </w:pPr>
    </w:p>
    <w:p w:rsidR="0013037D" w:rsidRDefault="008846ED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de-DE"/>
        </w:rPr>
      </w:pPr>
      <w:r>
        <w:rPr>
          <w:bCs/>
          <w:snapToGrid/>
          <w:color w:val="000000"/>
          <w:lang w:val="de-DE"/>
        </w:rPr>
        <w:t>2.</w:t>
      </w:r>
      <w:r>
        <w:rPr>
          <w:bCs/>
          <w:snapToGrid/>
          <w:color w:val="000000"/>
          <w:lang w:val="de-DE"/>
        </w:rPr>
        <w:tab/>
        <w:t>Es wurde beantragt, in Absatz 9.3.2.22.5 a) ADN den</w:t>
      </w:r>
      <w:r w:rsidR="00404A28">
        <w:rPr>
          <w:bCs/>
          <w:snapToGrid/>
          <w:color w:val="000000"/>
          <w:lang w:val="de-DE"/>
        </w:rPr>
        <w:t xml:space="preserve"> vorletzten </w:t>
      </w:r>
      <w:r>
        <w:rPr>
          <w:bCs/>
          <w:snapToGrid/>
          <w:color w:val="000000"/>
          <w:lang w:val="de-DE"/>
        </w:rPr>
        <w:t xml:space="preserve">Satz </w:t>
      </w:r>
      <w:r w:rsidR="000B349A">
        <w:rPr>
          <w:lang w:val="de-DE"/>
        </w:rPr>
        <w:t>zu streichen. Dieser Satz lautete wie folgt:</w:t>
      </w:r>
      <w:r w:rsidR="000B349A">
        <w:rPr>
          <w:bCs/>
          <w:i/>
          <w:snapToGrid/>
          <w:color w:val="000000"/>
          <w:lang w:val="de-DE"/>
        </w:rPr>
        <w:t xml:space="preserve"> </w:t>
      </w:r>
      <w:r w:rsidR="000F6244">
        <w:rPr>
          <w:bCs/>
          <w:i/>
          <w:snapToGrid/>
          <w:color w:val="000000"/>
          <w:lang w:val="de-DE"/>
        </w:rPr>
        <w:t>„</w:t>
      </w:r>
      <w:r w:rsidR="000F6244" w:rsidRPr="000F6244">
        <w:rPr>
          <w:i/>
          <w:lang w:val="de-DE"/>
        </w:rPr>
        <w:t>Wenn im Bereich der Ladung an Deck eine fest installierte Feuerlöscheinrichtung [nur Französisch und Englisch: die von Deck und vom Steuerhaus aus betätigt werden kann] vorhanden ist, kann auf eine Flammendurchschlagsicherung an den einzelnen Ladetanks verzichtet werden.</w:t>
      </w:r>
      <w:r w:rsidR="000F6244" w:rsidRPr="000F6244">
        <w:rPr>
          <w:lang w:val="de-DE"/>
        </w:rPr>
        <w:t>“</w:t>
      </w:r>
      <w:r w:rsidR="000B349A">
        <w:rPr>
          <w:lang w:val="de-DE"/>
        </w:rPr>
        <w:t>.</w:t>
      </w:r>
    </w:p>
    <w:p w:rsidR="000F6244" w:rsidRDefault="000F6244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de-DE"/>
        </w:rPr>
      </w:pPr>
    </w:p>
    <w:p w:rsidR="000F6244" w:rsidRDefault="000F6244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color w:val="000000"/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</w:r>
      <w:r w:rsidR="00FD681D">
        <w:rPr>
          <w:lang w:val="de-DE"/>
        </w:rPr>
        <w:t xml:space="preserve">Im </w:t>
      </w:r>
      <w:r w:rsidR="00404A28">
        <w:rPr>
          <w:lang w:val="de-DE"/>
        </w:rPr>
        <w:t xml:space="preserve">Anhang 1 zum </w:t>
      </w:r>
      <w:r w:rsidR="00FD681D">
        <w:rPr>
          <w:lang w:val="de-DE"/>
        </w:rPr>
        <w:t>Sitzung</w:t>
      </w:r>
      <w:r w:rsidR="0092524C">
        <w:rPr>
          <w:lang w:val="de-DE"/>
        </w:rPr>
        <w:t xml:space="preserve">sbericht, Dokument </w:t>
      </w:r>
      <w:r w:rsidR="00404A28" w:rsidRPr="0013037D">
        <w:rPr>
          <w:bCs/>
          <w:snapToGrid/>
          <w:color w:val="000000"/>
          <w:lang w:val="de-DE"/>
        </w:rPr>
        <w:t>ECE/TRANS/WP.15/AC.2/50/Add.1</w:t>
      </w:r>
      <w:r w:rsidR="0092524C">
        <w:rPr>
          <w:bCs/>
          <w:snapToGrid/>
          <w:color w:val="000000"/>
          <w:lang w:val="de-DE"/>
        </w:rPr>
        <w:t>,</w:t>
      </w:r>
      <w:r w:rsidR="00404A28">
        <w:rPr>
          <w:bCs/>
          <w:snapToGrid/>
          <w:color w:val="000000"/>
          <w:lang w:val="de-DE"/>
        </w:rPr>
        <w:t xml:space="preserve"> wurde stattdessen festgehalten, </w:t>
      </w:r>
      <w:r w:rsidR="0092524C">
        <w:rPr>
          <w:bCs/>
          <w:snapToGrid/>
          <w:color w:val="000000"/>
          <w:lang w:val="de-DE"/>
        </w:rPr>
        <w:t>den</w:t>
      </w:r>
      <w:r w:rsidR="000B349A">
        <w:rPr>
          <w:bCs/>
          <w:snapToGrid/>
          <w:color w:val="000000"/>
          <w:lang w:val="de-DE"/>
        </w:rPr>
        <w:t xml:space="preserve"> in diesem Absatz den </w:t>
      </w:r>
      <w:r w:rsidR="0092524C">
        <w:rPr>
          <w:bCs/>
          <w:snapToGrid/>
          <w:color w:val="000000"/>
          <w:lang w:val="de-DE"/>
        </w:rPr>
        <w:t>Untera</w:t>
      </w:r>
      <w:r w:rsidR="00404A28">
        <w:rPr>
          <w:bCs/>
          <w:snapToGrid/>
          <w:color w:val="000000"/>
          <w:lang w:val="de-DE"/>
        </w:rPr>
        <w:t>bsatz (v) zu streichen und den zur Streichung beantragten vorletzten Satz beizubehalten.</w:t>
      </w:r>
    </w:p>
    <w:p w:rsidR="00404A28" w:rsidRDefault="00404A28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color w:val="000000"/>
          <w:lang w:val="de-DE"/>
        </w:rPr>
      </w:pPr>
    </w:p>
    <w:p w:rsidR="00C25836" w:rsidRDefault="00C25836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color w:val="000000"/>
          <w:lang w:val="de-DE"/>
        </w:rPr>
      </w:pPr>
    </w:p>
    <w:p w:rsidR="00FD5786" w:rsidRPr="00FD5786" w:rsidRDefault="003151F1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827320">
        <w:rPr>
          <w:b/>
          <w:snapToGrid/>
          <w:sz w:val="24"/>
          <w:szCs w:val="24"/>
          <w:lang w:val="de-DE"/>
        </w:rPr>
        <w:t>II.</w:t>
      </w:r>
      <w:r w:rsidRPr="00827320">
        <w:rPr>
          <w:b/>
          <w:snapToGrid/>
          <w:sz w:val="24"/>
          <w:szCs w:val="24"/>
          <w:lang w:val="de-DE"/>
        </w:rPr>
        <w:tab/>
      </w:r>
      <w:r w:rsidR="00740C9B">
        <w:rPr>
          <w:b/>
          <w:snapToGrid/>
          <w:sz w:val="24"/>
          <w:szCs w:val="24"/>
          <w:lang w:val="de-DE"/>
        </w:rPr>
        <w:t>Vorschlag</w:t>
      </w:r>
    </w:p>
    <w:p w:rsidR="00FD5786" w:rsidRDefault="00FD5786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020706" w:rsidRPr="00AD57D7" w:rsidRDefault="0092524C" w:rsidP="002A7DE2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4</w:t>
      </w:r>
      <w:r w:rsidR="00020706">
        <w:rPr>
          <w:snapToGrid/>
          <w:lang w:val="de-DE"/>
        </w:rPr>
        <w:t>.</w:t>
      </w:r>
      <w:r w:rsidR="00020706" w:rsidRPr="00AD57D7">
        <w:rPr>
          <w:snapToGrid/>
          <w:lang w:val="de-DE"/>
        </w:rPr>
        <w:tab/>
        <w:t xml:space="preserve">Deutschland beantragt, die Änderung des Absatzes 9.3.2.22.5 a) ADN rückwirkend zum 1. Januar 2015 </w:t>
      </w:r>
      <w:r w:rsidR="00E56326" w:rsidRPr="00AD57D7">
        <w:rPr>
          <w:snapToGrid/>
          <w:lang w:val="de-DE"/>
        </w:rPr>
        <w:t xml:space="preserve">den Absatz </w:t>
      </w:r>
      <w:r w:rsidR="00E56326" w:rsidRPr="00AD57D7">
        <w:rPr>
          <w:szCs w:val="18"/>
          <w:lang w:val="de-DE"/>
        </w:rPr>
        <w:t xml:space="preserve">9.3.2.22.5 a) </w:t>
      </w:r>
      <w:r w:rsidR="00020706" w:rsidRPr="00AD57D7">
        <w:rPr>
          <w:snapToGrid/>
          <w:lang w:val="de-DE"/>
        </w:rPr>
        <w:t>wie folgt zu berichtigen:</w:t>
      </w:r>
    </w:p>
    <w:p w:rsidR="00020706" w:rsidRPr="00AD57D7" w:rsidRDefault="00020706" w:rsidP="002A7DE2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020706" w:rsidRPr="00020706" w:rsidRDefault="00020706" w:rsidP="002A7DE2">
      <w:pPr>
        <w:tabs>
          <w:tab w:val="left" w:pos="1134"/>
        </w:tabs>
        <w:ind w:left="1418" w:right="567" w:hanging="1418"/>
        <w:jc w:val="both"/>
        <w:rPr>
          <w:szCs w:val="18"/>
          <w:lang w:val="de-DE"/>
        </w:rPr>
      </w:pPr>
      <w:r w:rsidRPr="00AD57D7">
        <w:rPr>
          <w:szCs w:val="18"/>
          <w:lang w:val="de-DE"/>
        </w:rPr>
        <w:t>„9.3.2.22.5</w:t>
      </w:r>
      <w:r w:rsidRPr="00AD57D7">
        <w:rPr>
          <w:szCs w:val="18"/>
          <w:lang w:val="de-DE"/>
        </w:rPr>
        <w:tab/>
        <w:t>a)</w:t>
      </w:r>
      <w:r w:rsidRPr="00AD57D7">
        <w:rPr>
          <w:szCs w:val="18"/>
          <w:lang w:val="de-DE"/>
        </w:rPr>
        <w:tab/>
        <w:t>Eine Gassammelleitung, die zwei oder mehr Ladetanks miteinander verbindet, muss, wenn nach</w:t>
      </w:r>
      <w:r w:rsidRPr="00020706">
        <w:rPr>
          <w:szCs w:val="18"/>
          <w:lang w:val="de-DE"/>
        </w:rPr>
        <w:t xml:space="preserve"> Kapitel 3.2 Tabelle C Spalte 17 Explosionsschutz erforderlich ist, an jeder Einführung in die Ladetanks mit einer detonationssicheren Flammendurchschlagsicherung mit einer festen oder federbelasteten Flammensperre versehen sein. Die Ausführung kann sein:</w:t>
      </w:r>
    </w:p>
    <w:p w:rsidR="000B349A" w:rsidRDefault="000B349A" w:rsidP="002A7DE2">
      <w:pPr>
        <w:ind w:left="1843" w:right="567" w:hanging="425"/>
        <w:jc w:val="both"/>
        <w:rPr>
          <w:szCs w:val="18"/>
          <w:lang w:val="de-DE"/>
        </w:rPr>
      </w:pPr>
    </w:p>
    <w:p w:rsidR="000B349A" w:rsidRPr="00020706" w:rsidRDefault="00020706" w:rsidP="002A7DE2">
      <w:pPr>
        <w:ind w:left="1843" w:right="567" w:hanging="425"/>
        <w:jc w:val="both"/>
        <w:rPr>
          <w:szCs w:val="18"/>
          <w:lang w:val="de-DE"/>
        </w:rPr>
      </w:pPr>
      <w:r w:rsidRPr="00020706">
        <w:rPr>
          <w:szCs w:val="18"/>
          <w:lang w:val="de-DE"/>
        </w:rPr>
        <w:t>(i)</w:t>
      </w:r>
      <w:r w:rsidR="000B349A">
        <w:rPr>
          <w:szCs w:val="18"/>
          <w:lang w:val="de-DE"/>
        </w:rPr>
        <w:t xml:space="preserve"> – (iv) … (</w:t>
      </w:r>
      <w:r w:rsidR="00E56326">
        <w:rPr>
          <w:szCs w:val="18"/>
          <w:lang w:val="de-DE"/>
        </w:rPr>
        <w:t xml:space="preserve">diese Absätze bleiben </w:t>
      </w:r>
      <w:r w:rsidR="000B349A">
        <w:rPr>
          <w:szCs w:val="18"/>
          <w:lang w:val="de-DE"/>
        </w:rPr>
        <w:t>unverändert)</w:t>
      </w:r>
    </w:p>
    <w:p w:rsidR="00020706" w:rsidRPr="00020706" w:rsidRDefault="00020706" w:rsidP="002A7DE2">
      <w:pPr>
        <w:ind w:left="1843" w:right="567" w:hanging="425"/>
        <w:jc w:val="both"/>
        <w:rPr>
          <w:szCs w:val="18"/>
          <w:lang w:val="de-DE"/>
        </w:rPr>
      </w:pPr>
    </w:p>
    <w:p w:rsidR="00020706" w:rsidRDefault="00020706" w:rsidP="002A7DE2">
      <w:pPr>
        <w:ind w:left="1843" w:right="567" w:hanging="425"/>
        <w:jc w:val="both"/>
        <w:rPr>
          <w:szCs w:val="18"/>
          <w:u w:val="single"/>
          <w:lang w:val="de-DE"/>
        </w:rPr>
      </w:pPr>
      <w:r w:rsidRPr="00020706">
        <w:rPr>
          <w:szCs w:val="18"/>
          <w:lang w:val="de-DE"/>
        </w:rPr>
        <w:t>(v)</w:t>
      </w:r>
      <w:r w:rsidRPr="00020706">
        <w:rPr>
          <w:szCs w:val="18"/>
          <w:lang w:val="de-DE"/>
        </w:rPr>
        <w:tab/>
      </w:r>
      <w:r w:rsidRPr="00020706">
        <w:rPr>
          <w:strike/>
          <w:szCs w:val="18"/>
          <w:lang w:val="de-DE"/>
        </w:rPr>
        <w:t>(gestrichen)</w:t>
      </w:r>
      <w:r>
        <w:rPr>
          <w:szCs w:val="18"/>
          <w:lang w:val="de-DE"/>
        </w:rPr>
        <w:t xml:space="preserve"> </w:t>
      </w:r>
      <w:r w:rsidRPr="00020706">
        <w:rPr>
          <w:szCs w:val="18"/>
          <w:u w:val="single"/>
          <w:lang w:val="de-DE"/>
        </w:rPr>
        <w:t>die Flammendurchschlagsicherung ist mit einer federbelasteten Flammensperre versehen. Die Einrichtung zum Messen des Drucks muss mit einer Alarmeinrichtung nach Absatz 9.3.2.21.7 ausgerüstet sein.</w:t>
      </w:r>
    </w:p>
    <w:p w:rsidR="00AD57D7" w:rsidRPr="00020706" w:rsidRDefault="00AD57D7" w:rsidP="002A7DE2">
      <w:pPr>
        <w:ind w:left="1843" w:right="567" w:hanging="425"/>
        <w:jc w:val="both"/>
        <w:rPr>
          <w:szCs w:val="18"/>
          <w:lang w:val="de-DE"/>
        </w:rPr>
      </w:pPr>
    </w:p>
    <w:p w:rsidR="00020706" w:rsidRPr="00020706" w:rsidRDefault="00020706" w:rsidP="002A7DE2">
      <w:pPr>
        <w:ind w:left="1419" w:right="567" w:hanging="1"/>
        <w:jc w:val="both"/>
        <w:rPr>
          <w:strike/>
          <w:szCs w:val="18"/>
          <w:lang w:val="de-DE"/>
        </w:rPr>
      </w:pPr>
      <w:r w:rsidRPr="00020706">
        <w:rPr>
          <w:strike/>
          <w:szCs w:val="18"/>
          <w:lang w:val="de-DE"/>
        </w:rPr>
        <w:t>Wenn im Bereich der Ladung an Deck eine fest installierte Feuerlöscheinrichtung vorhanden ist, kann auf eine Flammendurchschlagsicherung an den einzelnen Ladetanks verzichtet werden.</w:t>
      </w:r>
    </w:p>
    <w:p w:rsidR="00AD57D7" w:rsidRDefault="00AD57D7" w:rsidP="002A7DE2">
      <w:pPr>
        <w:ind w:left="1419" w:right="567" w:hanging="1"/>
        <w:jc w:val="both"/>
        <w:rPr>
          <w:szCs w:val="18"/>
          <w:lang w:val="de-DE"/>
        </w:rPr>
      </w:pPr>
    </w:p>
    <w:p w:rsidR="00020706" w:rsidRPr="00020706" w:rsidRDefault="00020706" w:rsidP="002A7DE2">
      <w:pPr>
        <w:ind w:left="1419" w:right="567" w:hanging="1"/>
        <w:jc w:val="both"/>
        <w:rPr>
          <w:szCs w:val="18"/>
          <w:lang w:val="de-DE"/>
        </w:rPr>
      </w:pPr>
      <w:r w:rsidRPr="00020706">
        <w:rPr>
          <w:szCs w:val="18"/>
          <w:lang w:val="de-DE"/>
        </w:rPr>
        <w:t>In Ladetanks, die an eine gemeinsame Gassammelleitung angeschlossen sind, dürfen gleichzeitig nur Stoffe befördert werden, die sich untereinander nicht vermischen und miteinander nicht gefährlich reagieren.</w:t>
      </w:r>
    </w:p>
    <w:p w:rsidR="00770FE3" w:rsidRDefault="00770FE3" w:rsidP="002A7DE2">
      <w:pPr>
        <w:ind w:left="1419" w:right="567" w:hanging="1"/>
        <w:jc w:val="both"/>
        <w:rPr>
          <w:szCs w:val="18"/>
          <w:lang w:val="de-DE"/>
        </w:rPr>
      </w:pPr>
    </w:p>
    <w:p w:rsidR="00020706" w:rsidRPr="00623E30" w:rsidRDefault="00020706" w:rsidP="002A7DE2">
      <w:pPr>
        <w:ind w:left="1419" w:right="567" w:hanging="1"/>
        <w:jc w:val="both"/>
        <w:rPr>
          <w:szCs w:val="18"/>
          <w:lang w:val="de-DE"/>
        </w:rPr>
      </w:pPr>
      <w:r w:rsidRPr="00623E30">
        <w:rPr>
          <w:szCs w:val="18"/>
          <w:lang w:val="de-DE"/>
        </w:rPr>
        <w:t>oder:”.</w:t>
      </w:r>
    </w:p>
    <w:p w:rsidR="0021330E" w:rsidRDefault="0021330E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C25836" w:rsidRPr="00FD5786" w:rsidRDefault="00C25836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C25836" w:rsidRDefault="00C25836">
      <w:pPr>
        <w:suppressAutoHyphens w:val="0"/>
        <w:spacing w:line="240" w:lineRule="auto"/>
        <w:rPr>
          <w:b/>
          <w:snapToGrid/>
          <w:sz w:val="24"/>
          <w:szCs w:val="24"/>
          <w:lang w:val="de-DE"/>
        </w:rPr>
      </w:pPr>
      <w:r>
        <w:rPr>
          <w:b/>
          <w:snapToGrid/>
          <w:sz w:val="24"/>
          <w:szCs w:val="24"/>
          <w:lang w:val="de-DE"/>
        </w:rPr>
        <w:br w:type="page"/>
      </w:r>
    </w:p>
    <w:p w:rsidR="00FD5786" w:rsidRPr="00FD5786" w:rsidRDefault="003151F1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827320">
        <w:rPr>
          <w:b/>
          <w:snapToGrid/>
          <w:sz w:val="24"/>
          <w:szCs w:val="24"/>
          <w:lang w:val="de-DE"/>
        </w:rPr>
        <w:lastRenderedPageBreak/>
        <w:t>III.</w:t>
      </w:r>
      <w:r w:rsidRPr="00827320">
        <w:rPr>
          <w:b/>
          <w:snapToGrid/>
          <w:sz w:val="24"/>
          <w:szCs w:val="24"/>
          <w:lang w:val="de-DE"/>
        </w:rPr>
        <w:tab/>
      </w:r>
      <w:r w:rsidR="00E20C38">
        <w:rPr>
          <w:b/>
          <w:snapToGrid/>
          <w:sz w:val="24"/>
          <w:szCs w:val="24"/>
          <w:lang w:val="de-DE"/>
        </w:rPr>
        <w:t>Begründung</w:t>
      </w:r>
    </w:p>
    <w:p w:rsidR="00FD5786" w:rsidRPr="00FD5786" w:rsidRDefault="00FD5786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Default="0092524C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5</w:t>
      </w:r>
      <w:r w:rsidR="00FD5786" w:rsidRPr="00FD5786">
        <w:rPr>
          <w:snapToGrid/>
          <w:lang w:val="de-DE"/>
        </w:rPr>
        <w:t>.</w:t>
      </w:r>
      <w:r w:rsidR="00FD5786" w:rsidRPr="00FD5786">
        <w:rPr>
          <w:snapToGrid/>
          <w:lang w:val="de-DE"/>
        </w:rPr>
        <w:tab/>
      </w:r>
      <w:r w:rsidR="00397421">
        <w:rPr>
          <w:snapToGrid/>
          <w:lang w:val="de-DE"/>
        </w:rPr>
        <w:t>Die Änderung des Absatzes wird auf den Stand gebracht, wie er von Deutschland beantragt und vom ADN-Sicherheitsausschuss diskutiert worden war.</w:t>
      </w:r>
    </w:p>
    <w:p w:rsidR="00AF65F9" w:rsidRDefault="00AF65F9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C25836" w:rsidRDefault="00C25836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40C9B" w:rsidRPr="00C25836" w:rsidRDefault="00740C9B" w:rsidP="0014320F">
      <w:pPr>
        <w:rPr>
          <w:b/>
          <w:sz w:val="24"/>
          <w:lang w:val="de-DE"/>
        </w:rPr>
      </w:pPr>
      <w:r w:rsidRPr="00C25836">
        <w:rPr>
          <w:b/>
          <w:sz w:val="24"/>
          <w:lang w:val="de-DE"/>
        </w:rPr>
        <w:t>IV.</w:t>
      </w:r>
      <w:r w:rsidRPr="00C25836">
        <w:rPr>
          <w:b/>
          <w:sz w:val="24"/>
          <w:lang w:val="de-DE"/>
        </w:rPr>
        <w:tab/>
        <w:t>Sicherheit</w:t>
      </w:r>
    </w:p>
    <w:p w:rsidR="00740C9B" w:rsidRDefault="00740C9B" w:rsidP="0014320F">
      <w:pPr>
        <w:rPr>
          <w:sz w:val="24"/>
          <w:lang w:val="de-DE"/>
        </w:rPr>
      </w:pPr>
    </w:p>
    <w:p w:rsidR="00740C9B" w:rsidRPr="007D6B79" w:rsidRDefault="0092524C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6</w:t>
      </w:r>
      <w:r w:rsidR="00740C9B" w:rsidRPr="007D6B79">
        <w:rPr>
          <w:snapToGrid/>
          <w:lang w:val="de-DE"/>
        </w:rPr>
        <w:t>.</w:t>
      </w:r>
      <w:r w:rsidR="00740C9B" w:rsidRPr="007D6B79">
        <w:rPr>
          <w:snapToGrid/>
          <w:lang w:val="de-DE"/>
        </w:rPr>
        <w:tab/>
      </w:r>
      <w:r w:rsidR="00397421">
        <w:rPr>
          <w:snapToGrid/>
          <w:lang w:val="de-DE"/>
        </w:rPr>
        <w:t>Ohne spezifizierte Flammendurchschlagsicherung und ohne Alarm an der Druckmesseinrichtung entsteht ein Sicherheitsdefizit. Abstriche im Sicherheitsniveau waren mit de</w:t>
      </w:r>
      <w:r w:rsidR="00DB0666">
        <w:rPr>
          <w:snapToGrid/>
          <w:lang w:val="de-DE"/>
        </w:rPr>
        <w:t>m</w:t>
      </w:r>
      <w:r w:rsidR="00397421">
        <w:rPr>
          <w:snapToGrid/>
          <w:lang w:val="de-DE"/>
        </w:rPr>
        <w:t xml:space="preserve"> deutschen Antrag nicht beabsichtigt.</w:t>
      </w:r>
    </w:p>
    <w:p w:rsidR="00740C9B" w:rsidRDefault="00740C9B" w:rsidP="0014320F">
      <w:pPr>
        <w:rPr>
          <w:sz w:val="24"/>
          <w:lang w:val="de-DE"/>
        </w:rPr>
      </w:pPr>
    </w:p>
    <w:p w:rsidR="00C25836" w:rsidRDefault="00C25836" w:rsidP="0014320F">
      <w:pPr>
        <w:rPr>
          <w:sz w:val="24"/>
          <w:lang w:val="de-DE"/>
        </w:rPr>
      </w:pPr>
    </w:p>
    <w:p w:rsidR="00740C9B" w:rsidRPr="00C25836" w:rsidRDefault="00740C9B" w:rsidP="0014320F">
      <w:pPr>
        <w:rPr>
          <w:b/>
          <w:sz w:val="24"/>
          <w:lang w:val="de-DE"/>
        </w:rPr>
      </w:pPr>
      <w:r w:rsidRPr="00C25836">
        <w:rPr>
          <w:b/>
          <w:sz w:val="24"/>
          <w:lang w:val="de-DE"/>
        </w:rPr>
        <w:t>V.</w:t>
      </w:r>
      <w:r w:rsidRPr="00C25836">
        <w:rPr>
          <w:b/>
          <w:sz w:val="24"/>
          <w:lang w:val="de-DE"/>
        </w:rPr>
        <w:tab/>
        <w:t>Umsetzbarkeit</w:t>
      </w:r>
    </w:p>
    <w:p w:rsidR="007D6B79" w:rsidRPr="000A3F47" w:rsidRDefault="007D6B79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Pr="00FD5786" w:rsidRDefault="0092524C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7</w:t>
      </w:r>
      <w:r w:rsidR="000A3F47">
        <w:rPr>
          <w:snapToGrid/>
          <w:lang w:val="de-DE"/>
        </w:rPr>
        <w:t>.</w:t>
      </w:r>
      <w:r w:rsidR="000A3F47">
        <w:rPr>
          <w:snapToGrid/>
          <w:lang w:val="de-DE"/>
        </w:rPr>
        <w:tab/>
        <w:t xml:space="preserve">Es </w:t>
      </w:r>
      <w:r w:rsidR="00AD4CAB">
        <w:rPr>
          <w:snapToGrid/>
          <w:lang w:val="de-DE"/>
        </w:rPr>
        <w:t>wird davon ausgegangen, dass auch im Zeitraum 1. Januar 2015 bis heute bei Schiffsneubauten die Bauvorschrift des Unterabsatzes (v) in Absatz 9.3.2.22.5 a) ADN</w:t>
      </w:r>
      <w:r w:rsidR="000A3F47">
        <w:rPr>
          <w:snapToGrid/>
          <w:lang w:val="de-DE"/>
        </w:rPr>
        <w:t xml:space="preserve"> </w:t>
      </w:r>
      <w:r w:rsidR="00AD4CAB">
        <w:rPr>
          <w:snapToGrid/>
          <w:lang w:val="de-DE"/>
        </w:rPr>
        <w:t>beachtet wurde. Wenn nicht, könnte der Sicherheitsausschuss eine angemessene Übergangsfrist, z.B. Erneuerung des Zulassungszeugnisses in Betracht ziehen.</w:t>
      </w:r>
    </w:p>
    <w:p w:rsidR="00BD7264" w:rsidRPr="003151F1" w:rsidRDefault="00FD5786" w:rsidP="0014320F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snapToGrid/>
          <w:lang w:val="de-DE"/>
        </w:rPr>
      </w:pPr>
      <w:r w:rsidRPr="00FD5786">
        <w:rPr>
          <w:snapToGrid/>
          <w:lang w:val="de-DE"/>
        </w:rPr>
        <w:t>***</w:t>
      </w:r>
    </w:p>
    <w:sectPr w:rsidR="00BD7264" w:rsidRPr="003151F1" w:rsidSect="005F30BB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4B" w:rsidRDefault="00E66B4B">
      <w:pPr>
        <w:rPr>
          <w:szCs w:val="24"/>
        </w:rPr>
      </w:pPr>
    </w:p>
  </w:endnote>
  <w:endnote w:type="continuationSeparator" w:id="0">
    <w:p w:rsidR="00E66B4B" w:rsidRDefault="00E66B4B">
      <w:pPr>
        <w:rPr>
          <w:szCs w:val="24"/>
        </w:rPr>
      </w:pPr>
    </w:p>
  </w:endnote>
  <w:endnote w:type="continuationNotice" w:id="1">
    <w:p w:rsidR="00E66B4B" w:rsidRDefault="00E66B4B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0F" w:rsidRDefault="0014320F" w:rsidP="00C25836">
    <w:pPr>
      <w:pStyle w:val="Footer"/>
      <w:jc w:val="right"/>
    </w:pPr>
    <w:r>
      <w:rPr>
        <w:rFonts w:ascii="Arial" w:hAnsi="Arial"/>
        <w:noProof/>
        <w:sz w:val="12"/>
        <w:szCs w:val="24"/>
        <w:lang w:val="en-US"/>
      </w:rPr>
      <w:t>mm/adn_wp15_ac2_2017_</w:t>
    </w:r>
    <w:r w:rsidR="00C25836">
      <w:rPr>
        <w:rFonts w:ascii="Arial" w:hAnsi="Arial"/>
        <w:noProof/>
        <w:sz w:val="12"/>
        <w:szCs w:val="24"/>
        <w:lang w:val="en-US"/>
      </w:rPr>
      <w:t>28</w:t>
    </w:r>
    <w:r>
      <w:rPr>
        <w:rFonts w:ascii="Arial" w:hAnsi="Arial"/>
        <w:noProof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951A0F" w:rsidRDefault="000A3F47" w:rsidP="00951A0F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 w:rsidR="00C25836"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 w:rsidR="00C25836">
      <w:rPr>
        <w:rFonts w:ascii="Arial" w:hAnsi="Arial"/>
        <w:noProof/>
        <w:snapToGrid/>
        <w:sz w:val="12"/>
        <w:szCs w:val="24"/>
        <w:lang w:val="en-US"/>
      </w:rPr>
      <w:t>28</w:t>
    </w:r>
    <w:r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4B" w:rsidRDefault="00E66B4B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E66B4B" w:rsidRDefault="00E66B4B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E66B4B" w:rsidRDefault="00E66B4B">
      <w:pPr>
        <w:rPr>
          <w:szCs w:val="24"/>
        </w:rPr>
      </w:pPr>
    </w:p>
  </w:footnote>
  <w:footnote w:id="2">
    <w:p w:rsidR="0014320F" w:rsidRPr="005F667A" w:rsidRDefault="0014320F" w:rsidP="0014320F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>Von der UN-ECE in Englisch, Französisch und Russisch unter dem Aktenzeichen ECE/TRANS/WP.15/AC.2/</w:t>
      </w:r>
      <w:r>
        <w:rPr>
          <w:sz w:val="16"/>
          <w:szCs w:val="16"/>
          <w:lang w:val="de-DE"/>
        </w:rPr>
        <w:t>2017</w:t>
      </w:r>
      <w:r w:rsidRPr="005F667A">
        <w:rPr>
          <w:sz w:val="16"/>
          <w:szCs w:val="16"/>
          <w:lang w:val="de-DE"/>
        </w:rPr>
        <w:t>/</w:t>
      </w:r>
      <w:r w:rsidR="00C25836">
        <w:rPr>
          <w:sz w:val="16"/>
          <w:szCs w:val="16"/>
          <w:lang w:val="de-DE"/>
        </w:rPr>
        <w:t>28</w:t>
      </w:r>
      <w:r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14320F" w:rsidRPr="00447333" w:rsidRDefault="0014320F" w:rsidP="0014320F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B40749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852F91"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 w:rsidR="00C25836">
      <w:rPr>
        <w:rFonts w:ascii="Arial" w:hAnsi="Arial"/>
        <w:b w:val="0"/>
        <w:sz w:val="16"/>
        <w:szCs w:val="16"/>
        <w:lang w:val="en-US"/>
      </w:rPr>
      <w:t>28</w:t>
    </w:r>
  </w:p>
  <w:p w:rsidR="000A3F47" w:rsidRPr="008F1455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8F1455">
      <w:rPr>
        <w:rFonts w:ascii="Arial" w:hAnsi="Arial"/>
        <w:b w:val="0"/>
        <w:sz w:val="16"/>
        <w:szCs w:val="16"/>
      </w:rPr>
      <w:t xml:space="preserve"> </w:t>
    </w:r>
    <w:r w:rsidR="00811E5D"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="00811E5D" w:rsidRPr="008F1455">
      <w:rPr>
        <w:rFonts w:ascii="Arial" w:hAnsi="Arial"/>
        <w:b w:val="0"/>
        <w:sz w:val="16"/>
        <w:szCs w:val="16"/>
      </w:rPr>
      <w:fldChar w:fldCharType="separate"/>
    </w:r>
    <w:r w:rsidR="00A1515C">
      <w:rPr>
        <w:rFonts w:ascii="Arial" w:hAnsi="Arial"/>
        <w:b w:val="0"/>
        <w:noProof/>
        <w:sz w:val="16"/>
        <w:szCs w:val="16"/>
      </w:rPr>
      <w:t>2</w:t>
    </w:r>
    <w:r w:rsidR="00811E5D"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B40749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6F1379">
      <w:rPr>
        <w:rFonts w:ascii="Arial" w:hAnsi="Arial"/>
        <w:b w:val="0"/>
        <w:sz w:val="16"/>
        <w:szCs w:val="16"/>
        <w:lang w:val="en-US"/>
      </w:rPr>
      <w:t>7/</w:t>
    </w:r>
    <w:r w:rsidR="00C25836">
      <w:rPr>
        <w:rFonts w:ascii="Arial" w:hAnsi="Arial"/>
        <w:b w:val="0"/>
        <w:sz w:val="16"/>
        <w:szCs w:val="16"/>
        <w:lang w:val="en-US"/>
      </w:rPr>
      <w:t>28</w:t>
    </w:r>
  </w:p>
  <w:p w:rsidR="000A3F47" w:rsidRPr="008F1455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>
      <w:rPr>
        <w:rFonts w:ascii="Arial" w:hAnsi="Arial"/>
        <w:b w:val="0"/>
        <w:sz w:val="16"/>
        <w:szCs w:val="16"/>
      </w:rPr>
      <w:t xml:space="preserve"> </w:t>
    </w:r>
    <w:r w:rsidR="00811E5D"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="00811E5D" w:rsidRPr="008F1455">
      <w:rPr>
        <w:rFonts w:ascii="Arial" w:hAnsi="Arial"/>
        <w:b w:val="0"/>
        <w:sz w:val="16"/>
        <w:szCs w:val="16"/>
      </w:rPr>
      <w:fldChar w:fldCharType="separate"/>
    </w:r>
    <w:r w:rsidR="00A1515C">
      <w:rPr>
        <w:rFonts w:ascii="Arial" w:hAnsi="Arial"/>
        <w:b w:val="0"/>
        <w:noProof/>
        <w:sz w:val="16"/>
        <w:szCs w:val="16"/>
      </w:rPr>
      <w:t>3</w:t>
    </w:r>
    <w:r w:rsidR="00811E5D" w:rsidRPr="008F1455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F571DC4"/>
    <w:multiLevelType w:val="hybridMultilevel"/>
    <w:tmpl w:val="36AA9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7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1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5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6">
    <w:nsid w:val="5A5D7844"/>
    <w:multiLevelType w:val="hybridMultilevel"/>
    <w:tmpl w:val="4754C3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DD3E08"/>
    <w:multiLevelType w:val="hybridMultilevel"/>
    <w:tmpl w:val="EE386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7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6"/>
  </w:num>
  <w:num w:numId="5">
    <w:abstractNumId w:val="38"/>
  </w:num>
  <w:num w:numId="6">
    <w:abstractNumId w:val="4"/>
  </w:num>
  <w:num w:numId="7">
    <w:abstractNumId w:val="7"/>
  </w:num>
  <w:num w:numId="8">
    <w:abstractNumId w:val="23"/>
  </w:num>
  <w:num w:numId="9">
    <w:abstractNumId w:val="13"/>
  </w:num>
  <w:num w:numId="10">
    <w:abstractNumId w:val="8"/>
  </w:num>
  <w:num w:numId="11">
    <w:abstractNumId w:val="25"/>
  </w:num>
  <w:num w:numId="12">
    <w:abstractNumId w:val="5"/>
  </w:num>
  <w:num w:numId="13">
    <w:abstractNumId w:val="36"/>
  </w:num>
  <w:num w:numId="14">
    <w:abstractNumId w:val="9"/>
  </w:num>
  <w:num w:numId="15">
    <w:abstractNumId w:val="40"/>
  </w:num>
  <w:num w:numId="16">
    <w:abstractNumId w:val="34"/>
  </w:num>
  <w:num w:numId="17">
    <w:abstractNumId w:val="22"/>
  </w:num>
  <w:num w:numId="18">
    <w:abstractNumId w:val="16"/>
  </w:num>
  <w:num w:numId="19">
    <w:abstractNumId w:val="24"/>
  </w:num>
  <w:num w:numId="20">
    <w:abstractNumId w:val="10"/>
  </w:num>
  <w:num w:numId="21">
    <w:abstractNumId w:val="30"/>
  </w:num>
  <w:num w:numId="22">
    <w:abstractNumId w:val="39"/>
  </w:num>
  <w:num w:numId="23">
    <w:abstractNumId w:val="31"/>
  </w:num>
  <w:num w:numId="24">
    <w:abstractNumId w:val="19"/>
  </w:num>
  <w:num w:numId="25">
    <w:abstractNumId w:val="29"/>
  </w:num>
  <w:num w:numId="26">
    <w:abstractNumId w:val="18"/>
  </w:num>
  <w:num w:numId="27">
    <w:abstractNumId w:val="17"/>
  </w:num>
  <w:num w:numId="28">
    <w:abstractNumId w:val="35"/>
  </w:num>
  <w:num w:numId="29">
    <w:abstractNumId w:val="20"/>
  </w:num>
  <w:num w:numId="30">
    <w:abstractNumId w:val="28"/>
  </w:num>
  <w:num w:numId="31">
    <w:abstractNumId w:val="21"/>
  </w:num>
  <w:num w:numId="32">
    <w:abstractNumId w:val="27"/>
  </w:num>
  <w:num w:numId="33">
    <w:abstractNumId w:val="3"/>
  </w:num>
  <w:num w:numId="34">
    <w:abstractNumId w:val="12"/>
  </w:num>
  <w:num w:numId="35">
    <w:abstractNumId w:val="37"/>
  </w:num>
  <w:num w:numId="36">
    <w:abstractNumId w:val="14"/>
  </w:num>
  <w:num w:numId="37">
    <w:abstractNumId w:val="2"/>
  </w:num>
  <w:num w:numId="38">
    <w:abstractNumId w:val="11"/>
  </w:num>
  <w:num w:numId="39">
    <w:abstractNumId w:val="33"/>
  </w:num>
  <w:num w:numId="40">
    <w:abstractNumId w:val="26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15FC7"/>
    <w:rsid w:val="00020706"/>
    <w:rsid w:val="00020B06"/>
    <w:rsid w:val="0002116F"/>
    <w:rsid w:val="0002461E"/>
    <w:rsid w:val="00024FB3"/>
    <w:rsid w:val="00030C06"/>
    <w:rsid w:val="00031537"/>
    <w:rsid w:val="00035613"/>
    <w:rsid w:val="00035E31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3F47"/>
    <w:rsid w:val="000A446A"/>
    <w:rsid w:val="000B175B"/>
    <w:rsid w:val="000B1C22"/>
    <w:rsid w:val="000B349A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0F5E4D"/>
    <w:rsid w:val="000F6244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037D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320F"/>
    <w:rsid w:val="00146FF1"/>
    <w:rsid w:val="001471A5"/>
    <w:rsid w:val="00155C78"/>
    <w:rsid w:val="00161846"/>
    <w:rsid w:val="0016237E"/>
    <w:rsid w:val="001628F5"/>
    <w:rsid w:val="00172CF3"/>
    <w:rsid w:val="001730D3"/>
    <w:rsid w:val="00174EA5"/>
    <w:rsid w:val="001817E0"/>
    <w:rsid w:val="00181A2A"/>
    <w:rsid w:val="001870ED"/>
    <w:rsid w:val="00191685"/>
    <w:rsid w:val="00193460"/>
    <w:rsid w:val="001938F0"/>
    <w:rsid w:val="00194E53"/>
    <w:rsid w:val="001A1048"/>
    <w:rsid w:val="001A148C"/>
    <w:rsid w:val="001A2704"/>
    <w:rsid w:val="001A4ED5"/>
    <w:rsid w:val="001B1D8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330E"/>
    <w:rsid w:val="002161C2"/>
    <w:rsid w:val="00224AA7"/>
    <w:rsid w:val="00225418"/>
    <w:rsid w:val="00231733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11EA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96770"/>
    <w:rsid w:val="002A0F84"/>
    <w:rsid w:val="002A3AB5"/>
    <w:rsid w:val="002A7DE2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550A"/>
    <w:rsid w:val="002D652F"/>
    <w:rsid w:val="002E0EE4"/>
    <w:rsid w:val="002E1352"/>
    <w:rsid w:val="002E624D"/>
    <w:rsid w:val="00300698"/>
    <w:rsid w:val="00304304"/>
    <w:rsid w:val="003107FA"/>
    <w:rsid w:val="0031437A"/>
    <w:rsid w:val="003151F1"/>
    <w:rsid w:val="00315F72"/>
    <w:rsid w:val="003177E7"/>
    <w:rsid w:val="003229D8"/>
    <w:rsid w:val="00323726"/>
    <w:rsid w:val="00324FA1"/>
    <w:rsid w:val="00326EAB"/>
    <w:rsid w:val="0033023C"/>
    <w:rsid w:val="00332291"/>
    <w:rsid w:val="00333876"/>
    <w:rsid w:val="0033408B"/>
    <w:rsid w:val="00334129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97421"/>
    <w:rsid w:val="003A1EBD"/>
    <w:rsid w:val="003A3950"/>
    <w:rsid w:val="003A5281"/>
    <w:rsid w:val="003B071E"/>
    <w:rsid w:val="003B0BDF"/>
    <w:rsid w:val="003B1FD7"/>
    <w:rsid w:val="003B3F7F"/>
    <w:rsid w:val="003B4451"/>
    <w:rsid w:val="003B4590"/>
    <w:rsid w:val="003B507C"/>
    <w:rsid w:val="003B5C22"/>
    <w:rsid w:val="003B642C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667"/>
    <w:rsid w:val="003F1ED3"/>
    <w:rsid w:val="003F3B18"/>
    <w:rsid w:val="003F4A0B"/>
    <w:rsid w:val="003F729B"/>
    <w:rsid w:val="003F72C8"/>
    <w:rsid w:val="00400769"/>
    <w:rsid w:val="00403952"/>
    <w:rsid w:val="004049D8"/>
    <w:rsid w:val="00404A2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2733"/>
    <w:rsid w:val="00446793"/>
    <w:rsid w:val="00446DE4"/>
    <w:rsid w:val="0045017B"/>
    <w:rsid w:val="00452BB4"/>
    <w:rsid w:val="00453575"/>
    <w:rsid w:val="004535E7"/>
    <w:rsid w:val="0045394D"/>
    <w:rsid w:val="0045575E"/>
    <w:rsid w:val="004578CF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5912"/>
    <w:rsid w:val="004C7BD2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06856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5432"/>
    <w:rsid w:val="005712C9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2559"/>
    <w:rsid w:val="00603EBA"/>
    <w:rsid w:val="00605C39"/>
    <w:rsid w:val="00606CF1"/>
    <w:rsid w:val="00610834"/>
    <w:rsid w:val="00611FC4"/>
    <w:rsid w:val="00617178"/>
    <w:rsid w:val="006176FB"/>
    <w:rsid w:val="0062304B"/>
    <w:rsid w:val="00623E30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3510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1379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465B"/>
    <w:rsid w:val="00734C2D"/>
    <w:rsid w:val="00737E85"/>
    <w:rsid w:val="00740176"/>
    <w:rsid w:val="00740C9B"/>
    <w:rsid w:val="007425B4"/>
    <w:rsid w:val="007431FB"/>
    <w:rsid w:val="00743AA0"/>
    <w:rsid w:val="00744294"/>
    <w:rsid w:val="0075038C"/>
    <w:rsid w:val="00751197"/>
    <w:rsid w:val="0075241D"/>
    <w:rsid w:val="0075310B"/>
    <w:rsid w:val="0075352F"/>
    <w:rsid w:val="00756A00"/>
    <w:rsid w:val="00757B9F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0FE3"/>
    <w:rsid w:val="00774068"/>
    <w:rsid w:val="00777BDB"/>
    <w:rsid w:val="007838FF"/>
    <w:rsid w:val="00787CE3"/>
    <w:rsid w:val="00792806"/>
    <w:rsid w:val="007939A6"/>
    <w:rsid w:val="00797065"/>
    <w:rsid w:val="00797099"/>
    <w:rsid w:val="007A01FC"/>
    <w:rsid w:val="007A0317"/>
    <w:rsid w:val="007A1A3F"/>
    <w:rsid w:val="007A3C01"/>
    <w:rsid w:val="007A3C0B"/>
    <w:rsid w:val="007B64F2"/>
    <w:rsid w:val="007B6BA5"/>
    <w:rsid w:val="007B7B1E"/>
    <w:rsid w:val="007C169B"/>
    <w:rsid w:val="007C3390"/>
    <w:rsid w:val="007C4F4B"/>
    <w:rsid w:val="007C7A4E"/>
    <w:rsid w:val="007D2CBC"/>
    <w:rsid w:val="007D64B1"/>
    <w:rsid w:val="007D6B79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1E5D"/>
    <w:rsid w:val="0081239D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16DC"/>
    <w:rsid w:val="008333C7"/>
    <w:rsid w:val="00836A0C"/>
    <w:rsid w:val="00837A3F"/>
    <w:rsid w:val="0084125D"/>
    <w:rsid w:val="00842AFA"/>
    <w:rsid w:val="00842B7B"/>
    <w:rsid w:val="00844584"/>
    <w:rsid w:val="00852F91"/>
    <w:rsid w:val="00853E16"/>
    <w:rsid w:val="0085417D"/>
    <w:rsid w:val="008550E6"/>
    <w:rsid w:val="00861AFA"/>
    <w:rsid w:val="008623E4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846ED"/>
    <w:rsid w:val="00890BAF"/>
    <w:rsid w:val="008932A0"/>
    <w:rsid w:val="00894A28"/>
    <w:rsid w:val="00894FF2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1455"/>
    <w:rsid w:val="008F2F8A"/>
    <w:rsid w:val="008F4E42"/>
    <w:rsid w:val="008F561F"/>
    <w:rsid w:val="008F649A"/>
    <w:rsid w:val="00906C0C"/>
    <w:rsid w:val="00907AD2"/>
    <w:rsid w:val="009124F2"/>
    <w:rsid w:val="00915860"/>
    <w:rsid w:val="00917C0E"/>
    <w:rsid w:val="0092524C"/>
    <w:rsid w:val="00925B30"/>
    <w:rsid w:val="0092768B"/>
    <w:rsid w:val="009316CC"/>
    <w:rsid w:val="00936C2E"/>
    <w:rsid w:val="00936F09"/>
    <w:rsid w:val="00940A5E"/>
    <w:rsid w:val="009455B3"/>
    <w:rsid w:val="00945924"/>
    <w:rsid w:val="009464F5"/>
    <w:rsid w:val="0094653C"/>
    <w:rsid w:val="00946B6A"/>
    <w:rsid w:val="0094776F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5F8A"/>
    <w:rsid w:val="00A061AB"/>
    <w:rsid w:val="00A1427D"/>
    <w:rsid w:val="00A143BC"/>
    <w:rsid w:val="00A14774"/>
    <w:rsid w:val="00A1515C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37CC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14BA"/>
    <w:rsid w:val="00AD4CAB"/>
    <w:rsid w:val="00AD57D7"/>
    <w:rsid w:val="00AD7888"/>
    <w:rsid w:val="00AE20DC"/>
    <w:rsid w:val="00AE55CE"/>
    <w:rsid w:val="00AE7A4A"/>
    <w:rsid w:val="00AF2B04"/>
    <w:rsid w:val="00AF532B"/>
    <w:rsid w:val="00AF65F9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0749"/>
    <w:rsid w:val="00B42B5F"/>
    <w:rsid w:val="00B4513A"/>
    <w:rsid w:val="00B4630C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037"/>
    <w:rsid w:val="00B66400"/>
    <w:rsid w:val="00B66AC9"/>
    <w:rsid w:val="00B72BAF"/>
    <w:rsid w:val="00B73F75"/>
    <w:rsid w:val="00B75DBE"/>
    <w:rsid w:val="00B808A0"/>
    <w:rsid w:val="00B809B9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027E"/>
    <w:rsid w:val="00BC73EE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023D"/>
    <w:rsid w:val="00C024CD"/>
    <w:rsid w:val="00C1554D"/>
    <w:rsid w:val="00C17699"/>
    <w:rsid w:val="00C2337F"/>
    <w:rsid w:val="00C23F04"/>
    <w:rsid w:val="00C25836"/>
    <w:rsid w:val="00C27357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A68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89C"/>
    <w:rsid w:val="00D1425B"/>
    <w:rsid w:val="00D164DD"/>
    <w:rsid w:val="00D2031B"/>
    <w:rsid w:val="00D20C42"/>
    <w:rsid w:val="00D25388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3C6C"/>
    <w:rsid w:val="00DA5A0F"/>
    <w:rsid w:val="00DA67AD"/>
    <w:rsid w:val="00DB0666"/>
    <w:rsid w:val="00DB06D2"/>
    <w:rsid w:val="00DB2042"/>
    <w:rsid w:val="00DB2A63"/>
    <w:rsid w:val="00DB4C2A"/>
    <w:rsid w:val="00DB5D0F"/>
    <w:rsid w:val="00DC4C63"/>
    <w:rsid w:val="00DC59B0"/>
    <w:rsid w:val="00DC6021"/>
    <w:rsid w:val="00DD415F"/>
    <w:rsid w:val="00DE10C7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0C38"/>
    <w:rsid w:val="00E23CAD"/>
    <w:rsid w:val="00E27CED"/>
    <w:rsid w:val="00E322B5"/>
    <w:rsid w:val="00E330C1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53AC3"/>
    <w:rsid w:val="00E55279"/>
    <w:rsid w:val="00E56326"/>
    <w:rsid w:val="00E65FE7"/>
    <w:rsid w:val="00E66B4B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690C"/>
    <w:rsid w:val="00ED7A2A"/>
    <w:rsid w:val="00EE17D9"/>
    <w:rsid w:val="00EE1D86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2D"/>
    <w:rsid w:val="00FD0951"/>
    <w:rsid w:val="00FD0E31"/>
    <w:rsid w:val="00FD1224"/>
    <w:rsid w:val="00FD5786"/>
    <w:rsid w:val="00FD5ECB"/>
    <w:rsid w:val="00FD681D"/>
    <w:rsid w:val="00FD7BF6"/>
    <w:rsid w:val="00FE0BD6"/>
    <w:rsid w:val="00FE1700"/>
    <w:rsid w:val="00FE2A8B"/>
    <w:rsid w:val="00FE460C"/>
    <w:rsid w:val="00FE78C4"/>
    <w:rsid w:val="00FF2020"/>
    <w:rsid w:val="00FF2FF5"/>
    <w:rsid w:val="00FF4CB8"/>
    <w:rsid w:val="00FF4F1B"/>
    <w:rsid w:val="00FF52E3"/>
    <w:rsid w:val="00FF57B6"/>
    <w:rsid w:val="00FF595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8E7A-D825-4D8F-85B5-1FA8A3C6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</TotalTime>
  <Pages>3</Pages>
  <Words>525</Words>
  <Characters>3673</Characters>
  <Application>Microsoft Office Word</Application>
  <DocSecurity>0</DocSecurity>
  <Lines>136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ECE-ADN-36-Add.1</cp:lastModifiedBy>
  <cp:revision>2</cp:revision>
  <cp:lastPrinted>2017-05-31T08:14:00Z</cp:lastPrinted>
  <dcterms:created xsi:type="dcterms:W3CDTF">2017-05-31T08:27:00Z</dcterms:created>
  <dcterms:modified xsi:type="dcterms:W3CDTF">2017-05-31T08:27:00Z</dcterms:modified>
</cp:coreProperties>
</file>